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0BB554">
      <w:pPr>
        <w:pStyle w:val="4"/>
        <w:spacing w:line="303" w:lineRule="auto"/>
        <w:rPr>
          <w:rFonts w:hint="eastAsia" w:eastAsia="宋体"/>
          <w:highlight w:val="none"/>
          <w:lang w:eastAsia="zh-CN"/>
        </w:rPr>
      </w:pPr>
      <w:r>
        <w:rPr>
          <w:rFonts w:hint="eastAsia" w:eastAsia="宋体"/>
          <w:highlight w:val="none"/>
          <w:lang w:eastAsia="zh-CN"/>
        </w:rPr>
        <w:drawing>
          <wp:inline distT="0" distB="0" distL="114300" distR="114300">
            <wp:extent cx="6115685" cy="8616315"/>
            <wp:effectExtent l="0" t="0" r="18415" b="13335"/>
            <wp:docPr id="2" name="图片 2" descr="dd3863aec0b660f0f44025d94df79e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d3863aec0b660f0f44025d94df79ee6"/>
                    <pic:cNvPicPr>
                      <a:picLocks noChangeAspect="1"/>
                    </pic:cNvPicPr>
                  </pic:nvPicPr>
                  <pic:blipFill>
                    <a:blip r:embed="rId6"/>
                    <a:stretch>
                      <a:fillRect/>
                    </a:stretch>
                  </pic:blipFill>
                  <pic:spPr>
                    <a:xfrm>
                      <a:off x="0" y="0"/>
                      <a:ext cx="6115685" cy="8616315"/>
                    </a:xfrm>
                    <a:prstGeom prst="rect">
                      <a:avLst/>
                    </a:prstGeom>
                  </pic:spPr>
                </pic:pic>
              </a:graphicData>
            </a:graphic>
          </wp:inline>
        </w:drawing>
      </w:r>
    </w:p>
    <w:p w14:paraId="00D911FB">
      <w:pPr>
        <w:rPr>
          <w:rFonts w:hint="eastAsia" w:eastAsia="宋体"/>
          <w:highlight w:val="none"/>
          <w:lang w:eastAsia="zh-CN"/>
        </w:rPr>
      </w:pPr>
      <w:r>
        <w:rPr>
          <w:rFonts w:hint="eastAsia" w:eastAsia="宋体"/>
          <w:highlight w:val="none"/>
          <w:lang w:eastAsia="zh-CN"/>
        </w:rPr>
        <w:br w:type="page"/>
      </w:r>
    </w:p>
    <w:p w14:paraId="32ACBF1A">
      <w:pPr>
        <w:spacing w:before="140" w:line="259" w:lineRule="auto"/>
        <w:ind w:right="98"/>
        <w:jc w:val="both"/>
        <w:rPr>
          <w:rFonts w:ascii="宋体" w:hAnsi="宋体" w:eastAsia="宋体" w:cs="宋体"/>
          <w:b/>
          <w:bCs/>
          <w:sz w:val="48"/>
          <w:szCs w:val="48"/>
          <w:highlight w:val="none"/>
          <w:lang w:eastAsia="zh-CN"/>
        </w:rPr>
      </w:pPr>
    </w:p>
    <w:p w14:paraId="591EDDDA">
      <w:pPr>
        <w:spacing w:before="140" w:line="259" w:lineRule="auto"/>
        <w:ind w:left="1335" w:right="98" w:hanging="1182"/>
        <w:jc w:val="center"/>
        <w:rPr>
          <w:rFonts w:ascii="宋体" w:hAnsi="宋体" w:eastAsia="宋体" w:cs="宋体"/>
          <w:b/>
          <w:bCs/>
          <w:sz w:val="48"/>
          <w:szCs w:val="48"/>
          <w:highlight w:val="none"/>
          <w:lang w:eastAsia="zh-CN"/>
        </w:rPr>
      </w:pPr>
      <w:r>
        <w:rPr>
          <w:rFonts w:hint="eastAsia" w:ascii="宋体" w:hAnsi="宋体" w:eastAsia="宋体" w:cs="宋体"/>
          <w:b/>
          <w:bCs/>
          <w:sz w:val="48"/>
          <w:szCs w:val="48"/>
          <w:highlight w:val="none"/>
          <w:lang w:eastAsia="zh-CN"/>
        </w:rPr>
        <w:t>渑池县2024年度原天保工程区森林</w:t>
      </w:r>
    </w:p>
    <w:p w14:paraId="70B38D6E">
      <w:pPr>
        <w:spacing w:before="140" w:line="259" w:lineRule="auto"/>
        <w:ind w:left="1335" w:right="98" w:hanging="1182"/>
        <w:jc w:val="center"/>
        <w:rPr>
          <w:rFonts w:ascii="宋体" w:hAnsi="宋体" w:eastAsia="宋体" w:cs="宋体"/>
          <w:sz w:val="48"/>
          <w:szCs w:val="48"/>
          <w:highlight w:val="none"/>
          <w:lang w:eastAsia="zh-CN"/>
        </w:rPr>
      </w:pPr>
      <w:r>
        <w:rPr>
          <w:rFonts w:hint="eastAsia" w:ascii="宋体" w:hAnsi="宋体" w:eastAsia="宋体" w:cs="宋体"/>
          <w:b/>
          <w:bCs/>
          <w:sz w:val="48"/>
          <w:szCs w:val="48"/>
          <w:highlight w:val="none"/>
          <w:lang w:eastAsia="zh-CN"/>
        </w:rPr>
        <w:t>抚育项目（</w:t>
      </w:r>
      <w:r>
        <w:rPr>
          <w:rFonts w:hint="eastAsia" w:ascii="宋体" w:hAnsi="宋体" w:eastAsia="宋体" w:cs="宋体"/>
          <w:b/>
          <w:bCs/>
          <w:sz w:val="48"/>
          <w:szCs w:val="48"/>
          <w:highlight w:val="none"/>
          <w:lang w:val="en-US" w:eastAsia="zh-CN"/>
        </w:rPr>
        <w:t>二次</w:t>
      </w:r>
      <w:r>
        <w:rPr>
          <w:rFonts w:hint="eastAsia" w:ascii="宋体" w:hAnsi="宋体" w:eastAsia="宋体" w:cs="宋体"/>
          <w:b/>
          <w:bCs/>
          <w:sz w:val="48"/>
          <w:szCs w:val="48"/>
          <w:highlight w:val="none"/>
          <w:lang w:eastAsia="zh-CN"/>
        </w:rPr>
        <w:t>）</w:t>
      </w:r>
    </w:p>
    <w:p w14:paraId="40A37A80">
      <w:pPr>
        <w:pStyle w:val="4"/>
        <w:spacing w:line="284" w:lineRule="auto"/>
        <w:rPr>
          <w:highlight w:val="none"/>
          <w:lang w:eastAsia="zh-CN"/>
        </w:rPr>
      </w:pPr>
    </w:p>
    <w:p w14:paraId="15CC51DE">
      <w:pPr>
        <w:pStyle w:val="4"/>
        <w:spacing w:line="285" w:lineRule="auto"/>
        <w:rPr>
          <w:highlight w:val="none"/>
          <w:lang w:eastAsia="zh-CN"/>
        </w:rPr>
      </w:pPr>
    </w:p>
    <w:p w14:paraId="1746EE11">
      <w:pPr>
        <w:jc w:val="center"/>
        <w:rPr>
          <w:rFonts w:ascii="宋体" w:hAnsi="宋体" w:eastAsia="宋体"/>
          <w:b/>
          <w:sz w:val="72"/>
          <w:szCs w:val="72"/>
          <w:highlight w:val="none"/>
          <w:lang w:eastAsia="zh-CN"/>
        </w:rPr>
      </w:pPr>
      <w:bookmarkStart w:id="13" w:name="_GoBack"/>
      <w:bookmarkEnd w:id="13"/>
      <w:r>
        <w:rPr>
          <w:rFonts w:ascii="宋体" w:hAnsi="宋体" w:eastAsia="宋体"/>
          <w:b/>
          <w:sz w:val="72"/>
          <w:szCs w:val="72"/>
          <w:highlight w:val="none"/>
          <w:lang w:eastAsia="zh-CN"/>
        </w:rPr>
        <w:t>公</w:t>
      </w:r>
      <w:r>
        <w:rPr>
          <w:rFonts w:hint="eastAsia" w:ascii="宋体" w:hAnsi="宋体" w:eastAsia="宋体"/>
          <w:b/>
          <w:sz w:val="72"/>
          <w:szCs w:val="72"/>
          <w:highlight w:val="none"/>
          <w:lang w:eastAsia="zh-CN"/>
        </w:rPr>
        <w:t xml:space="preserve"> </w:t>
      </w:r>
      <w:r>
        <w:rPr>
          <w:rFonts w:ascii="宋体" w:hAnsi="宋体" w:eastAsia="宋体"/>
          <w:b/>
          <w:sz w:val="72"/>
          <w:szCs w:val="72"/>
          <w:highlight w:val="none"/>
          <w:lang w:eastAsia="zh-CN"/>
        </w:rPr>
        <w:t>开</w:t>
      </w:r>
      <w:r>
        <w:rPr>
          <w:rFonts w:hint="eastAsia" w:ascii="宋体" w:hAnsi="宋体" w:eastAsia="宋体"/>
          <w:b/>
          <w:sz w:val="72"/>
          <w:szCs w:val="72"/>
          <w:highlight w:val="none"/>
          <w:lang w:eastAsia="zh-CN"/>
        </w:rPr>
        <w:t xml:space="preserve"> </w:t>
      </w:r>
      <w:r>
        <w:rPr>
          <w:rFonts w:ascii="宋体" w:hAnsi="宋体" w:eastAsia="宋体"/>
          <w:b/>
          <w:sz w:val="72"/>
          <w:szCs w:val="72"/>
          <w:highlight w:val="none"/>
          <w:lang w:eastAsia="zh-CN"/>
        </w:rPr>
        <w:t>招</w:t>
      </w:r>
      <w:r>
        <w:rPr>
          <w:rFonts w:hint="eastAsia" w:ascii="宋体" w:hAnsi="宋体" w:eastAsia="宋体"/>
          <w:b/>
          <w:sz w:val="72"/>
          <w:szCs w:val="72"/>
          <w:highlight w:val="none"/>
          <w:lang w:eastAsia="zh-CN"/>
        </w:rPr>
        <w:t xml:space="preserve"> </w:t>
      </w:r>
      <w:r>
        <w:rPr>
          <w:rFonts w:ascii="宋体" w:hAnsi="宋体" w:eastAsia="宋体"/>
          <w:b/>
          <w:sz w:val="72"/>
          <w:szCs w:val="72"/>
          <w:highlight w:val="none"/>
          <w:lang w:eastAsia="zh-CN"/>
        </w:rPr>
        <w:t>标</w:t>
      </w:r>
    </w:p>
    <w:p w14:paraId="101D6829">
      <w:pPr>
        <w:jc w:val="center"/>
        <w:rPr>
          <w:rFonts w:ascii="宋体" w:hAnsi="宋体" w:eastAsia="宋体"/>
          <w:b/>
          <w:sz w:val="72"/>
          <w:szCs w:val="72"/>
          <w:highlight w:val="none"/>
          <w:lang w:eastAsia="zh-CN"/>
        </w:rPr>
      </w:pPr>
      <w:r>
        <w:rPr>
          <w:rFonts w:ascii="宋体" w:hAnsi="宋体" w:eastAsia="宋体"/>
          <w:b/>
          <w:sz w:val="72"/>
          <w:szCs w:val="72"/>
          <w:highlight w:val="none"/>
          <w:lang w:eastAsia="zh-CN"/>
        </w:rPr>
        <w:t>文</w:t>
      </w:r>
      <w:r>
        <w:rPr>
          <w:rFonts w:hint="eastAsia" w:ascii="宋体" w:hAnsi="宋体" w:eastAsia="宋体"/>
          <w:b/>
          <w:sz w:val="72"/>
          <w:szCs w:val="72"/>
          <w:highlight w:val="none"/>
          <w:lang w:eastAsia="zh-CN"/>
        </w:rPr>
        <w:t xml:space="preserve"> </w:t>
      </w:r>
      <w:r>
        <w:rPr>
          <w:rFonts w:ascii="宋体" w:hAnsi="宋体" w:eastAsia="宋体"/>
          <w:b/>
          <w:sz w:val="72"/>
          <w:szCs w:val="72"/>
          <w:highlight w:val="none"/>
          <w:lang w:eastAsia="zh-CN"/>
        </w:rPr>
        <w:t>件</w:t>
      </w:r>
    </w:p>
    <w:p w14:paraId="5DF9B2C4">
      <w:pPr>
        <w:pStyle w:val="4"/>
        <w:spacing w:line="262" w:lineRule="auto"/>
        <w:rPr>
          <w:highlight w:val="none"/>
          <w:lang w:eastAsia="zh-CN"/>
        </w:rPr>
      </w:pPr>
    </w:p>
    <w:p w14:paraId="3CEEEA3C">
      <w:pPr>
        <w:pStyle w:val="4"/>
        <w:spacing w:line="262" w:lineRule="auto"/>
        <w:rPr>
          <w:highlight w:val="none"/>
          <w:lang w:eastAsia="zh-CN"/>
        </w:rPr>
      </w:pPr>
    </w:p>
    <w:p w14:paraId="5D2FD8BD">
      <w:pPr>
        <w:pStyle w:val="4"/>
        <w:spacing w:line="262" w:lineRule="auto"/>
        <w:rPr>
          <w:highlight w:val="none"/>
          <w:lang w:eastAsia="zh-CN"/>
        </w:rPr>
      </w:pPr>
    </w:p>
    <w:p w14:paraId="3A6E71F4">
      <w:pPr>
        <w:spacing w:before="91" w:line="219" w:lineRule="auto"/>
        <w:ind w:left="605"/>
        <w:rPr>
          <w:rFonts w:hint="default" w:ascii="宋体" w:hAnsi="宋体" w:eastAsia="宋体" w:cs="宋体"/>
          <w:b/>
          <w:bCs/>
          <w:spacing w:val="-2"/>
          <w:sz w:val="28"/>
          <w:szCs w:val="28"/>
          <w:highlight w:val="none"/>
          <w:lang w:val="en-US" w:eastAsia="zh-CN"/>
        </w:rPr>
      </w:pPr>
      <w:r>
        <w:rPr>
          <w:rFonts w:ascii="宋体" w:hAnsi="宋体" w:eastAsia="宋体" w:cs="宋体"/>
          <w:b/>
          <w:bCs/>
          <w:spacing w:val="-2"/>
          <w:sz w:val="28"/>
          <w:szCs w:val="28"/>
          <w:highlight w:val="none"/>
          <w:lang w:eastAsia="zh-CN"/>
        </w:rPr>
        <w:t>项目编号：</w:t>
      </w:r>
      <w:r>
        <w:rPr>
          <w:rFonts w:hint="eastAsia" w:ascii="宋体" w:hAnsi="宋体" w:eastAsia="宋体" w:cs="宋体"/>
          <w:b/>
          <w:bCs/>
          <w:spacing w:val="-2"/>
          <w:sz w:val="28"/>
          <w:szCs w:val="28"/>
          <w:highlight w:val="none"/>
          <w:lang w:eastAsia="zh-CN"/>
        </w:rPr>
        <w:t>渑池公开采购-2026-1、</w:t>
      </w:r>
      <w:r>
        <w:rPr>
          <w:rFonts w:hint="eastAsia" w:ascii="宋体" w:hAnsi="宋体" w:eastAsia="宋体" w:cs="宋体"/>
          <w:b/>
          <w:bCs/>
          <w:spacing w:val="-2"/>
          <w:sz w:val="28"/>
          <w:szCs w:val="28"/>
          <w:highlight w:val="none"/>
          <w:lang w:val="en-US" w:eastAsia="zh-CN"/>
        </w:rPr>
        <w:t>MCGZ[2026]021-ZC021</w:t>
      </w:r>
    </w:p>
    <w:p w14:paraId="005E6543">
      <w:pPr>
        <w:spacing w:before="91" w:line="219" w:lineRule="auto"/>
        <w:ind w:left="605"/>
        <w:rPr>
          <w:rFonts w:ascii="宋体" w:hAnsi="宋体" w:eastAsia="宋体" w:cs="宋体"/>
          <w:sz w:val="28"/>
          <w:szCs w:val="28"/>
          <w:highlight w:val="none"/>
          <w:lang w:eastAsia="zh-CN"/>
        </w:rPr>
      </w:pPr>
    </w:p>
    <w:p w14:paraId="11711F05">
      <w:pPr>
        <w:pStyle w:val="4"/>
        <w:spacing w:line="281" w:lineRule="auto"/>
        <w:rPr>
          <w:highlight w:val="none"/>
          <w:lang w:eastAsia="zh-CN"/>
        </w:rPr>
      </w:pPr>
    </w:p>
    <w:p w14:paraId="5BC55504">
      <w:pPr>
        <w:pStyle w:val="4"/>
        <w:spacing w:line="281" w:lineRule="auto"/>
        <w:rPr>
          <w:rFonts w:eastAsiaTheme="minorEastAsia"/>
          <w:highlight w:val="none"/>
          <w:lang w:eastAsia="zh-CN"/>
        </w:rPr>
      </w:pPr>
      <w:r>
        <w:rPr>
          <w:highlight w:val="none"/>
          <w:lang w:eastAsia="zh-CN"/>
        </w:rPr>
        <w:drawing>
          <wp:anchor distT="0" distB="0" distL="114300" distR="114300" simplePos="0" relativeHeight="251664384" behindDoc="1" locked="0" layoutInCell="1" allowOverlap="1">
            <wp:simplePos x="0" y="0"/>
            <wp:positionH relativeFrom="column">
              <wp:posOffset>1703070</wp:posOffset>
            </wp:positionH>
            <wp:positionV relativeFrom="paragraph">
              <wp:posOffset>147320</wp:posOffset>
            </wp:positionV>
            <wp:extent cx="2435860" cy="2521585"/>
            <wp:effectExtent l="0" t="0" r="2540" b="12065"/>
            <wp:wrapTight wrapText="bothSides">
              <wp:wrapPolygon>
                <wp:start x="0" y="0"/>
                <wp:lineTo x="0" y="21377"/>
                <wp:lineTo x="21454" y="21377"/>
                <wp:lineTo x="21454"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2435860" cy="2521585"/>
                    </a:xfrm>
                    <a:prstGeom prst="rect">
                      <a:avLst/>
                    </a:prstGeom>
                    <a:noFill/>
                    <a:ln>
                      <a:noFill/>
                    </a:ln>
                  </pic:spPr>
                </pic:pic>
              </a:graphicData>
            </a:graphic>
          </wp:anchor>
        </w:drawing>
      </w:r>
    </w:p>
    <w:p w14:paraId="28407861">
      <w:pPr>
        <w:pStyle w:val="4"/>
        <w:spacing w:line="282" w:lineRule="auto"/>
        <w:rPr>
          <w:highlight w:val="none"/>
          <w:lang w:eastAsia="zh-CN"/>
        </w:rPr>
      </w:pPr>
    </w:p>
    <w:p w14:paraId="5056604C">
      <w:pPr>
        <w:spacing w:line="4277" w:lineRule="exact"/>
        <w:ind w:firstLine="2558"/>
        <w:rPr>
          <w:highlight w:val="none"/>
          <w:lang w:eastAsia="zh-CN"/>
        </w:rPr>
      </w:pPr>
    </w:p>
    <w:p w14:paraId="7295D102">
      <w:pPr>
        <w:pStyle w:val="4"/>
        <w:spacing w:line="298" w:lineRule="auto"/>
        <w:rPr>
          <w:highlight w:val="none"/>
          <w:lang w:eastAsia="zh-CN"/>
        </w:rPr>
      </w:pPr>
    </w:p>
    <w:p w14:paraId="24209AB0">
      <w:pPr>
        <w:pStyle w:val="4"/>
        <w:spacing w:line="298" w:lineRule="auto"/>
        <w:rPr>
          <w:rFonts w:eastAsiaTheme="minorEastAsia"/>
          <w:highlight w:val="none"/>
          <w:lang w:eastAsia="zh-CN"/>
        </w:rPr>
      </w:pPr>
    </w:p>
    <w:p w14:paraId="2E6BCCD6">
      <w:pPr>
        <w:spacing w:before="92" w:line="219" w:lineRule="auto"/>
        <w:ind w:left="1802"/>
        <w:rPr>
          <w:rFonts w:ascii="宋体" w:hAnsi="宋体" w:eastAsia="宋体" w:cs="宋体"/>
          <w:sz w:val="28"/>
          <w:szCs w:val="28"/>
          <w:highlight w:val="none"/>
          <w:lang w:eastAsia="zh-CN"/>
        </w:rPr>
      </w:pPr>
      <w:r>
        <w:rPr>
          <w:rFonts w:ascii="宋体" w:hAnsi="宋体" w:eastAsia="宋体" w:cs="宋体"/>
          <w:b/>
          <w:bCs/>
          <w:spacing w:val="-3"/>
          <w:sz w:val="28"/>
          <w:szCs w:val="28"/>
          <w:highlight w:val="none"/>
          <w:lang w:eastAsia="zh-CN"/>
        </w:rPr>
        <w:t>采购人：</w:t>
      </w:r>
      <w:r>
        <w:rPr>
          <w:rFonts w:hint="eastAsia" w:ascii="宋体" w:hAnsi="宋体" w:eastAsia="宋体" w:cs="宋体"/>
          <w:b/>
          <w:bCs/>
          <w:spacing w:val="-3"/>
          <w:sz w:val="28"/>
          <w:szCs w:val="28"/>
          <w:highlight w:val="none"/>
          <w:lang w:eastAsia="zh-CN"/>
        </w:rPr>
        <w:t>渑池县林业局</w:t>
      </w:r>
    </w:p>
    <w:p w14:paraId="2C732A5F">
      <w:pPr>
        <w:spacing w:before="327" w:line="219" w:lineRule="auto"/>
        <w:ind w:left="1523" w:firstLine="275" w:firstLineChars="100"/>
        <w:rPr>
          <w:rFonts w:ascii="宋体" w:hAnsi="宋体" w:eastAsia="宋体" w:cs="宋体"/>
          <w:sz w:val="28"/>
          <w:szCs w:val="28"/>
          <w:highlight w:val="none"/>
          <w:lang w:eastAsia="zh-CN"/>
        </w:rPr>
      </w:pPr>
      <w:r>
        <w:rPr>
          <w:rFonts w:ascii="宋体" w:hAnsi="宋体" w:eastAsia="宋体" w:cs="宋体"/>
          <w:b/>
          <w:bCs/>
          <w:spacing w:val="-3"/>
          <w:sz w:val="28"/>
          <w:szCs w:val="28"/>
          <w:highlight w:val="none"/>
          <w:lang w:eastAsia="zh-CN"/>
        </w:rPr>
        <w:t>招标代理机构：</w:t>
      </w:r>
      <w:r>
        <w:rPr>
          <w:rFonts w:hint="eastAsia" w:ascii="宋体" w:hAnsi="宋体" w:eastAsia="宋体" w:cs="宋体"/>
          <w:b/>
          <w:bCs/>
          <w:spacing w:val="-3"/>
          <w:sz w:val="28"/>
          <w:szCs w:val="28"/>
          <w:highlight w:val="none"/>
          <w:lang w:eastAsia="zh-CN"/>
        </w:rPr>
        <w:t>河南德厚工程管理有限公司</w:t>
      </w:r>
    </w:p>
    <w:p w14:paraId="1777ECE3">
      <w:pPr>
        <w:spacing w:before="328" w:line="220" w:lineRule="auto"/>
        <w:ind w:firstLine="1926" w:firstLineChars="700"/>
        <w:rPr>
          <w:rFonts w:ascii="宋体" w:hAnsi="宋体" w:eastAsia="宋体" w:cs="宋体"/>
          <w:sz w:val="28"/>
          <w:szCs w:val="28"/>
          <w:highlight w:val="none"/>
          <w:lang w:eastAsia="zh-CN"/>
        </w:rPr>
      </w:pPr>
      <w:r>
        <w:rPr>
          <w:rFonts w:hint="eastAsia" w:ascii="宋体" w:hAnsi="宋体" w:eastAsia="宋体" w:cs="宋体"/>
          <w:b/>
          <w:bCs/>
          <w:spacing w:val="-3"/>
          <w:sz w:val="28"/>
          <w:szCs w:val="28"/>
          <w:highlight w:val="none"/>
          <w:lang w:eastAsia="zh-CN"/>
        </w:rPr>
        <w:t>时间</w:t>
      </w:r>
      <w:r>
        <w:rPr>
          <w:rFonts w:ascii="宋体" w:hAnsi="宋体" w:eastAsia="宋体" w:cs="宋体"/>
          <w:b/>
          <w:bCs/>
          <w:spacing w:val="-3"/>
          <w:sz w:val="28"/>
          <w:szCs w:val="28"/>
          <w:highlight w:val="none"/>
          <w:lang w:eastAsia="zh-CN"/>
        </w:rPr>
        <w:t>：二〇二</w:t>
      </w:r>
      <w:r>
        <w:rPr>
          <w:rFonts w:hint="eastAsia" w:ascii="宋体" w:hAnsi="宋体" w:eastAsia="宋体" w:cs="宋体"/>
          <w:b/>
          <w:bCs/>
          <w:spacing w:val="-3"/>
          <w:sz w:val="28"/>
          <w:szCs w:val="28"/>
          <w:highlight w:val="none"/>
          <w:lang w:val="en-US" w:eastAsia="zh-CN"/>
        </w:rPr>
        <w:t>六</w:t>
      </w:r>
      <w:r>
        <w:rPr>
          <w:rFonts w:ascii="宋体" w:hAnsi="宋体" w:eastAsia="宋体" w:cs="宋体"/>
          <w:b/>
          <w:bCs/>
          <w:spacing w:val="-3"/>
          <w:sz w:val="28"/>
          <w:szCs w:val="28"/>
          <w:highlight w:val="none"/>
          <w:lang w:eastAsia="zh-CN"/>
        </w:rPr>
        <w:t>年</w:t>
      </w:r>
      <w:r>
        <w:rPr>
          <w:rFonts w:hint="eastAsia" w:ascii="宋体" w:hAnsi="宋体" w:eastAsia="宋体" w:cs="宋体"/>
          <w:b/>
          <w:bCs/>
          <w:spacing w:val="-3"/>
          <w:sz w:val="28"/>
          <w:szCs w:val="28"/>
          <w:highlight w:val="none"/>
          <w:lang w:val="en-US" w:eastAsia="zh-CN"/>
        </w:rPr>
        <w:t>二</w:t>
      </w:r>
      <w:r>
        <w:rPr>
          <w:rFonts w:ascii="宋体" w:hAnsi="宋体" w:eastAsia="宋体" w:cs="宋体"/>
          <w:b/>
          <w:bCs/>
          <w:spacing w:val="-3"/>
          <w:sz w:val="28"/>
          <w:szCs w:val="28"/>
          <w:highlight w:val="none"/>
          <w:lang w:eastAsia="zh-CN"/>
        </w:rPr>
        <w:t>月</w:t>
      </w:r>
    </w:p>
    <w:p w14:paraId="03B81734">
      <w:pPr>
        <w:kinsoku/>
        <w:autoSpaceDE/>
        <w:autoSpaceDN/>
        <w:adjustRightInd/>
        <w:snapToGrid/>
        <w:textAlignment w:val="auto"/>
        <w:rPr>
          <w:highlight w:val="none"/>
          <w:lang w:eastAsia="zh-CN"/>
        </w:rPr>
      </w:pPr>
      <w:r>
        <w:rPr>
          <w:highlight w:val="none"/>
          <w:lang w:eastAsia="zh-CN"/>
        </w:rPr>
        <w:br w:type="page"/>
      </w:r>
    </w:p>
    <w:p w14:paraId="0382390D">
      <w:pPr>
        <w:pStyle w:val="4"/>
        <w:spacing w:line="313" w:lineRule="auto"/>
        <w:rPr>
          <w:highlight w:val="none"/>
          <w:lang w:eastAsia="zh-CN"/>
        </w:rPr>
      </w:pPr>
    </w:p>
    <w:p w14:paraId="3A987A1C">
      <w:pPr>
        <w:widowControl w:val="0"/>
        <w:kinsoku/>
        <w:autoSpaceDE/>
        <w:autoSpaceDN/>
        <w:adjustRightInd/>
        <w:snapToGrid/>
        <w:spacing w:line="600" w:lineRule="auto"/>
        <w:jc w:val="center"/>
        <w:textAlignment w:val="auto"/>
        <w:rPr>
          <w:rFonts w:ascii="宋体" w:hAnsi="宋体" w:eastAsia="宋体" w:cs="宋体"/>
          <w:b/>
          <w:snapToGrid/>
          <w:kern w:val="1"/>
          <w:sz w:val="44"/>
          <w:szCs w:val="44"/>
          <w:highlight w:val="none"/>
          <w:lang w:eastAsia="zh-CN"/>
        </w:rPr>
      </w:pPr>
      <w:r>
        <w:rPr>
          <w:rFonts w:hint="eastAsia" w:ascii="宋体" w:hAnsi="宋体" w:eastAsia="宋体" w:cs="宋体"/>
          <w:b/>
          <w:snapToGrid/>
          <w:kern w:val="1"/>
          <w:sz w:val="44"/>
          <w:szCs w:val="44"/>
          <w:highlight w:val="none"/>
          <w:lang w:eastAsia="zh-CN"/>
        </w:rPr>
        <w:t>目 录</w:t>
      </w:r>
    </w:p>
    <w:p w14:paraId="4703D1F9">
      <w:pPr>
        <w:pStyle w:val="13"/>
        <w:tabs>
          <w:tab w:val="right" w:leader="dot" w:pos="9639"/>
        </w:tabs>
        <w:spacing w:line="480" w:lineRule="auto"/>
        <w:rPr>
          <w:rFonts w:hint="eastAsia" w:asciiTheme="minorEastAsia" w:hAnsiTheme="minorEastAsia" w:eastAsiaTheme="minorEastAsia" w:cstheme="minorEastAsia"/>
          <w:b/>
          <w:bCs/>
          <w:sz w:val="32"/>
          <w:szCs w:val="32"/>
          <w:highlight w:val="none"/>
        </w:rPr>
      </w:pPr>
      <w:r>
        <w:rPr>
          <w:rFonts w:ascii="宋体" w:hAnsi="宋体" w:eastAsia="宋体" w:cs="宋体"/>
          <w:kern w:val="1"/>
          <w:sz w:val="24"/>
          <w:szCs w:val="24"/>
          <w:highlight w:val="none"/>
        </w:rPr>
        <w:fldChar w:fldCharType="begin"/>
      </w:r>
      <w:r>
        <w:rPr>
          <w:rFonts w:ascii="宋体" w:hAnsi="宋体" w:eastAsia="宋体" w:cs="宋体"/>
          <w:kern w:val="1"/>
          <w:sz w:val="24"/>
          <w:szCs w:val="24"/>
          <w:highlight w:val="none"/>
        </w:rPr>
        <w:instrText xml:space="preserve"> TOC \o "1-3" \h \z \u </w:instrText>
      </w:r>
      <w:r>
        <w:rPr>
          <w:rFonts w:ascii="宋体" w:hAnsi="宋体" w:eastAsia="宋体" w:cs="宋体"/>
          <w:kern w:val="1"/>
          <w:sz w:val="24"/>
          <w:szCs w:val="24"/>
          <w:highlight w:val="none"/>
        </w:rPr>
        <w:fldChar w:fldCharType="separate"/>
      </w:r>
      <w:r>
        <w:rPr>
          <w:rFonts w:hint="eastAsia" w:asciiTheme="minorEastAsia" w:hAnsiTheme="minorEastAsia" w:eastAsiaTheme="minorEastAsia" w:cstheme="minorEastAsia"/>
          <w:b/>
          <w:bCs/>
          <w:kern w:val="1"/>
          <w:sz w:val="32"/>
          <w:szCs w:val="32"/>
          <w:highlight w:val="none"/>
        </w:rPr>
        <w:fldChar w:fldCharType="begin"/>
      </w:r>
      <w:r>
        <w:rPr>
          <w:rFonts w:hint="eastAsia" w:asciiTheme="minorEastAsia" w:hAnsiTheme="minorEastAsia" w:eastAsiaTheme="minorEastAsia" w:cstheme="minorEastAsia"/>
          <w:b/>
          <w:bCs/>
          <w:kern w:val="1"/>
          <w:sz w:val="32"/>
          <w:szCs w:val="32"/>
          <w:highlight w:val="none"/>
        </w:rPr>
        <w:instrText xml:space="preserve"> HYPERLINK \l _Toc22952 </w:instrText>
      </w:r>
      <w:r>
        <w:rPr>
          <w:rFonts w:hint="eastAsia" w:asciiTheme="minorEastAsia" w:hAnsiTheme="minorEastAsia" w:eastAsiaTheme="minorEastAsia" w:cstheme="minorEastAsia"/>
          <w:b/>
          <w:bCs/>
          <w:kern w:val="1"/>
          <w:sz w:val="32"/>
          <w:szCs w:val="32"/>
          <w:highlight w:val="none"/>
        </w:rPr>
        <w:fldChar w:fldCharType="separate"/>
      </w:r>
      <w:r>
        <w:rPr>
          <w:rFonts w:hint="eastAsia" w:asciiTheme="minorEastAsia" w:hAnsiTheme="minorEastAsia" w:eastAsiaTheme="minorEastAsia" w:cstheme="minorEastAsia"/>
          <w:b/>
          <w:bCs/>
          <w:spacing w:val="4"/>
          <w:sz w:val="32"/>
          <w:szCs w:val="32"/>
          <w:highlight w:val="none"/>
          <w:lang w:eastAsia="zh-CN"/>
        </w:rPr>
        <w:t>第一章 招标公告</w:t>
      </w:r>
      <w:r>
        <w:rPr>
          <w:rFonts w:hint="eastAsia" w:asciiTheme="minorEastAsia" w:hAnsiTheme="minorEastAsia" w:eastAsiaTheme="minorEastAsia" w:cstheme="minorEastAsia"/>
          <w:b/>
          <w:bCs/>
          <w:sz w:val="32"/>
          <w:szCs w:val="32"/>
          <w:highlight w:val="none"/>
        </w:rPr>
        <w:tab/>
      </w:r>
      <w:r>
        <w:rPr>
          <w:rFonts w:hint="eastAsia" w:asciiTheme="minorEastAsia" w:hAnsiTheme="minorEastAsia" w:eastAsiaTheme="minorEastAsia" w:cstheme="minorEastAsia"/>
          <w:b/>
          <w:bCs/>
          <w:sz w:val="32"/>
          <w:szCs w:val="32"/>
          <w:highlight w:val="none"/>
        </w:rPr>
        <w:fldChar w:fldCharType="begin"/>
      </w:r>
      <w:r>
        <w:rPr>
          <w:rFonts w:hint="eastAsia" w:asciiTheme="minorEastAsia" w:hAnsiTheme="minorEastAsia" w:eastAsiaTheme="minorEastAsia" w:cstheme="minorEastAsia"/>
          <w:b/>
          <w:bCs/>
          <w:sz w:val="32"/>
          <w:szCs w:val="32"/>
          <w:highlight w:val="none"/>
        </w:rPr>
        <w:instrText xml:space="preserve"> PAGEREF _Toc22952 \h </w:instrText>
      </w:r>
      <w:r>
        <w:rPr>
          <w:rFonts w:hint="eastAsia" w:asciiTheme="minorEastAsia" w:hAnsiTheme="minorEastAsia" w:eastAsiaTheme="minorEastAsia" w:cstheme="minorEastAsia"/>
          <w:b/>
          <w:bCs/>
          <w:sz w:val="32"/>
          <w:szCs w:val="32"/>
          <w:highlight w:val="none"/>
        </w:rPr>
        <w:fldChar w:fldCharType="separate"/>
      </w:r>
      <w:r>
        <w:rPr>
          <w:rFonts w:hint="eastAsia" w:asciiTheme="minorEastAsia" w:hAnsiTheme="minorEastAsia" w:eastAsiaTheme="minorEastAsia" w:cstheme="minorEastAsia"/>
          <w:b/>
          <w:bCs/>
          <w:sz w:val="32"/>
          <w:szCs w:val="32"/>
          <w:highlight w:val="none"/>
        </w:rPr>
        <w:t>1</w:t>
      </w:r>
      <w:r>
        <w:rPr>
          <w:rFonts w:hint="eastAsia" w:asciiTheme="minorEastAsia" w:hAnsiTheme="minorEastAsia" w:eastAsiaTheme="minorEastAsia" w:cstheme="minorEastAsia"/>
          <w:b/>
          <w:bCs/>
          <w:sz w:val="32"/>
          <w:szCs w:val="32"/>
          <w:highlight w:val="none"/>
        </w:rPr>
        <w:fldChar w:fldCharType="end"/>
      </w:r>
      <w:r>
        <w:rPr>
          <w:rFonts w:hint="eastAsia" w:asciiTheme="minorEastAsia" w:hAnsiTheme="minorEastAsia" w:eastAsiaTheme="minorEastAsia" w:cstheme="minorEastAsia"/>
          <w:b/>
          <w:bCs/>
          <w:kern w:val="1"/>
          <w:sz w:val="32"/>
          <w:szCs w:val="32"/>
          <w:highlight w:val="none"/>
        </w:rPr>
        <w:fldChar w:fldCharType="end"/>
      </w:r>
    </w:p>
    <w:p w14:paraId="5625B0CA">
      <w:pPr>
        <w:pStyle w:val="13"/>
        <w:tabs>
          <w:tab w:val="right" w:leader="dot" w:pos="9639"/>
        </w:tabs>
        <w:spacing w:line="480" w:lineRule="auto"/>
        <w:rPr>
          <w:rFonts w:hint="eastAsia"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napToGrid/>
          <w:kern w:val="1"/>
          <w:sz w:val="32"/>
          <w:szCs w:val="32"/>
          <w:highlight w:val="none"/>
          <w:lang w:eastAsia="zh-CN"/>
        </w:rPr>
        <w:fldChar w:fldCharType="begin"/>
      </w:r>
      <w:r>
        <w:rPr>
          <w:rFonts w:hint="eastAsia" w:asciiTheme="minorEastAsia" w:hAnsiTheme="minorEastAsia" w:eastAsiaTheme="minorEastAsia" w:cstheme="minorEastAsia"/>
          <w:b/>
          <w:bCs/>
          <w:snapToGrid/>
          <w:kern w:val="1"/>
          <w:sz w:val="32"/>
          <w:szCs w:val="32"/>
          <w:highlight w:val="none"/>
          <w:lang w:eastAsia="zh-CN"/>
        </w:rPr>
        <w:instrText xml:space="preserve"> HYPERLINK \l _Toc15930 </w:instrText>
      </w:r>
      <w:r>
        <w:rPr>
          <w:rFonts w:hint="eastAsia" w:asciiTheme="minorEastAsia" w:hAnsiTheme="minorEastAsia" w:eastAsiaTheme="minorEastAsia" w:cstheme="minorEastAsia"/>
          <w:b/>
          <w:bCs/>
          <w:snapToGrid/>
          <w:kern w:val="1"/>
          <w:sz w:val="32"/>
          <w:szCs w:val="32"/>
          <w:highlight w:val="none"/>
          <w:lang w:eastAsia="zh-CN"/>
        </w:rPr>
        <w:fldChar w:fldCharType="separate"/>
      </w:r>
      <w:r>
        <w:rPr>
          <w:rFonts w:hint="eastAsia" w:asciiTheme="minorEastAsia" w:hAnsiTheme="minorEastAsia" w:eastAsiaTheme="minorEastAsia" w:cstheme="minorEastAsia"/>
          <w:b/>
          <w:bCs/>
          <w:spacing w:val="5"/>
          <w:sz w:val="32"/>
          <w:szCs w:val="32"/>
          <w:highlight w:val="none"/>
          <w:lang w:eastAsia="zh-CN"/>
        </w:rPr>
        <w:t>第二章  投标供应商须知</w:t>
      </w:r>
      <w:r>
        <w:rPr>
          <w:rFonts w:hint="eastAsia" w:asciiTheme="minorEastAsia" w:hAnsiTheme="minorEastAsia" w:eastAsiaTheme="minorEastAsia" w:cstheme="minorEastAsia"/>
          <w:b/>
          <w:bCs/>
          <w:sz w:val="32"/>
          <w:szCs w:val="32"/>
          <w:highlight w:val="none"/>
        </w:rPr>
        <w:tab/>
      </w:r>
      <w:r>
        <w:rPr>
          <w:rFonts w:hint="eastAsia" w:asciiTheme="minorEastAsia" w:hAnsiTheme="minorEastAsia" w:eastAsiaTheme="minorEastAsia" w:cstheme="minorEastAsia"/>
          <w:b/>
          <w:bCs/>
          <w:sz w:val="32"/>
          <w:szCs w:val="32"/>
          <w:highlight w:val="none"/>
        </w:rPr>
        <w:fldChar w:fldCharType="begin"/>
      </w:r>
      <w:r>
        <w:rPr>
          <w:rFonts w:hint="eastAsia" w:asciiTheme="minorEastAsia" w:hAnsiTheme="minorEastAsia" w:eastAsiaTheme="minorEastAsia" w:cstheme="minorEastAsia"/>
          <w:b/>
          <w:bCs/>
          <w:sz w:val="32"/>
          <w:szCs w:val="32"/>
          <w:highlight w:val="none"/>
        </w:rPr>
        <w:instrText xml:space="preserve"> PAGEREF _Toc15930 \h </w:instrText>
      </w:r>
      <w:r>
        <w:rPr>
          <w:rFonts w:hint="eastAsia" w:asciiTheme="minorEastAsia" w:hAnsiTheme="minorEastAsia" w:eastAsiaTheme="minorEastAsia" w:cstheme="minorEastAsia"/>
          <w:b/>
          <w:bCs/>
          <w:sz w:val="32"/>
          <w:szCs w:val="32"/>
          <w:highlight w:val="none"/>
        </w:rPr>
        <w:fldChar w:fldCharType="separate"/>
      </w:r>
      <w:r>
        <w:rPr>
          <w:rFonts w:hint="eastAsia" w:asciiTheme="minorEastAsia" w:hAnsiTheme="minorEastAsia" w:eastAsiaTheme="minorEastAsia" w:cstheme="minorEastAsia"/>
          <w:b/>
          <w:bCs/>
          <w:sz w:val="32"/>
          <w:szCs w:val="32"/>
          <w:highlight w:val="none"/>
        </w:rPr>
        <w:t>5</w:t>
      </w:r>
      <w:r>
        <w:rPr>
          <w:rFonts w:hint="eastAsia" w:asciiTheme="minorEastAsia" w:hAnsiTheme="minorEastAsia" w:eastAsiaTheme="minorEastAsia" w:cstheme="minorEastAsia"/>
          <w:b/>
          <w:bCs/>
          <w:sz w:val="32"/>
          <w:szCs w:val="32"/>
          <w:highlight w:val="none"/>
        </w:rPr>
        <w:fldChar w:fldCharType="end"/>
      </w:r>
      <w:r>
        <w:rPr>
          <w:rFonts w:hint="eastAsia" w:asciiTheme="minorEastAsia" w:hAnsiTheme="minorEastAsia" w:eastAsiaTheme="minorEastAsia" w:cstheme="minorEastAsia"/>
          <w:b/>
          <w:bCs/>
          <w:snapToGrid/>
          <w:kern w:val="1"/>
          <w:sz w:val="32"/>
          <w:szCs w:val="32"/>
          <w:highlight w:val="none"/>
          <w:lang w:eastAsia="zh-CN"/>
        </w:rPr>
        <w:fldChar w:fldCharType="end"/>
      </w:r>
    </w:p>
    <w:p w14:paraId="28FB279C">
      <w:pPr>
        <w:pStyle w:val="13"/>
        <w:tabs>
          <w:tab w:val="right" w:leader="dot" w:pos="9639"/>
        </w:tabs>
        <w:spacing w:line="480" w:lineRule="auto"/>
        <w:rPr>
          <w:rFonts w:hint="eastAsia"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napToGrid/>
          <w:kern w:val="1"/>
          <w:sz w:val="32"/>
          <w:szCs w:val="32"/>
          <w:highlight w:val="none"/>
          <w:lang w:eastAsia="zh-CN"/>
        </w:rPr>
        <w:fldChar w:fldCharType="begin"/>
      </w:r>
      <w:r>
        <w:rPr>
          <w:rFonts w:hint="eastAsia" w:asciiTheme="minorEastAsia" w:hAnsiTheme="minorEastAsia" w:eastAsiaTheme="minorEastAsia" w:cstheme="minorEastAsia"/>
          <w:b/>
          <w:bCs/>
          <w:snapToGrid/>
          <w:kern w:val="1"/>
          <w:sz w:val="32"/>
          <w:szCs w:val="32"/>
          <w:highlight w:val="none"/>
          <w:lang w:eastAsia="zh-CN"/>
        </w:rPr>
        <w:instrText xml:space="preserve"> HYPERLINK \l _Toc13012 </w:instrText>
      </w:r>
      <w:r>
        <w:rPr>
          <w:rFonts w:hint="eastAsia" w:asciiTheme="minorEastAsia" w:hAnsiTheme="minorEastAsia" w:eastAsiaTheme="minorEastAsia" w:cstheme="minorEastAsia"/>
          <w:b/>
          <w:bCs/>
          <w:snapToGrid/>
          <w:kern w:val="1"/>
          <w:sz w:val="32"/>
          <w:szCs w:val="32"/>
          <w:highlight w:val="none"/>
          <w:lang w:eastAsia="zh-CN"/>
        </w:rPr>
        <w:fldChar w:fldCharType="separate"/>
      </w:r>
      <w:r>
        <w:rPr>
          <w:rFonts w:hint="eastAsia" w:asciiTheme="minorEastAsia" w:hAnsiTheme="minorEastAsia" w:eastAsiaTheme="minorEastAsia" w:cstheme="minorEastAsia"/>
          <w:b/>
          <w:bCs/>
          <w:spacing w:val="5"/>
          <w:sz w:val="32"/>
          <w:szCs w:val="32"/>
          <w:highlight w:val="none"/>
          <w:lang w:eastAsia="zh-CN"/>
        </w:rPr>
        <w:t>第三章  服务内容及要求</w:t>
      </w:r>
      <w:r>
        <w:rPr>
          <w:rFonts w:hint="eastAsia" w:asciiTheme="minorEastAsia" w:hAnsiTheme="minorEastAsia" w:eastAsiaTheme="minorEastAsia" w:cstheme="minorEastAsia"/>
          <w:b/>
          <w:bCs/>
          <w:sz w:val="32"/>
          <w:szCs w:val="32"/>
          <w:highlight w:val="none"/>
        </w:rPr>
        <w:tab/>
      </w:r>
      <w:r>
        <w:rPr>
          <w:rFonts w:hint="eastAsia" w:asciiTheme="minorEastAsia" w:hAnsiTheme="minorEastAsia" w:eastAsiaTheme="minorEastAsia" w:cstheme="minorEastAsia"/>
          <w:b/>
          <w:bCs/>
          <w:sz w:val="32"/>
          <w:szCs w:val="32"/>
          <w:highlight w:val="none"/>
        </w:rPr>
        <w:fldChar w:fldCharType="begin"/>
      </w:r>
      <w:r>
        <w:rPr>
          <w:rFonts w:hint="eastAsia" w:asciiTheme="minorEastAsia" w:hAnsiTheme="minorEastAsia" w:eastAsiaTheme="minorEastAsia" w:cstheme="minorEastAsia"/>
          <w:b/>
          <w:bCs/>
          <w:sz w:val="32"/>
          <w:szCs w:val="32"/>
          <w:highlight w:val="none"/>
        </w:rPr>
        <w:instrText xml:space="preserve"> PAGEREF _Toc13012 \h </w:instrText>
      </w:r>
      <w:r>
        <w:rPr>
          <w:rFonts w:hint="eastAsia" w:asciiTheme="minorEastAsia" w:hAnsiTheme="minorEastAsia" w:eastAsiaTheme="minorEastAsia" w:cstheme="minorEastAsia"/>
          <w:b/>
          <w:bCs/>
          <w:sz w:val="32"/>
          <w:szCs w:val="32"/>
          <w:highlight w:val="none"/>
        </w:rPr>
        <w:fldChar w:fldCharType="separate"/>
      </w:r>
      <w:r>
        <w:rPr>
          <w:rFonts w:hint="eastAsia" w:asciiTheme="minorEastAsia" w:hAnsiTheme="minorEastAsia" w:eastAsiaTheme="minorEastAsia" w:cstheme="minorEastAsia"/>
          <w:b/>
          <w:bCs/>
          <w:sz w:val="32"/>
          <w:szCs w:val="32"/>
          <w:highlight w:val="none"/>
        </w:rPr>
        <w:t>25</w:t>
      </w:r>
      <w:r>
        <w:rPr>
          <w:rFonts w:hint="eastAsia" w:asciiTheme="minorEastAsia" w:hAnsiTheme="minorEastAsia" w:eastAsiaTheme="minorEastAsia" w:cstheme="minorEastAsia"/>
          <w:b/>
          <w:bCs/>
          <w:sz w:val="32"/>
          <w:szCs w:val="32"/>
          <w:highlight w:val="none"/>
        </w:rPr>
        <w:fldChar w:fldCharType="end"/>
      </w:r>
      <w:r>
        <w:rPr>
          <w:rFonts w:hint="eastAsia" w:asciiTheme="minorEastAsia" w:hAnsiTheme="minorEastAsia" w:eastAsiaTheme="minorEastAsia" w:cstheme="minorEastAsia"/>
          <w:b/>
          <w:bCs/>
          <w:snapToGrid/>
          <w:kern w:val="1"/>
          <w:sz w:val="32"/>
          <w:szCs w:val="32"/>
          <w:highlight w:val="none"/>
          <w:lang w:eastAsia="zh-CN"/>
        </w:rPr>
        <w:fldChar w:fldCharType="end"/>
      </w:r>
    </w:p>
    <w:p w14:paraId="181469D7">
      <w:pPr>
        <w:pStyle w:val="13"/>
        <w:tabs>
          <w:tab w:val="right" w:leader="dot" w:pos="9639"/>
        </w:tabs>
        <w:spacing w:line="480" w:lineRule="auto"/>
        <w:rPr>
          <w:rFonts w:hint="eastAsia"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napToGrid/>
          <w:kern w:val="1"/>
          <w:sz w:val="32"/>
          <w:szCs w:val="32"/>
          <w:highlight w:val="none"/>
          <w:lang w:eastAsia="zh-CN"/>
        </w:rPr>
        <w:fldChar w:fldCharType="begin"/>
      </w:r>
      <w:r>
        <w:rPr>
          <w:rFonts w:hint="eastAsia" w:asciiTheme="minorEastAsia" w:hAnsiTheme="minorEastAsia" w:eastAsiaTheme="minorEastAsia" w:cstheme="minorEastAsia"/>
          <w:b/>
          <w:bCs/>
          <w:snapToGrid/>
          <w:kern w:val="1"/>
          <w:sz w:val="32"/>
          <w:szCs w:val="32"/>
          <w:highlight w:val="none"/>
          <w:lang w:eastAsia="zh-CN"/>
        </w:rPr>
        <w:instrText xml:space="preserve"> HYPERLINK \l _Toc22529 </w:instrText>
      </w:r>
      <w:r>
        <w:rPr>
          <w:rFonts w:hint="eastAsia" w:asciiTheme="minorEastAsia" w:hAnsiTheme="minorEastAsia" w:eastAsiaTheme="minorEastAsia" w:cstheme="minorEastAsia"/>
          <w:b/>
          <w:bCs/>
          <w:snapToGrid/>
          <w:kern w:val="1"/>
          <w:sz w:val="32"/>
          <w:szCs w:val="32"/>
          <w:highlight w:val="none"/>
          <w:lang w:eastAsia="zh-CN"/>
        </w:rPr>
        <w:fldChar w:fldCharType="separate"/>
      </w:r>
      <w:r>
        <w:rPr>
          <w:rFonts w:hint="eastAsia" w:asciiTheme="minorEastAsia" w:hAnsiTheme="minorEastAsia" w:eastAsiaTheme="minorEastAsia" w:cstheme="minorEastAsia"/>
          <w:b/>
          <w:bCs/>
          <w:spacing w:val="4"/>
          <w:sz w:val="32"/>
          <w:szCs w:val="32"/>
          <w:highlight w:val="none"/>
          <w:lang w:eastAsia="zh-CN"/>
        </w:rPr>
        <w:t>第四章  评标办法</w:t>
      </w:r>
      <w:r>
        <w:rPr>
          <w:rFonts w:hint="eastAsia" w:asciiTheme="minorEastAsia" w:hAnsiTheme="minorEastAsia" w:eastAsiaTheme="minorEastAsia" w:cstheme="minorEastAsia"/>
          <w:b/>
          <w:bCs/>
          <w:sz w:val="32"/>
          <w:szCs w:val="32"/>
          <w:highlight w:val="none"/>
        </w:rPr>
        <w:tab/>
      </w:r>
      <w:r>
        <w:rPr>
          <w:rFonts w:hint="eastAsia" w:asciiTheme="minorEastAsia" w:hAnsiTheme="minorEastAsia" w:eastAsiaTheme="minorEastAsia" w:cstheme="minorEastAsia"/>
          <w:b/>
          <w:bCs/>
          <w:sz w:val="32"/>
          <w:szCs w:val="32"/>
          <w:highlight w:val="none"/>
        </w:rPr>
        <w:fldChar w:fldCharType="begin"/>
      </w:r>
      <w:r>
        <w:rPr>
          <w:rFonts w:hint="eastAsia" w:asciiTheme="minorEastAsia" w:hAnsiTheme="minorEastAsia" w:eastAsiaTheme="minorEastAsia" w:cstheme="minorEastAsia"/>
          <w:b/>
          <w:bCs/>
          <w:sz w:val="32"/>
          <w:szCs w:val="32"/>
          <w:highlight w:val="none"/>
        </w:rPr>
        <w:instrText xml:space="preserve"> PAGEREF _Toc22529 \h </w:instrText>
      </w:r>
      <w:r>
        <w:rPr>
          <w:rFonts w:hint="eastAsia" w:asciiTheme="minorEastAsia" w:hAnsiTheme="minorEastAsia" w:eastAsiaTheme="minorEastAsia" w:cstheme="minorEastAsia"/>
          <w:b/>
          <w:bCs/>
          <w:sz w:val="32"/>
          <w:szCs w:val="32"/>
          <w:highlight w:val="none"/>
        </w:rPr>
        <w:fldChar w:fldCharType="separate"/>
      </w:r>
      <w:r>
        <w:rPr>
          <w:rFonts w:hint="eastAsia" w:asciiTheme="minorEastAsia" w:hAnsiTheme="minorEastAsia" w:eastAsiaTheme="minorEastAsia" w:cstheme="minorEastAsia"/>
          <w:b/>
          <w:bCs/>
          <w:sz w:val="32"/>
          <w:szCs w:val="32"/>
          <w:highlight w:val="none"/>
        </w:rPr>
        <w:t>33</w:t>
      </w:r>
      <w:r>
        <w:rPr>
          <w:rFonts w:hint="eastAsia" w:asciiTheme="minorEastAsia" w:hAnsiTheme="minorEastAsia" w:eastAsiaTheme="minorEastAsia" w:cstheme="minorEastAsia"/>
          <w:b/>
          <w:bCs/>
          <w:sz w:val="32"/>
          <w:szCs w:val="32"/>
          <w:highlight w:val="none"/>
        </w:rPr>
        <w:fldChar w:fldCharType="end"/>
      </w:r>
      <w:r>
        <w:rPr>
          <w:rFonts w:hint="eastAsia" w:asciiTheme="minorEastAsia" w:hAnsiTheme="minorEastAsia" w:eastAsiaTheme="minorEastAsia" w:cstheme="minorEastAsia"/>
          <w:b/>
          <w:bCs/>
          <w:snapToGrid/>
          <w:kern w:val="1"/>
          <w:sz w:val="32"/>
          <w:szCs w:val="32"/>
          <w:highlight w:val="none"/>
          <w:lang w:eastAsia="zh-CN"/>
        </w:rPr>
        <w:fldChar w:fldCharType="end"/>
      </w:r>
    </w:p>
    <w:p w14:paraId="077BD385">
      <w:pPr>
        <w:pStyle w:val="13"/>
        <w:tabs>
          <w:tab w:val="right" w:leader="dot" w:pos="9639"/>
        </w:tabs>
        <w:spacing w:line="480" w:lineRule="auto"/>
        <w:rPr>
          <w:rFonts w:hint="eastAsia" w:asciiTheme="minorEastAsia" w:hAnsiTheme="minorEastAsia" w:eastAsiaTheme="minorEastAsia" w:cstheme="minorEastAsia"/>
          <w:b/>
          <w:bCs/>
          <w:sz w:val="32"/>
          <w:szCs w:val="32"/>
          <w:highlight w:val="none"/>
        </w:rPr>
      </w:pPr>
      <w:r>
        <w:rPr>
          <w:rFonts w:hint="eastAsia" w:asciiTheme="minorEastAsia" w:hAnsiTheme="minorEastAsia" w:eastAsiaTheme="minorEastAsia" w:cstheme="minorEastAsia"/>
          <w:b/>
          <w:bCs/>
          <w:snapToGrid/>
          <w:kern w:val="1"/>
          <w:sz w:val="32"/>
          <w:szCs w:val="32"/>
          <w:highlight w:val="none"/>
          <w:lang w:eastAsia="zh-CN"/>
        </w:rPr>
        <w:fldChar w:fldCharType="begin"/>
      </w:r>
      <w:r>
        <w:rPr>
          <w:rFonts w:hint="eastAsia" w:asciiTheme="minorEastAsia" w:hAnsiTheme="minorEastAsia" w:eastAsiaTheme="minorEastAsia" w:cstheme="minorEastAsia"/>
          <w:b/>
          <w:bCs/>
          <w:snapToGrid/>
          <w:kern w:val="1"/>
          <w:sz w:val="32"/>
          <w:szCs w:val="32"/>
          <w:highlight w:val="none"/>
          <w:lang w:eastAsia="zh-CN"/>
        </w:rPr>
        <w:instrText xml:space="preserve"> HYPERLINK \l _Toc25019 </w:instrText>
      </w:r>
      <w:r>
        <w:rPr>
          <w:rFonts w:hint="eastAsia" w:asciiTheme="minorEastAsia" w:hAnsiTheme="minorEastAsia" w:eastAsiaTheme="minorEastAsia" w:cstheme="minorEastAsia"/>
          <w:b/>
          <w:bCs/>
          <w:snapToGrid/>
          <w:kern w:val="1"/>
          <w:sz w:val="32"/>
          <w:szCs w:val="32"/>
          <w:highlight w:val="none"/>
          <w:lang w:eastAsia="zh-CN"/>
        </w:rPr>
        <w:fldChar w:fldCharType="separate"/>
      </w:r>
      <w:r>
        <w:rPr>
          <w:rFonts w:hint="eastAsia" w:asciiTheme="minorEastAsia" w:hAnsiTheme="minorEastAsia" w:eastAsiaTheme="minorEastAsia" w:cstheme="minorEastAsia"/>
          <w:b/>
          <w:bCs/>
          <w:spacing w:val="5"/>
          <w:sz w:val="32"/>
          <w:szCs w:val="32"/>
          <w:highlight w:val="none"/>
          <w:lang w:eastAsia="zh-CN"/>
        </w:rPr>
        <w:t>第五章  合同条款及格式</w:t>
      </w:r>
      <w:r>
        <w:rPr>
          <w:rFonts w:hint="eastAsia" w:asciiTheme="minorEastAsia" w:hAnsiTheme="minorEastAsia" w:eastAsiaTheme="minorEastAsia" w:cstheme="minorEastAsia"/>
          <w:b/>
          <w:bCs/>
          <w:sz w:val="32"/>
          <w:szCs w:val="32"/>
          <w:highlight w:val="none"/>
        </w:rPr>
        <w:tab/>
      </w:r>
      <w:r>
        <w:rPr>
          <w:rFonts w:hint="eastAsia" w:asciiTheme="minorEastAsia" w:hAnsiTheme="minorEastAsia" w:eastAsiaTheme="minorEastAsia" w:cstheme="minorEastAsia"/>
          <w:b/>
          <w:bCs/>
          <w:sz w:val="32"/>
          <w:szCs w:val="32"/>
          <w:highlight w:val="none"/>
        </w:rPr>
        <w:fldChar w:fldCharType="begin"/>
      </w:r>
      <w:r>
        <w:rPr>
          <w:rFonts w:hint="eastAsia" w:asciiTheme="minorEastAsia" w:hAnsiTheme="minorEastAsia" w:eastAsiaTheme="minorEastAsia" w:cstheme="minorEastAsia"/>
          <w:b/>
          <w:bCs/>
          <w:sz w:val="32"/>
          <w:szCs w:val="32"/>
          <w:highlight w:val="none"/>
        </w:rPr>
        <w:instrText xml:space="preserve"> PAGEREF _Toc25019 \h </w:instrText>
      </w:r>
      <w:r>
        <w:rPr>
          <w:rFonts w:hint="eastAsia" w:asciiTheme="minorEastAsia" w:hAnsiTheme="minorEastAsia" w:eastAsiaTheme="minorEastAsia" w:cstheme="minorEastAsia"/>
          <w:b/>
          <w:bCs/>
          <w:sz w:val="32"/>
          <w:szCs w:val="32"/>
          <w:highlight w:val="none"/>
        </w:rPr>
        <w:fldChar w:fldCharType="separate"/>
      </w:r>
      <w:r>
        <w:rPr>
          <w:rFonts w:hint="eastAsia" w:asciiTheme="minorEastAsia" w:hAnsiTheme="minorEastAsia" w:eastAsiaTheme="minorEastAsia" w:cstheme="minorEastAsia"/>
          <w:b/>
          <w:bCs/>
          <w:sz w:val="32"/>
          <w:szCs w:val="32"/>
          <w:highlight w:val="none"/>
        </w:rPr>
        <w:t>41</w:t>
      </w:r>
      <w:r>
        <w:rPr>
          <w:rFonts w:hint="eastAsia" w:asciiTheme="minorEastAsia" w:hAnsiTheme="minorEastAsia" w:eastAsiaTheme="minorEastAsia" w:cstheme="minorEastAsia"/>
          <w:b/>
          <w:bCs/>
          <w:sz w:val="32"/>
          <w:szCs w:val="32"/>
          <w:highlight w:val="none"/>
        </w:rPr>
        <w:fldChar w:fldCharType="end"/>
      </w:r>
      <w:r>
        <w:rPr>
          <w:rFonts w:hint="eastAsia" w:asciiTheme="minorEastAsia" w:hAnsiTheme="minorEastAsia" w:eastAsiaTheme="minorEastAsia" w:cstheme="minorEastAsia"/>
          <w:b/>
          <w:bCs/>
          <w:snapToGrid/>
          <w:kern w:val="1"/>
          <w:sz w:val="32"/>
          <w:szCs w:val="32"/>
          <w:highlight w:val="none"/>
          <w:lang w:eastAsia="zh-CN"/>
        </w:rPr>
        <w:fldChar w:fldCharType="end"/>
      </w:r>
    </w:p>
    <w:p w14:paraId="535D7ED3">
      <w:pPr>
        <w:pStyle w:val="13"/>
        <w:tabs>
          <w:tab w:val="right" w:leader="dot" w:pos="9639"/>
        </w:tabs>
        <w:spacing w:line="480" w:lineRule="auto"/>
        <w:rPr>
          <w:highlight w:val="none"/>
        </w:rPr>
      </w:pPr>
      <w:r>
        <w:rPr>
          <w:rFonts w:hint="eastAsia" w:asciiTheme="minorEastAsia" w:hAnsiTheme="minorEastAsia" w:eastAsiaTheme="minorEastAsia" w:cstheme="minorEastAsia"/>
          <w:b/>
          <w:bCs/>
          <w:snapToGrid/>
          <w:kern w:val="1"/>
          <w:sz w:val="32"/>
          <w:szCs w:val="32"/>
          <w:highlight w:val="none"/>
          <w:lang w:eastAsia="zh-CN"/>
        </w:rPr>
        <w:fldChar w:fldCharType="begin"/>
      </w:r>
      <w:r>
        <w:rPr>
          <w:rFonts w:hint="eastAsia" w:asciiTheme="minorEastAsia" w:hAnsiTheme="minorEastAsia" w:eastAsiaTheme="minorEastAsia" w:cstheme="minorEastAsia"/>
          <w:b/>
          <w:bCs/>
          <w:snapToGrid/>
          <w:kern w:val="1"/>
          <w:sz w:val="32"/>
          <w:szCs w:val="32"/>
          <w:highlight w:val="none"/>
          <w:lang w:eastAsia="zh-CN"/>
        </w:rPr>
        <w:instrText xml:space="preserve"> HYPERLINK \l _Toc4671 </w:instrText>
      </w:r>
      <w:r>
        <w:rPr>
          <w:rFonts w:hint="eastAsia" w:asciiTheme="minorEastAsia" w:hAnsiTheme="minorEastAsia" w:eastAsiaTheme="minorEastAsia" w:cstheme="minorEastAsia"/>
          <w:b/>
          <w:bCs/>
          <w:snapToGrid/>
          <w:kern w:val="1"/>
          <w:sz w:val="32"/>
          <w:szCs w:val="32"/>
          <w:highlight w:val="none"/>
          <w:lang w:eastAsia="zh-CN"/>
        </w:rPr>
        <w:fldChar w:fldCharType="separate"/>
      </w:r>
      <w:r>
        <w:rPr>
          <w:rFonts w:hint="eastAsia" w:asciiTheme="minorEastAsia" w:hAnsiTheme="minorEastAsia" w:eastAsiaTheme="minorEastAsia" w:cstheme="minorEastAsia"/>
          <w:b/>
          <w:bCs/>
          <w:spacing w:val="-1"/>
          <w:sz w:val="32"/>
          <w:szCs w:val="32"/>
          <w:highlight w:val="none"/>
          <w:lang w:eastAsia="zh-CN"/>
        </w:rPr>
        <w:t>第六章</w:t>
      </w:r>
      <w:r>
        <w:rPr>
          <w:rFonts w:hint="eastAsia" w:asciiTheme="minorEastAsia" w:hAnsiTheme="minorEastAsia" w:eastAsiaTheme="minorEastAsia" w:cstheme="minorEastAsia"/>
          <w:b/>
          <w:bCs/>
          <w:spacing w:val="44"/>
          <w:sz w:val="32"/>
          <w:szCs w:val="32"/>
          <w:highlight w:val="none"/>
          <w:lang w:eastAsia="zh-CN"/>
        </w:rPr>
        <w:t xml:space="preserve">  </w:t>
      </w:r>
      <w:r>
        <w:rPr>
          <w:rFonts w:hint="eastAsia" w:asciiTheme="minorEastAsia" w:hAnsiTheme="minorEastAsia" w:eastAsiaTheme="minorEastAsia" w:cstheme="minorEastAsia"/>
          <w:b/>
          <w:bCs/>
          <w:spacing w:val="-1"/>
          <w:sz w:val="32"/>
          <w:szCs w:val="32"/>
          <w:highlight w:val="none"/>
          <w:lang w:eastAsia="zh-CN"/>
        </w:rPr>
        <w:t>电子化投标文件格式</w:t>
      </w:r>
      <w:r>
        <w:rPr>
          <w:rFonts w:hint="eastAsia" w:asciiTheme="minorEastAsia" w:hAnsiTheme="minorEastAsia" w:eastAsiaTheme="minorEastAsia" w:cstheme="minorEastAsia"/>
          <w:b/>
          <w:bCs/>
          <w:sz w:val="32"/>
          <w:szCs w:val="32"/>
          <w:highlight w:val="none"/>
        </w:rPr>
        <w:tab/>
      </w:r>
      <w:r>
        <w:rPr>
          <w:rFonts w:hint="eastAsia" w:asciiTheme="minorEastAsia" w:hAnsiTheme="minorEastAsia" w:eastAsiaTheme="minorEastAsia" w:cstheme="minorEastAsia"/>
          <w:b/>
          <w:bCs/>
          <w:sz w:val="32"/>
          <w:szCs w:val="32"/>
          <w:highlight w:val="none"/>
        </w:rPr>
        <w:fldChar w:fldCharType="begin"/>
      </w:r>
      <w:r>
        <w:rPr>
          <w:rFonts w:hint="eastAsia" w:asciiTheme="minorEastAsia" w:hAnsiTheme="minorEastAsia" w:eastAsiaTheme="minorEastAsia" w:cstheme="minorEastAsia"/>
          <w:b/>
          <w:bCs/>
          <w:sz w:val="32"/>
          <w:szCs w:val="32"/>
          <w:highlight w:val="none"/>
        </w:rPr>
        <w:instrText xml:space="preserve"> PAGEREF _Toc4671 \h </w:instrText>
      </w:r>
      <w:r>
        <w:rPr>
          <w:rFonts w:hint="eastAsia" w:asciiTheme="minorEastAsia" w:hAnsiTheme="minorEastAsia" w:eastAsiaTheme="minorEastAsia" w:cstheme="minorEastAsia"/>
          <w:b/>
          <w:bCs/>
          <w:sz w:val="32"/>
          <w:szCs w:val="32"/>
          <w:highlight w:val="none"/>
        </w:rPr>
        <w:fldChar w:fldCharType="separate"/>
      </w:r>
      <w:r>
        <w:rPr>
          <w:rFonts w:hint="eastAsia" w:asciiTheme="minorEastAsia" w:hAnsiTheme="minorEastAsia" w:eastAsiaTheme="minorEastAsia" w:cstheme="minorEastAsia"/>
          <w:b/>
          <w:bCs/>
          <w:sz w:val="32"/>
          <w:szCs w:val="32"/>
          <w:highlight w:val="none"/>
        </w:rPr>
        <w:t>44</w:t>
      </w:r>
      <w:r>
        <w:rPr>
          <w:rFonts w:hint="eastAsia" w:asciiTheme="minorEastAsia" w:hAnsiTheme="minorEastAsia" w:eastAsiaTheme="minorEastAsia" w:cstheme="minorEastAsia"/>
          <w:b/>
          <w:bCs/>
          <w:sz w:val="32"/>
          <w:szCs w:val="32"/>
          <w:highlight w:val="none"/>
        </w:rPr>
        <w:fldChar w:fldCharType="end"/>
      </w:r>
      <w:r>
        <w:rPr>
          <w:rFonts w:hint="eastAsia" w:asciiTheme="minorEastAsia" w:hAnsiTheme="minorEastAsia" w:eastAsiaTheme="minorEastAsia" w:cstheme="minorEastAsia"/>
          <w:b/>
          <w:bCs/>
          <w:snapToGrid/>
          <w:kern w:val="1"/>
          <w:sz w:val="32"/>
          <w:szCs w:val="32"/>
          <w:highlight w:val="none"/>
          <w:lang w:eastAsia="zh-CN"/>
        </w:rPr>
        <w:fldChar w:fldCharType="end"/>
      </w:r>
    </w:p>
    <w:p w14:paraId="295BB5FA">
      <w:pPr>
        <w:spacing w:before="130" w:line="222" w:lineRule="auto"/>
        <w:ind w:left="4035"/>
        <w:rPr>
          <w:rFonts w:ascii="Calibri" w:hAnsi="Calibri" w:cs="Calibri" w:eastAsiaTheme="minorEastAsia"/>
          <w:sz w:val="28"/>
          <w:szCs w:val="28"/>
          <w:highlight w:val="none"/>
          <w:lang w:eastAsia="zh-CN"/>
        </w:rPr>
      </w:pPr>
      <w:r>
        <w:rPr>
          <w:rFonts w:ascii="宋体" w:hAnsi="宋体" w:eastAsia="宋体" w:cs="宋体"/>
          <w:snapToGrid/>
          <w:kern w:val="1"/>
          <w:szCs w:val="24"/>
          <w:highlight w:val="none"/>
          <w:lang w:eastAsia="zh-CN"/>
        </w:rPr>
        <w:fldChar w:fldCharType="end"/>
      </w:r>
    </w:p>
    <w:p w14:paraId="1E0CA260">
      <w:pPr>
        <w:spacing w:before="130" w:line="222" w:lineRule="auto"/>
        <w:ind w:left="4035"/>
        <w:rPr>
          <w:rFonts w:ascii="Calibri" w:hAnsi="Calibri" w:cs="Calibri" w:eastAsiaTheme="minorEastAsia"/>
          <w:sz w:val="28"/>
          <w:szCs w:val="28"/>
          <w:highlight w:val="none"/>
          <w:lang w:eastAsia="zh-CN"/>
        </w:rPr>
      </w:pPr>
    </w:p>
    <w:p w14:paraId="4791E797">
      <w:pPr>
        <w:kinsoku/>
        <w:autoSpaceDE/>
        <w:autoSpaceDN/>
        <w:adjustRightInd/>
        <w:snapToGrid/>
        <w:textAlignment w:val="auto"/>
        <w:rPr>
          <w:rFonts w:ascii="宋体" w:hAnsi="宋体" w:eastAsia="宋体" w:cs="宋体"/>
          <w:b/>
          <w:bCs/>
          <w:spacing w:val="4"/>
          <w:sz w:val="43"/>
          <w:szCs w:val="43"/>
          <w:highlight w:val="none"/>
          <w:lang w:eastAsia="zh-CN"/>
        </w:rPr>
        <w:sectPr>
          <w:footerReference r:id="rId3" w:type="default"/>
          <w:type w:val="continuous"/>
          <w:pgSz w:w="11907" w:h="16839"/>
          <w:pgMar w:top="1134" w:right="1134" w:bottom="1134" w:left="1134" w:header="0" w:footer="988" w:gutter="0"/>
          <w:pgNumType w:start="1"/>
          <w:cols w:space="720" w:num="1"/>
        </w:sectPr>
      </w:pPr>
      <w:bookmarkStart w:id="0" w:name="bookmark1"/>
      <w:bookmarkEnd w:id="0"/>
      <w:bookmarkStart w:id="1" w:name="bookmark2"/>
      <w:bookmarkEnd w:id="1"/>
      <w:r>
        <w:rPr>
          <w:rFonts w:ascii="宋体" w:hAnsi="宋体" w:eastAsia="宋体" w:cs="宋体"/>
          <w:b/>
          <w:bCs/>
          <w:spacing w:val="4"/>
          <w:sz w:val="43"/>
          <w:szCs w:val="43"/>
          <w:highlight w:val="none"/>
          <w:lang w:eastAsia="zh-CN"/>
        </w:rPr>
        <w:br w:type="page"/>
      </w:r>
    </w:p>
    <w:p w14:paraId="3B362282">
      <w:pPr>
        <w:spacing w:before="140" w:line="222" w:lineRule="auto"/>
        <w:ind w:left="2806"/>
        <w:outlineLvl w:val="0"/>
        <w:rPr>
          <w:rFonts w:ascii="宋体" w:hAnsi="宋体" w:eastAsia="宋体" w:cs="宋体"/>
          <w:sz w:val="43"/>
          <w:szCs w:val="43"/>
          <w:highlight w:val="none"/>
          <w:lang w:eastAsia="zh-CN"/>
        </w:rPr>
      </w:pPr>
      <w:bookmarkStart w:id="2" w:name="_Toc22952"/>
      <w:r>
        <w:rPr>
          <w:rFonts w:ascii="宋体" w:hAnsi="宋体" w:eastAsia="宋体" w:cs="宋体"/>
          <w:b/>
          <w:bCs/>
          <w:spacing w:val="4"/>
          <w:sz w:val="43"/>
          <w:szCs w:val="43"/>
          <w:highlight w:val="none"/>
          <w:lang w:eastAsia="zh-CN"/>
        </w:rPr>
        <w:t>第一章</w:t>
      </w:r>
      <w:r>
        <w:rPr>
          <w:rFonts w:ascii="宋体" w:hAnsi="宋体" w:eastAsia="宋体" w:cs="宋体"/>
          <w:spacing w:val="4"/>
          <w:sz w:val="43"/>
          <w:szCs w:val="43"/>
          <w:highlight w:val="none"/>
          <w:lang w:eastAsia="zh-CN"/>
        </w:rPr>
        <w:t xml:space="preserve"> </w:t>
      </w:r>
      <w:r>
        <w:rPr>
          <w:rFonts w:ascii="宋体" w:hAnsi="宋体" w:eastAsia="宋体" w:cs="宋体"/>
          <w:b/>
          <w:bCs/>
          <w:spacing w:val="4"/>
          <w:sz w:val="43"/>
          <w:szCs w:val="43"/>
          <w:highlight w:val="none"/>
          <w:lang w:eastAsia="zh-CN"/>
        </w:rPr>
        <w:t>招标公告</w:t>
      </w:r>
      <w:bookmarkEnd w:id="2"/>
    </w:p>
    <w:p w14:paraId="1D6C507B">
      <w:pPr>
        <w:spacing w:line="36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项目概况</w:t>
      </w:r>
    </w:p>
    <w:p w14:paraId="5A69104F">
      <w:pPr>
        <w:spacing w:line="36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渑池县2024年度原天保工程区森林抚育项目（二次）的潜在投标人凭CA登录三门峡市公共资源交易中心网获取本项目招标文件，并于</w:t>
      </w:r>
      <w:r>
        <w:rPr>
          <w:rFonts w:hint="eastAsia" w:ascii="宋体" w:hAnsi="宋体" w:cs="宋体"/>
          <w:color w:val="auto"/>
          <w:sz w:val="24"/>
          <w:szCs w:val="24"/>
          <w:highlight w:val="none"/>
          <w:lang w:eastAsia="zh-CN"/>
        </w:rPr>
        <w:t>2026年03月06日8时20分</w:t>
      </w:r>
      <w:r>
        <w:rPr>
          <w:rFonts w:hint="eastAsia" w:ascii="宋体" w:hAnsi="宋体" w:cs="宋体"/>
          <w:color w:val="auto"/>
          <w:sz w:val="24"/>
          <w:szCs w:val="24"/>
          <w:highlight w:val="none"/>
          <w:lang w:eastAsia="zh-CN"/>
        </w:rPr>
        <w:t>（</w:t>
      </w:r>
      <w:r>
        <w:rPr>
          <w:rFonts w:hint="eastAsia" w:ascii="宋体" w:hAnsi="宋体" w:cs="宋体"/>
          <w:sz w:val="24"/>
          <w:szCs w:val="24"/>
          <w:highlight w:val="none"/>
          <w:lang w:eastAsia="zh-CN"/>
        </w:rPr>
        <w:t>北京时间）前提交投标文件。</w:t>
      </w:r>
    </w:p>
    <w:p w14:paraId="5DFA8AA9">
      <w:pPr>
        <w:spacing w:line="360" w:lineRule="auto"/>
        <w:ind w:firstLine="480" w:firstLineChars="200"/>
        <w:rPr>
          <w:rFonts w:ascii="宋体" w:hAnsi="宋体" w:cs="宋体"/>
          <w:sz w:val="24"/>
          <w:szCs w:val="24"/>
          <w:highlight w:val="none"/>
          <w:lang w:eastAsia="zh-CN"/>
        </w:rPr>
      </w:pPr>
      <w:r>
        <w:rPr>
          <w:rFonts w:hint="eastAsia" w:ascii="宋体" w:hAnsi="宋体" w:cs="宋体"/>
          <w:sz w:val="24"/>
          <w:szCs w:val="24"/>
          <w:highlight w:val="none"/>
          <w:lang w:eastAsia="zh-CN"/>
        </w:rPr>
        <w:t>一、项目基本情况</w:t>
      </w:r>
    </w:p>
    <w:p w14:paraId="1B0FE2BD">
      <w:pPr>
        <w:spacing w:line="360" w:lineRule="auto"/>
        <w:ind w:firstLine="480" w:firstLineChars="200"/>
        <w:rPr>
          <w:rFonts w:hint="default" w:ascii="宋体" w:hAnsi="宋体" w:cs="宋体"/>
          <w:sz w:val="24"/>
          <w:szCs w:val="24"/>
          <w:highlight w:val="none"/>
          <w:lang w:val="en-US" w:eastAsia="zh-CN"/>
        </w:rPr>
      </w:pPr>
      <w:r>
        <w:rPr>
          <w:rFonts w:hint="eastAsia" w:ascii="宋体" w:hAnsi="宋体" w:cs="宋体"/>
          <w:sz w:val="24"/>
          <w:szCs w:val="24"/>
          <w:highlight w:val="none"/>
          <w:lang w:eastAsia="zh-CN"/>
        </w:rPr>
        <w:t>1、项目编号：渑池公开采购-2026-1、</w:t>
      </w:r>
      <w:r>
        <w:rPr>
          <w:rFonts w:hint="eastAsia" w:ascii="宋体" w:hAnsi="宋体" w:cs="宋体"/>
          <w:sz w:val="24"/>
          <w:szCs w:val="24"/>
          <w:highlight w:val="none"/>
          <w:lang w:val="en-US" w:eastAsia="zh-CN"/>
        </w:rPr>
        <w:t>MCGZ[2026]021-ZC021</w:t>
      </w:r>
    </w:p>
    <w:p w14:paraId="648B070F">
      <w:pPr>
        <w:spacing w:line="360" w:lineRule="auto"/>
        <w:ind w:firstLine="480" w:firstLineChars="200"/>
        <w:rPr>
          <w:rFonts w:ascii="宋体" w:hAnsi="宋体" w:cs="宋体"/>
          <w:sz w:val="24"/>
          <w:szCs w:val="24"/>
          <w:highlight w:val="none"/>
          <w:lang w:eastAsia="zh-CN"/>
        </w:rPr>
      </w:pPr>
      <w:r>
        <w:rPr>
          <w:rFonts w:hint="eastAsia" w:ascii="宋体" w:hAnsi="宋体" w:cs="宋体"/>
          <w:sz w:val="24"/>
          <w:szCs w:val="24"/>
          <w:highlight w:val="none"/>
          <w:lang w:eastAsia="zh-CN"/>
        </w:rPr>
        <w:t>2、项目名称：</w:t>
      </w:r>
      <w:r>
        <w:rPr>
          <w:rFonts w:hint="eastAsia" w:ascii="宋体" w:hAnsi="宋体" w:eastAsia="宋体" w:cs="宋体"/>
          <w:spacing w:val="-5"/>
          <w:sz w:val="24"/>
          <w:szCs w:val="24"/>
          <w:highlight w:val="none"/>
          <w:lang w:eastAsia="zh-CN"/>
        </w:rPr>
        <w:t>渑池县2024年度原天保工程区森林抚育项目（二次）</w:t>
      </w:r>
    </w:p>
    <w:p w14:paraId="66BB045D">
      <w:pPr>
        <w:spacing w:line="360" w:lineRule="auto"/>
        <w:ind w:firstLine="480" w:firstLineChars="200"/>
        <w:rPr>
          <w:rFonts w:ascii="宋体" w:hAnsi="宋体" w:cs="宋体"/>
          <w:sz w:val="24"/>
          <w:highlight w:val="none"/>
          <w:lang w:eastAsia="zh-CN"/>
        </w:rPr>
      </w:pPr>
      <w:r>
        <w:rPr>
          <w:rFonts w:hint="eastAsia" w:ascii="宋体" w:hAnsi="宋体" w:cs="宋体"/>
          <w:sz w:val="24"/>
          <w:szCs w:val="24"/>
          <w:highlight w:val="none"/>
          <w:lang w:eastAsia="zh-CN"/>
        </w:rPr>
        <w:t>3、采购方式：公开招标</w:t>
      </w:r>
    </w:p>
    <w:p w14:paraId="3EFF7CB5">
      <w:pPr>
        <w:spacing w:line="360" w:lineRule="auto"/>
        <w:ind w:firstLine="480" w:firstLineChars="200"/>
        <w:rPr>
          <w:rFonts w:ascii="宋体" w:hAnsi="宋体" w:cs="宋体"/>
          <w:sz w:val="24"/>
          <w:highlight w:val="none"/>
          <w:lang w:eastAsia="zh-CN"/>
        </w:rPr>
      </w:pPr>
      <w:r>
        <w:rPr>
          <w:rFonts w:hint="eastAsia" w:ascii="宋体" w:hAnsi="宋体" w:cs="宋体"/>
          <w:sz w:val="24"/>
          <w:highlight w:val="none"/>
          <w:lang w:eastAsia="zh-CN"/>
        </w:rPr>
        <w:t>4、预算金额：</w:t>
      </w:r>
      <w:r>
        <w:rPr>
          <w:rFonts w:hint="eastAsia" w:ascii="宋体" w:hAnsi="宋体" w:eastAsia="宋体" w:cs="宋体"/>
          <w:sz w:val="24"/>
          <w:highlight w:val="none"/>
          <w:lang w:eastAsia="zh-CN"/>
        </w:rPr>
        <w:t>5892207.50</w:t>
      </w:r>
      <w:r>
        <w:rPr>
          <w:rFonts w:hint="eastAsia" w:ascii="宋体" w:hAnsi="宋体" w:cs="宋体"/>
          <w:sz w:val="24"/>
          <w:highlight w:val="none"/>
          <w:lang w:eastAsia="zh-CN"/>
        </w:rPr>
        <w:t>元</w:t>
      </w:r>
    </w:p>
    <w:p w14:paraId="62553B5C">
      <w:pPr>
        <w:spacing w:line="360" w:lineRule="auto"/>
        <w:ind w:firstLine="720" w:firstLineChars="300"/>
        <w:rPr>
          <w:rFonts w:ascii="宋体" w:hAnsi="宋体" w:cs="宋体"/>
          <w:sz w:val="24"/>
          <w:highlight w:val="none"/>
        </w:rPr>
      </w:pPr>
      <w:r>
        <w:rPr>
          <w:rFonts w:hint="eastAsia" w:ascii="宋体" w:hAnsi="宋体" w:cs="宋体"/>
          <w:sz w:val="24"/>
          <w:highlight w:val="none"/>
        </w:rPr>
        <w:t>最高限价：</w:t>
      </w:r>
      <w:r>
        <w:rPr>
          <w:rFonts w:hint="eastAsia" w:ascii="宋体" w:hAnsi="宋体" w:eastAsia="宋体" w:cs="宋体"/>
          <w:sz w:val="24"/>
          <w:highlight w:val="none"/>
          <w:lang w:eastAsia="zh-CN"/>
        </w:rPr>
        <w:t>5892207.50</w:t>
      </w:r>
      <w:r>
        <w:rPr>
          <w:rFonts w:hint="eastAsia" w:ascii="宋体" w:hAnsi="宋体" w:cs="宋体"/>
          <w:sz w:val="24"/>
          <w:highlight w:val="none"/>
        </w:rPr>
        <w:t>元</w:t>
      </w:r>
    </w:p>
    <w:tbl>
      <w:tblPr>
        <w:tblStyle w:val="17"/>
        <w:tblW w:w="10185" w:type="dxa"/>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7"/>
        <w:gridCol w:w="2745"/>
        <w:gridCol w:w="3585"/>
        <w:gridCol w:w="1515"/>
        <w:gridCol w:w="1563"/>
      </w:tblGrid>
      <w:tr w14:paraId="4BA3E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7" w:type="dxa"/>
            <w:vAlign w:val="center"/>
          </w:tcPr>
          <w:p w14:paraId="08D771E5">
            <w:pPr>
              <w:spacing w:line="360" w:lineRule="auto"/>
              <w:jc w:val="center"/>
              <w:rPr>
                <w:rFonts w:ascii="宋体" w:hAnsi="宋体" w:cs="宋体"/>
                <w:sz w:val="24"/>
                <w:highlight w:val="none"/>
              </w:rPr>
            </w:pPr>
            <w:r>
              <w:rPr>
                <w:rFonts w:hint="eastAsia" w:ascii="宋体" w:hAnsi="宋体" w:cs="宋体"/>
                <w:sz w:val="24"/>
                <w:highlight w:val="none"/>
              </w:rPr>
              <w:t>序号</w:t>
            </w:r>
          </w:p>
        </w:tc>
        <w:tc>
          <w:tcPr>
            <w:tcW w:w="2745" w:type="dxa"/>
            <w:vAlign w:val="center"/>
          </w:tcPr>
          <w:p w14:paraId="72829182">
            <w:pPr>
              <w:spacing w:line="360" w:lineRule="auto"/>
              <w:jc w:val="center"/>
              <w:rPr>
                <w:rFonts w:ascii="宋体" w:hAnsi="宋体" w:cs="宋体"/>
                <w:sz w:val="24"/>
                <w:highlight w:val="none"/>
              </w:rPr>
            </w:pPr>
            <w:r>
              <w:rPr>
                <w:rFonts w:hint="eastAsia" w:ascii="宋体" w:hAnsi="宋体" w:cs="宋体"/>
                <w:sz w:val="24"/>
                <w:highlight w:val="none"/>
              </w:rPr>
              <w:t>包号</w:t>
            </w:r>
          </w:p>
        </w:tc>
        <w:tc>
          <w:tcPr>
            <w:tcW w:w="3585" w:type="dxa"/>
            <w:vAlign w:val="center"/>
          </w:tcPr>
          <w:p w14:paraId="658AC1B9">
            <w:pPr>
              <w:spacing w:line="360" w:lineRule="auto"/>
              <w:jc w:val="center"/>
              <w:rPr>
                <w:rFonts w:ascii="宋体" w:hAnsi="宋体" w:cs="宋体"/>
                <w:sz w:val="24"/>
                <w:highlight w:val="none"/>
              </w:rPr>
            </w:pPr>
            <w:r>
              <w:rPr>
                <w:rFonts w:hint="eastAsia" w:ascii="宋体" w:hAnsi="宋体" w:cs="宋体"/>
                <w:sz w:val="24"/>
                <w:highlight w:val="none"/>
              </w:rPr>
              <w:t>包名称</w:t>
            </w:r>
          </w:p>
        </w:tc>
        <w:tc>
          <w:tcPr>
            <w:tcW w:w="1515" w:type="dxa"/>
            <w:vAlign w:val="center"/>
          </w:tcPr>
          <w:p w14:paraId="32F4F2BD">
            <w:pPr>
              <w:spacing w:line="360" w:lineRule="auto"/>
              <w:jc w:val="center"/>
              <w:rPr>
                <w:rFonts w:ascii="宋体" w:hAnsi="宋体" w:cs="宋体"/>
                <w:sz w:val="24"/>
                <w:highlight w:val="none"/>
              </w:rPr>
            </w:pPr>
            <w:r>
              <w:rPr>
                <w:rFonts w:hint="eastAsia" w:ascii="宋体" w:hAnsi="宋体" w:cs="宋体"/>
                <w:sz w:val="24"/>
                <w:highlight w:val="none"/>
              </w:rPr>
              <w:t>包预算(元)</w:t>
            </w:r>
          </w:p>
        </w:tc>
        <w:tc>
          <w:tcPr>
            <w:tcW w:w="1563" w:type="dxa"/>
            <w:vAlign w:val="center"/>
          </w:tcPr>
          <w:p w14:paraId="29FCA30D">
            <w:pPr>
              <w:spacing w:line="360" w:lineRule="auto"/>
              <w:jc w:val="center"/>
              <w:rPr>
                <w:rFonts w:ascii="宋体" w:hAnsi="宋体" w:cs="宋体"/>
                <w:sz w:val="24"/>
                <w:highlight w:val="none"/>
              </w:rPr>
            </w:pPr>
            <w:r>
              <w:rPr>
                <w:rFonts w:hint="eastAsia" w:ascii="宋体" w:hAnsi="宋体" w:cs="宋体"/>
                <w:sz w:val="24"/>
                <w:highlight w:val="none"/>
              </w:rPr>
              <w:t>包最高限价（元）</w:t>
            </w:r>
          </w:p>
        </w:tc>
      </w:tr>
      <w:tr w14:paraId="027BA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1" w:hRule="atLeast"/>
        </w:trPr>
        <w:tc>
          <w:tcPr>
            <w:tcW w:w="777" w:type="dxa"/>
            <w:vAlign w:val="center"/>
          </w:tcPr>
          <w:p w14:paraId="18EF87B0">
            <w:pPr>
              <w:spacing w:line="360" w:lineRule="auto"/>
              <w:jc w:val="center"/>
              <w:rPr>
                <w:rFonts w:ascii="宋体" w:hAnsi="宋体" w:cs="宋体"/>
                <w:sz w:val="24"/>
                <w:highlight w:val="none"/>
              </w:rPr>
            </w:pPr>
            <w:r>
              <w:rPr>
                <w:rFonts w:hint="eastAsia" w:ascii="宋体" w:hAnsi="宋体" w:cs="宋体"/>
                <w:sz w:val="24"/>
                <w:highlight w:val="none"/>
              </w:rPr>
              <w:t>1</w:t>
            </w:r>
          </w:p>
        </w:tc>
        <w:tc>
          <w:tcPr>
            <w:tcW w:w="2745" w:type="dxa"/>
            <w:vAlign w:val="center"/>
          </w:tcPr>
          <w:p w14:paraId="2E25EEA8">
            <w:pPr>
              <w:spacing w:line="360" w:lineRule="auto"/>
              <w:jc w:val="center"/>
              <w:rPr>
                <w:rFonts w:ascii="宋体" w:hAnsi="宋体" w:cs="宋体"/>
                <w:sz w:val="24"/>
                <w:highlight w:val="none"/>
              </w:rPr>
            </w:pPr>
            <w:r>
              <w:rPr>
                <w:rFonts w:hint="eastAsia" w:ascii="宋体" w:hAnsi="宋体" w:cs="宋体"/>
                <w:sz w:val="24"/>
                <w:szCs w:val="24"/>
                <w:highlight w:val="none"/>
                <w:lang w:val="en-US" w:eastAsia="zh-CN"/>
              </w:rPr>
              <w:t>MCGZ[2026]021-ZC021</w:t>
            </w:r>
            <w:r>
              <w:rPr>
                <w:rFonts w:hint="eastAsia" w:ascii="宋体" w:hAnsi="宋体" w:cs="宋体"/>
                <w:sz w:val="24"/>
                <w:szCs w:val="24"/>
                <w:highlight w:val="none"/>
              </w:rPr>
              <w:t>-1</w:t>
            </w:r>
          </w:p>
        </w:tc>
        <w:tc>
          <w:tcPr>
            <w:tcW w:w="3585" w:type="dxa"/>
            <w:vAlign w:val="center"/>
          </w:tcPr>
          <w:p w14:paraId="16F2559F">
            <w:pPr>
              <w:spacing w:line="360" w:lineRule="auto"/>
              <w:jc w:val="center"/>
              <w:rPr>
                <w:rFonts w:ascii="宋体" w:hAnsi="宋体" w:cs="宋体"/>
                <w:sz w:val="24"/>
                <w:highlight w:val="none"/>
                <w:lang w:eastAsia="zh-CN"/>
              </w:rPr>
            </w:pPr>
            <w:r>
              <w:rPr>
                <w:rFonts w:hint="eastAsia" w:ascii="宋体" w:hAnsi="宋体" w:cs="宋体"/>
                <w:sz w:val="24"/>
                <w:highlight w:val="none"/>
                <w:lang w:eastAsia="zh-CN"/>
              </w:rPr>
              <w:t>渑池县2024年度原天保工程区森林抚育项目（二次）</w:t>
            </w:r>
          </w:p>
        </w:tc>
        <w:tc>
          <w:tcPr>
            <w:tcW w:w="1515" w:type="dxa"/>
            <w:vAlign w:val="center"/>
          </w:tcPr>
          <w:p w14:paraId="2251B631">
            <w:pPr>
              <w:spacing w:line="360" w:lineRule="auto"/>
              <w:jc w:val="center"/>
              <w:rPr>
                <w:rFonts w:ascii="宋体" w:hAnsi="宋体" w:eastAsia="宋体" w:cs="宋体"/>
                <w:sz w:val="24"/>
                <w:highlight w:val="none"/>
                <w:lang w:eastAsia="zh-CN"/>
              </w:rPr>
            </w:pPr>
            <w:r>
              <w:rPr>
                <w:rFonts w:hint="eastAsia" w:ascii="宋体" w:hAnsi="宋体" w:eastAsia="宋体" w:cs="宋体"/>
                <w:sz w:val="24"/>
                <w:highlight w:val="none"/>
                <w:lang w:eastAsia="zh-CN"/>
              </w:rPr>
              <w:t>5892207.50</w:t>
            </w:r>
          </w:p>
        </w:tc>
        <w:tc>
          <w:tcPr>
            <w:tcW w:w="1563" w:type="dxa"/>
            <w:vAlign w:val="center"/>
          </w:tcPr>
          <w:p w14:paraId="2D00107F">
            <w:pPr>
              <w:spacing w:line="360" w:lineRule="auto"/>
              <w:jc w:val="center"/>
              <w:rPr>
                <w:rFonts w:ascii="宋体" w:hAnsi="宋体" w:eastAsia="宋体" w:cs="宋体"/>
                <w:sz w:val="24"/>
                <w:highlight w:val="none"/>
                <w:lang w:eastAsia="zh-CN"/>
              </w:rPr>
            </w:pPr>
            <w:r>
              <w:rPr>
                <w:rFonts w:hint="eastAsia" w:ascii="宋体" w:hAnsi="宋体" w:eastAsia="宋体" w:cs="宋体"/>
                <w:sz w:val="24"/>
                <w:highlight w:val="none"/>
                <w:lang w:eastAsia="zh-CN"/>
              </w:rPr>
              <w:t>5892207.50</w:t>
            </w:r>
          </w:p>
        </w:tc>
      </w:tr>
    </w:tbl>
    <w:p w14:paraId="6C33F676">
      <w:pPr>
        <w:spacing w:line="360" w:lineRule="auto"/>
        <w:ind w:firstLine="480" w:firstLineChars="200"/>
        <w:rPr>
          <w:rFonts w:ascii="宋体" w:hAnsi="宋体" w:cs="宋体"/>
          <w:sz w:val="24"/>
          <w:highlight w:val="none"/>
          <w:lang w:eastAsia="zh-CN"/>
        </w:rPr>
      </w:pPr>
      <w:r>
        <w:rPr>
          <w:rFonts w:hint="eastAsia" w:ascii="宋体" w:hAnsi="宋体" w:cs="宋体"/>
          <w:sz w:val="24"/>
          <w:highlight w:val="none"/>
          <w:lang w:eastAsia="zh-CN"/>
        </w:rPr>
        <w:t>5、采购需求(包括但不限于标的的名称、数量、简要技术需求或服务要求等)</w:t>
      </w:r>
    </w:p>
    <w:p w14:paraId="336BCC6E">
      <w:pPr>
        <w:spacing w:line="360" w:lineRule="auto"/>
        <w:ind w:firstLine="480" w:firstLineChars="200"/>
        <w:rPr>
          <w:rFonts w:ascii="宋体" w:hAnsi="宋体" w:cs="宋体"/>
          <w:sz w:val="24"/>
          <w:szCs w:val="24"/>
          <w:highlight w:val="none"/>
          <w:lang w:eastAsia="zh-CN"/>
        </w:rPr>
      </w:pPr>
      <w:r>
        <w:rPr>
          <w:rFonts w:hint="eastAsia" w:ascii="宋体" w:hAnsi="宋体" w:cs="宋体"/>
          <w:sz w:val="24"/>
          <w:szCs w:val="24"/>
          <w:highlight w:val="none"/>
          <w:lang w:eastAsia="zh-CN"/>
        </w:rPr>
        <w:t>5.1服务内</w:t>
      </w:r>
      <w:r>
        <w:rPr>
          <w:rFonts w:hint="eastAsia" w:ascii="宋体" w:hAnsi="宋体" w:eastAsia="宋体" w:cs="宋体"/>
          <w:color w:val="auto"/>
          <w:sz w:val="24"/>
          <w:szCs w:val="24"/>
          <w:highlight w:val="none"/>
          <w:lang w:eastAsia="zh-CN"/>
        </w:rPr>
        <w:t>容：本项目为渑池县2024年度原天保工程区森林抚育项目（二次），该项目位于渑池县境内。主要内容为坡头乡、段村乡、南村乡、仰韶镇等4个乡镇，6个行政村，共计29个小班的森林抚育作业。（详见第三</w:t>
      </w:r>
      <w:r>
        <w:rPr>
          <w:rFonts w:hint="eastAsia" w:ascii="宋体" w:hAnsi="宋体" w:cs="宋体"/>
          <w:sz w:val="24"/>
          <w:szCs w:val="24"/>
          <w:highlight w:val="none"/>
          <w:lang w:eastAsia="zh-CN"/>
        </w:rPr>
        <w:t>章服务内容及要求）。</w:t>
      </w:r>
    </w:p>
    <w:p w14:paraId="2ABCE835">
      <w:pPr>
        <w:spacing w:line="360" w:lineRule="auto"/>
        <w:ind w:firstLine="480" w:firstLineChars="200"/>
        <w:rPr>
          <w:rFonts w:ascii="宋体" w:hAnsi="宋体" w:cs="宋体"/>
          <w:sz w:val="24"/>
          <w:szCs w:val="24"/>
          <w:highlight w:val="none"/>
          <w:lang w:eastAsia="zh-CN"/>
        </w:rPr>
      </w:pPr>
      <w:r>
        <w:rPr>
          <w:rFonts w:hint="eastAsia" w:ascii="宋体" w:hAnsi="宋体" w:cs="宋体"/>
          <w:sz w:val="24"/>
          <w:szCs w:val="24"/>
          <w:highlight w:val="none"/>
          <w:lang w:eastAsia="zh-CN"/>
        </w:rPr>
        <w:t>5.2资金来源：财政资金，已落实。</w:t>
      </w:r>
    </w:p>
    <w:p w14:paraId="11486E2F">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5.3</w:t>
      </w:r>
      <w:r>
        <w:rPr>
          <w:rFonts w:hint="eastAsia" w:ascii="宋体" w:hAnsi="宋体" w:eastAsia="宋体" w:cs="宋体"/>
          <w:color w:val="auto"/>
          <w:sz w:val="24"/>
          <w:szCs w:val="24"/>
          <w:highlight w:val="none"/>
          <w:lang w:eastAsia="zh-CN"/>
        </w:rPr>
        <w:t>实施周期</w:t>
      </w:r>
      <w:r>
        <w:rPr>
          <w:rFonts w:hint="eastAsia" w:ascii="宋体" w:hAnsi="宋体" w:cs="宋体"/>
          <w:color w:val="auto"/>
          <w:sz w:val="24"/>
          <w:szCs w:val="24"/>
          <w:highlight w:val="none"/>
          <w:lang w:eastAsia="zh-CN"/>
        </w:rPr>
        <w:t>：合同签订后</w:t>
      </w:r>
      <w:r>
        <w:rPr>
          <w:rFonts w:hint="eastAsia" w:ascii="宋体" w:hAnsi="宋体" w:cs="宋体" w:eastAsiaTheme="minorEastAsia"/>
          <w:color w:val="auto"/>
          <w:sz w:val="24"/>
          <w:szCs w:val="24"/>
          <w:highlight w:val="none"/>
          <w:lang w:eastAsia="zh-CN"/>
        </w:rPr>
        <w:t>90</w:t>
      </w:r>
      <w:r>
        <w:rPr>
          <w:rFonts w:hint="eastAsia" w:ascii="宋体" w:hAnsi="宋体" w:cs="宋体"/>
          <w:color w:val="auto"/>
          <w:sz w:val="24"/>
          <w:szCs w:val="24"/>
          <w:highlight w:val="none"/>
          <w:lang w:eastAsia="zh-CN"/>
        </w:rPr>
        <w:t>日历天内完成</w:t>
      </w:r>
      <w:r>
        <w:rPr>
          <w:rFonts w:hint="eastAsia" w:ascii="宋体" w:hAnsi="宋体" w:eastAsia="宋体" w:cs="宋体"/>
          <w:color w:val="auto"/>
          <w:sz w:val="24"/>
          <w:szCs w:val="24"/>
          <w:highlight w:val="none"/>
          <w:lang w:eastAsia="zh-CN"/>
        </w:rPr>
        <w:t>。</w:t>
      </w:r>
    </w:p>
    <w:p w14:paraId="25A863DC">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5.4</w:t>
      </w:r>
      <w:r>
        <w:rPr>
          <w:rFonts w:hint="eastAsia" w:ascii="宋体" w:hAnsi="宋体" w:eastAsia="宋体" w:cs="宋体"/>
          <w:color w:val="auto"/>
          <w:sz w:val="24"/>
          <w:szCs w:val="24"/>
          <w:highlight w:val="none"/>
          <w:lang w:eastAsia="zh-CN"/>
        </w:rPr>
        <w:t>服务要求</w:t>
      </w:r>
      <w:r>
        <w:rPr>
          <w:rFonts w:hint="eastAsia" w:ascii="宋体" w:hAnsi="宋体" w:cs="宋体"/>
          <w:color w:val="auto"/>
          <w:sz w:val="24"/>
          <w:szCs w:val="24"/>
          <w:highlight w:val="none"/>
          <w:lang w:eastAsia="zh-CN"/>
        </w:rPr>
        <w:t>：符合国家相关行业规定且满足采购人要求</w:t>
      </w:r>
      <w:r>
        <w:rPr>
          <w:rFonts w:hint="eastAsia" w:ascii="宋体" w:hAnsi="宋体" w:eastAsia="宋体" w:cs="宋体"/>
          <w:color w:val="auto"/>
          <w:sz w:val="24"/>
          <w:szCs w:val="24"/>
          <w:highlight w:val="none"/>
          <w:lang w:eastAsia="zh-CN"/>
        </w:rPr>
        <w:t>。</w:t>
      </w:r>
    </w:p>
    <w:p w14:paraId="0EAAF7A9">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5.5服务地点：</w:t>
      </w:r>
      <w:r>
        <w:rPr>
          <w:rFonts w:hint="eastAsia" w:ascii="宋体" w:hAnsi="宋体" w:cs="宋体"/>
          <w:color w:val="auto"/>
          <w:sz w:val="24"/>
          <w:szCs w:val="24"/>
          <w:highlight w:val="none"/>
          <w:lang w:eastAsia="zh-CN"/>
        </w:rPr>
        <w:t>渑池县境内</w:t>
      </w:r>
      <w:r>
        <w:rPr>
          <w:rFonts w:hint="eastAsia" w:ascii="宋体" w:hAnsi="宋体" w:eastAsia="宋体" w:cs="宋体"/>
          <w:color w:val="auto"/>
          <w:sz w:val="24"/>
          <w:szCs w:val="24"/>
          <w:highlight w:val="none"/>
          <w:lang w:eastAsia="zh-CN"/>
        </w:rPr>
        <w:t>。</w:t>
      </w:r>
    </w:p>
    <w:p w14:paraId="7E588989">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5.6标段划分：本项目不划分标段。</w:t>
      </w:r>
    </w:p>
    <w:p w14:paraId="224F0B03">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6、合同履行期限：合同签订后</w:t>
      </w:r>
      <w:r>
        <w:rPr>
          <w:rFonts w:hint="eastAsia" w:ascii="宋体" w:hAnsi="宋体" w:cs="宋体" w:eastAsiaTheme="minorEastAsia"/>
          <w:color w:val="auto"/>
          <w:sz w:val="24"/>
          <w:szCs w:val="24"/>
          <w:highlight w:val="none"/>
          <w:lang w:eastAsia="zh-CN"/>
        </w:rPr>
        <w:t>90</w:t>
      </w:r>
      <w:r>
        <w:rPr>
          <w:rFonts w:hint="eastAsia" w:ascii="宋体" w:hAnsi="宋体" w:cs="宋体"/>
          <w:color w:val="auto"/>
          <w:sz w:val="24"/>
          <w:szCs w:val="24"/>
          <w:highlight w:val="none"/>
          <w:lang w:eastAsia="zh-CN"/>
        </w:rPr>
        <w:t>日历天内完成</w:t>
      </w:r>
      <w:r>
        <w:rPr>
          <w:rFonts w:hint="eastAsia" w:ascii="宋体" w:hAnsi="宋体" w:eastAsia="宋体" w:cs="宋体"/>
          <w:color w:val="auto"/>
          <w:sz w:val="24"/>
          <w:szCs w:val="24"/>
          <w:highlight w:val="none"/>
          <w:lang w:eastAsia="zh-CN"/>
        </w:rPr>
        <w:t>。</w:t>
      </w:r>
    </w:p>
    <w:p w14:paraId="32805043">
      <w:pPr>
        <w:spacing w:line="360" w:lineRule="auto"/>
        <w:ind w:firstLine="480" w:firstLineChars="200"/>
        <w:rPr>
          <w:rFonts w:ascii="宋体" w:hAnsi="宋体" w:cs="宋体"/>
          <w:sz w:val="24"/>
          <w:szCs w:val="24"/>
          <w:highlight w:val="none"/>
          <w:lang w:eastAsia="zh-CN"/>
        </w:rPr>
      </w:pPr>
      <w:r>
        <w:rPr>
          <w:rFonts w:hint="eastAsia" w:ascii="宋体" w:hAnsi="宋体" w:cs="宋体"/>
          <w:sz w:val="24"/>
          <w:szCs w:val="24"/>
          <w:highlight w:val="none"/>
          <w:lang w:eastAsia="zh-CN"/>
        </w:rPr>
        <w:t>7、本项目是否接受联合体投标：否</w:t>
      </w:r>
    </w:p>
    <w:p w14:paraId="1FEF1972">
      <w:pPr>
        <w:spacing w:line="360" w:lineRule="auto"/>
        <w:ind w:firstLine="480" w:firstLineChars="200"/>
        <w:rPr>
          <w:rFonts w:ascii="宋体" w:hAnsi="宋体" w:cs="宋体"/>
          <w:sz w:val="24"/>
          <w:szCs w:val="24"/>
          <w:highlight w:val="none"/>
          <w:lang w:eastAsia="zh-CN"/>
        </w:rPr>
      </w:pPr>
      <w:r>
        <w:rPr>
          <w:rFonts w:hint="eastAsia" w:ascii="宋体" w:hAnsi="宋体" w:cs="宋体"/>
          <w:sz w:val="24"/>
          <w:szCs w:val="24"/>
          <w:highlight w:val="none"/>
          <w:lang w:eastAsia="zh-CN"/>
        </w:rPr>
        <w:t>8、是否接受进口产品：否</w:t>
      </w:r>
    </w:p>
    <w:p w14:paraId="440B1D56">
      <w:pPr>
        <w:spacing w:line="360" w:lineRule="auto"/>
        <w:ind w:firstLine="480" w:firstLineChars="200"/>
        <w:rPr>
          <w:rFonts w:ascii="宋体" w:hAnsi="宋体" w:cs="宋体"/>
          <w:sz w:val="24"/>
          <w:szCs w:val="24"/>
          <w:highlight w:val="none"/>
          <w:lang w:eastAsia="zh-CN"/>
        </w:rPr>
      </w:pPr>
      <w:r>
        <w:rPr>
          <w:rFonts w:hint="eastAsia" w:ascii="宋体" w:hAnsi="宋体" w:cs="宋体"/>
          <w:sz w:val="24"/>
          <w:szCs w:val="24"/>
          <w:highlight w:val="none"/>
          <w:lang w:eastAsia="zh-CN"/>
        </w:rPr>
        <w:t>9、是否专门面向中小企业：否</w:t>
      </w:r>
    </w:p>
    <w:p w14:paraId="2AD3E6F5">
      <w:pPr>
        <w:spacing w:line="360" w:lineRule="auto"/>
        <w:ind w:firstLine="480" w:firstLineChars="200"/>
        <w:rPr>
          <w:rFonts w:ascii="宋体" w:hAnsi="宋体" w:cs="宋体"/>
          <w:sz w:val="24"/>
          <w:szCs w:val="24"/>
          <w:highlight w:val="none"/>
          <w:lang w:eastAsia="zh-CN"/>
        </w:rPr>
      </w:pPr>
      <w:r>
        <w:rPr>
          <w:rFonts w:hint="eastAsia" w:ascii="宋体" w:hAnsi="宋体" w:cs="宋体"/>
          <w:sz w:val="24"/>
          <w:szCs w:val="24"/>
          <w:highlight w:val="none"/>
          <w:lang w:eastAsia="zh-CN"/>
        </w:rPr>
        <w:t>二、供应商资格要求：</w:t>
      </w:r>
    </w:p>
    <w:p w14:paraId="16F15E0A">
      <w:pPr>
        <w:spacing w:line="360" w:lineRule="auto"/>
        <w:ind w:firstLine="480" w:firstLineChars="200"/>
        <w:rPr>
          <w:rFonts w:ascii="宋体" w:hAnsi="宋体" w:cs="宋体"/>
          <w:sz w:val="24"/>
          <w:szCs w:val="24"/>
          <w:highlight w:val="none"/>
          <w:lang w:eastAsia="zh-CN"/>
        </w:rPr>
      </w:pPr>
      <w:r>
        <w:rPr>
          <w:rFonts w:hint="eastAsia" w:ascii="宋体" w:hAnsi="宋体" w:cs="宋体"/>
          <w:sz w:val="24"/>
          <w:szCs w:val="24"/>
          <w:highlight w:val="none"/>
          <w:lang w:eastAsia="zh-CN"/>
        </w:rPr>
        <w:t>1.满足《中华人民共和国政府采购法》第二十二条规定；</w:t>
      </w:r>
    </w:p>
    <w:p w14:paraId="0BBDC25E">
      <w:pPr>
        <w:spacing w:line="360" w:lineRule="auto"/>
        <w:ind w:firstLine="480" w:firstLineChars="200"/>
        <w:rPr>
          <w:rFonts w:ascii="宋体" w:hAnsi="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2.落实政府采购政策满足的资格要求：本项目执行促进中小型企业发展政策（残疾人福利性企业、监狱企业视同小微企业）、优先采购节能环保产品等政府采购政策。</w:t>
      </w:r>
    </w:p>
    <w:p w14:paraId="16F7BFE8">
      <w:pPr>
        <w:spacing w:line="360" w:lineRule="auto"/>
        <w:ind w:firstLine="480" w:firstLineChars="200"/>
        <w:rPr>
          <w:rFonts w:ascii="宋体" w:hAnsi="宋体" w:cs="宋体"/>
          <w:sz w:val="24"/>
          <w:szCs w:val="24"/>
          <w:highlight w:val="none"/>
          <w:lang w:eastAsia="zh-CN"/>
        </w:rPr>
      </w:pPr>
      <w:r>
        <w:rPr>
          <w:rFonts w:hint="eastAsia" w:ascii="宋体" w:hAnsi="宋体" w:cs="宋体"/>
          <w:sz w:val="24"/>
          <w:szCs w:val="24"/>
          <w:highlight w:val="none"/>
          <w:lang w:eastAsia="zh-CN"/>
        </w:rPr>
        <w:t>3.本项目的特定资格要求</w:t>
      </w:r>
    </w:p>
    <w:p w14:paraId="2D4635BA">
      <w:pPr>
        <w:spacing w:line="360" w:lineRule="auto"/>
        <w:ind w:firstLine="480" w:firstLineChars="200"/>
        <w:rPr>
          <w:rFonts w:ascii="宋体" w:hAnsi="宋体" w:cs="宋体"/>
          <w:sz w:val="24"/>
          <w:szCs w:val="24"/>
          <w:highlight w:val="none"/>
          <w:lang w:eastAsia="zh-CN"/>
        </w:rPr>
      </w:pPr>
      <w:r>
        <w:rPr>
          <w:rFonts w:hint="eastAsia" w:ascii="宋体" w:hAnsi="宋体" w:cs="宋体"/>
          <w:sz w:val="24"/>
          <w:szCs w:val="24"/>
          <w:highlight w:val="none"/>
          <w:lang w:eastAsia="zh-CN"/>
        </w:rPr>
        <w:t>1、供应商具有有效的营业执照；</w:t>
      </w:r>
    </w:p>
    <w:p w14:paraId="49E60DDC">
      <w:pPr>
        <w:spacing w:line="360" w:lineRule="auto"/>
        <w:ind w:firstLine="480" w:firstLineChars="200"/>
        <w:rPr>
          <w:rFonts w:ascii="宋体" w:hAnsi="宋体" w:cs="宋体"/>
          <w:sz w:val="24"/>
          <w:szCs w:val="24"/>
          <w:highlight w:val="none"/>
          <w:lang w:eastAsia="zh-CN"/>
        </w:rPr>
      </w:pPr>
      <w:r>
        <w:rPr>
          <w:rFonts w:hint="eastAsia" w:ascii="宋体" w:hAnsi="宋体" w:cs="宋体"/>
          <w:sz w:val="24"/>
          <w:szCs w:val="24"/>
          <w:highlight w:val="none"/>
          <w:lang w:eastAsia="zh-CN"/>
        </w:rPr>
        <w:t>2、供应商须具有履行合同所必须的设备和专业技术服务能力；(提供承诺书）；</w:t>
      </w:r>
    </w:p>
    <w:p w14:paraId="12227A4E">
      <w:pPr>
        <w:spacing w:line="360" w:lineRule="auto"/>
        <w:ind w:firstLine="480" w:firstLineChars="200"/>
        <w:rPr>
          <w:color w:val="000000" w:themeColor="text1"/>
          <w:sz w:val="24"/>
          <w:szCs w:val="24"/>
          <w:highlight w:val="none"/>
          <w:lang w:eastAsia="zh-CN"/>
          <w14:textFill>
            <w14:solidFill>
              <w14:schemeClr w14:val="tx1"/>
            </w14:solidFill>
          </w14:textFill>
        </w:rPr>
      </w:pPr>
      <w:r>
        <w:rPr>
          <w:rFonts w:hint="eastAsia" w:ascii="宋体" w:hAnsi="宋体" w:cs="宋体"/>
          <w:sz w:val="24"/>
          <w:szCs w:val="24"/>
          <w:highlight w:val="none"/>
          <w:lang w:eastAsia="zh-CN"/>
        </w:rPr>
        <w:t>3、拟派项目负责人必须为本单位人员（提供与本单</w:t>
      </w:r>
      <w:r>
        <w:rPr>
          <w:color w:val="000000" w:themeColor="text1"/>
          <w:sz w:val="24"/>
          <w:szCs w:val="24"/>
          <w:highlight w:val="none"/>
          <w:lang w:eastAsia="zh-CN"/>
          <w14:textFill>
            <w14:solidFill>
              <w14:schemeClr w14:val="tx1"/>
            </w14:solidFill>
          </w14:textFill>
        </w:rPr>
        <w:t>位签订</w:t>
      </w:r>
      <w:r>
        <w:rPr>
          <w:rFonts w:hint="eastAsia" w:eastAsia="宋体"/>
          <w:color w:val="000000" w:themeColor="text1"/>
          <w:sz w:val="24"/>
          <w:szCs w:val="24"/>
          <w:highlight w:val="none"/>
          <w:lang w:eastAsia="zh-CN"/>
          <w14:textFill>
            <w14:solidFill>
              <w14:schemeClr w14:val="tx1"/>
            </w14:solidFill>
          </w14:textFill>
        </w:rPr>
        <w:t>的</w:t>
      </w:r>
      <w:r>
        <w:rPr>
          <w:color w:val="000000" w:themeColor="text1"/>
          <w:spacing w:val="-1"/>
          <w:sz w:val="24"/>
          <w:szCs w:val="24"/>
          <w:highlight w:val="none"/>
          <w:lang w:eastAsia="zh-CN"/>
          <w14:textFill>
            <w14:solidFill>
              <w14:schemeClr w14:val="tx1"/>
            </w14:solidFill>
          </w14:textFill>
        </w:rPr>
        <w:t>劳动合同</w:t>
      </w:r>
      <w:r>
        <w:rPr>
          <w:color w:val="000000" w:themeColor="text1"/>
          <w:spacing w:val="-2"/>
          <w:sz w:val="24"/>
          <w:szCs w:val="24"/>
          <w:highlight w:val="none"/>
          <w:lang w:eastAsia="zh-CN"/>
          <w14:textFill>
            <w14:solidFill>
              <w14:schemeClr w14:val="tx1"/>
            </w14:solidFill>
          </w14:textFill>
        </w:rPr>
        <w:t>）；</w:t>
      </w:r>
    </w:p>
    <w:p w14:paraId="28FDBCA1">
      <w:pPr>
        <w:spacing w:line="360" w:lineRule="auto"/>
        <w:ind w:firstLine="480" w:firstLineChars="200"/>
        <w:rPr>
          <w:rFonts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4、具有良好的财务状况且没有处于被责令停业：提供2024年的经会计师事务所或审计机构审计的年度财务审计报告，新注册企业按实际成立年限提供，成立不满一年的提供最近一月的财务报表；</w:t>
      </w:r>
    </w:p>
    <w:p w14:paraId="7E0BF7D6">
      <w:pPr>
        <w:spacing w:line="360" w:lineRule="auto"/>
        <w:ind w:firstLine="480" w:firstLineChars="200"/>
        <w:rPr>
          <w:rFonts w:ascii="宋体" w:hAnsi="宋体" w:cs="宋体"/>
          <w:sz w:val="24"/>
          <w:szCs w:val="24"/>
          <w:highlight w:val="none"/>
          <w:lang w:eastAsia="zh-CN"/>
        </w:rPr>
      </w:pPr>
      <w:r>
        <w:rPr>
          <w:rFonts w:hint="eastAsia" w:ascii="宋体" w:hAnsi="宋体" w:cs="宋体" w:eastAsiaTheme="minorEastAsia"/>
          <w:sz w:val="24"/>
          <w:szCs w:val="24"/>
          <w:highlight w:val="none"/>
          <w:lang w:eastAsia="zh-CN"/>
        </w:rPr>
        <w:t>5</w:t>
      </w:r>
      <w:r>
        <w:rPr>
          <w:rFonts w:hint="eastAsia" w:ascii="宋体" w:hAnsi="宋体" w:eastAsia="宋体" w:cs="宋体"/>
          <w:sz w:val="24"/>
          <w:szCs w:val="24"/>
          <w:highlight w:val="none"/>
          <w:lang w:eastAsia="zh-CN"/>
        </w:rPr>
        <w:t>、参加政府采购活动前</w:t>
      </w:r>
      <w:r>
        <w:rPr>
          <w:rFonts w:hint="eastAsia" w:ascii="宋体" w:hAnsi="宋体" w:cs="宋体"/>
          <w:sz w:val="24"/>
          <w:szCs w:val="24"/>
          <w:highlight w:val="none"/>
          <w:lang w:eastAsia="zh-CN"/>
        </w:rPr>
        <w:t>3</w:t>
      </w:r>
      <w:r>
        <w:rPr>
          <w:rFonts w:hint="eastAsia" w:ascii="宋体" w:hAnsi="宋体" w:eastAsia="宋体" w:cs="宋体"/>
          <w:sz w:val="24"/>
          <w:szCs w:val="24"/>
          <w:highlight w:val="none"/>
          <w:lang w:eastAsia="zh-CN"/>
        </w:rPr>
        <w:t>年内无行贿犯罪记录，提供《中国裁判文书网》查询结果网页截图或企业自行承诺的无行贿犯罪承诺书，</w:t>
      </w:r>
      <w:r>
        <w:rPr>
          <w:rFonts w:hint="eastAsia" w:cs="宋体" w:asciiTheme="minorEastAsia" w:hAnsiTheme="minorEastAsia" w:eastAsiaTheme="minorEastAsia"/>
          <w:sz w:val="24"/>
          <w:szCs w:val="24"/>
          <w:highlight w:val="none"/>
          <w:lang w:eastAsia="zh-CN"/>
        </w:rPr>
        <w:t>（</w:t>
      </w:r>
      <w:r>
        <w:rPr>
          <w:rFonts w:hint="eastAsia" w:ascii="宋体" w:hAnsi="宋体" w:eastAsia="宋体" w:cs="宋体"/>
          <w:sz w:val="24"/>
          <w:szCs w:val="24"/>
          <w:highlight w:val="none"/>
          <w:lang w:eastAsia="zh-CN"/>
        </w:rPr>
        <w:t>查询</w:t>
      </w:r>
      <w:r>
        <w:rPr>
          <w:rFonts w:hint="eastAsia" w:ascii="宋体" w:hAnsi="宋体" w:cs="宋体"/>
          <w:sz w:val="24"/>
          <w:szCs w:val="24"/>
          <w:highlight w:val="none"/>
          <w:lang w:eastAsia="zh-CN"/>
        </w:rPr>
        <w:t>&lt;</w:t>
      </w:r>
      <w:r>
        <w:rPr>
          <w:rFonts w:hint="eastAsia" w:ascii="宋体" w:hAnsi="宋体" w:eastAsia="宋体" w:cs="宋体"/>
          <w:sz w:val="24"/>
          <w:szCs w:val="24"/>
          <w:highlight w:val="none"/>
          <w:lang w:eastAsia="zh-CN"/>
        </w:rPr>
        <w:t>承诺</w:t>
      </w:r>
      <w:r>
        <w:rPr>
          <w:rFonts w:hint="eastAsia" w:ascii="宋体" w:hAnsi="宋体" w:cs="宋体"/>
          <w:sz w:val="24"/>
          <w:szCs w:val="24"/>
          <w:highlight w:val="none"/>
          <w:lang w:eastAsia="zh-CN"/>
        </w:rPr>
        <w:t>&gt;</w:t>
      </w:r>
      <w:r>
        <w:rPr>
          <w:rFonts w:hint="eastAsia" w:ascii="宋体" w:hAnsi="宋体" w:eastAsia="宋体" w:cs="宋体"/>
          <w:sz w:val="24"/>
          <w:szCs w:val="24"/>
          <w:highlight w:val="none"/>
          <w:lang w:eastAsia="zh-CN"/>
        </w:rPr>
        <w:t>对象为</w:t>
      </w:r>
      <w:r>
        <w:rPr>
          <w:sz w:val="24"/>
          <w:szCs w:val="24"/>
          <w:highlight w:val="none"/>
          <w:lang w:eastAsia="zh-CN"/>
        </w:rPr>
        <w:t>“</w:t>
      </w:r>
      <w:r>
        <w:rPr>
          <w:rFonts w:hint="eastAsia" w:ascii="宋体" w:hAnsi="宋体" w:eastAsia="宋体" w:cs="宋体"/>
          <w:sz w:val="24"/>
          <w:szCs w:val="24"/>
          <w:highlight w:val="none"/>
          <w:lang w:eastAsia="zh-CN"/>
        </w:rPr>
        <w:t>企业、法定代表人、项目负责人</w:t>
      </w:r>
      <w:r>
        <w:rPr>
          <w:sz w:val="24"/>
          <w:szCs w:val="24"/>
          <w:highlight w:val="none"/>
          <w:lang w:eastAsia="zh-CN"/>
        </w:rPr>
        <w:t>”</w:t>
      </w:r>
      <w:r>
        <w:rPr>
          <w:rFonts w:hint="eastAsia" w:ascii="宋体" w:hAnsi="宋体" w:eastAsia="宋体" w:cs="宋体"/>
          <w:sz w:val="24"/>
          <w:szCs w:val="24"/>
          <w:highlight w:val="none"/>
          <w:lang w:eastAsia="zh-CN"/>
        </w:rPr>
        <w:t>）；</w:t>
      </w:r>
    </w:p>
    <w:p w14:paraId="09609FFC">
      <w:pPr>
        <w:spacing w:line="360" w:lineRule="auto"/>
        <w:ind w:firstLine="480" w:firstLineChars="200"/>
        <w:rPr>
          <w:rFonts w:ascii="宋体" w:hAnsi="宋体" w:cs="宋体"/>
          <w:sz w:val="24"/>
          <w:szCs w:val="24"/>
          <w:highlight w:val="none"/>
          <w:lang w:eastAsia="zh-CN"/>
        </w:rPr>
      </w:pPr>
      <w:r>
        <w:rPr>
          <w:rFonts w:hint="eastAsia" w:ascii="宋体" w:hAnsi="宋体" w:cs="宋体" w:eastAsiaTheme="minorEastAsia"/>
          <w:sz w:val="24"/>
          <w:szCs w:val="24"/>
          <w:highlight w:val="none"/>
          <w:lang w:eastAsia="zh-CN"/>
        </w:rPr>
        <w:t>6</w:t>
      </w:r>
      <w:r>
        <w:rPr>
          <w:rFonts w:hint="eastAsia" w:ascii="宋体" w:hAnsi="宋体" w:cs="宋体"/>
          <w:sz w:val="24"/>
          <w:szCs w:val="24"/>
          <w:highlight w:val="none"/>
          <w:lang w:eastAsia="zh-CN"/>
        </w:rPr>
        <w:t>、</w:t>
      </w:r>
      <w:r>
        <w:rPr>
          <w:rFonts w:hint="eastAsia" w:ascii="宋体" w:hAnsi="宋体" w:cs="宋体"/>
          <w:sz w:val="24"/>
          <w:highlight w:val="none"/>
          <w:lang w:eastAsia="zh-CN"/>
        </w:rPr>
        <w:t>供应商自行出具本单位</w:t>
      </w:r>
      <w:r>
        <w:rPr>
          <w:rFonts w:hint="eastAsia" w:ascii="宋体" w:hAnsi="宋体" w:cs="宋体"/>
          <w:sz w:val="24"/>
          <w:szCs w:val="24"/>
          <w:highlight w:val="none"/>
          <w:lang w:eastAsia="zh-CN"/>
        </w:rPr>
        <w:t>无商业贿赂及无不正当竞争行为的承诺书；</w:t>
      </w:r>
    </w:p>
    <w:p w14:paraId="09367A0F">
      <w:pPr>
        <w:spacing w:line="360" w:lineRule="auto"/>
        <w:ind w:firstLine="480" w:firstLineChars="200"/>
        <w:rPr>
          <w:rFonts w:ascii="宋体" w:hAnsi="宋体" w:cs="宋体"/>
          <w:color w:val="auto"/>
          <w:sz w:val="24"/>
          <w:szCs w:val="24"/>
          <w:highlight w:val="none"/>
          <w:lang w:eastAsia="zh-CN"/>
        </w:rPr>
      </w:pPr>
      <w:r>
        <w:rPr>
          <w:rFonts w:hint="eastAsia" w:ascii="宋体" w:hAnsi="宋体" w:cs="宋体" w:eastAsiaTheme="minorEastAsia"/>
          <w:sz w:val="24"/>
          <w:szCs w:val="24"/>
          <w:highlight w:val="none"/>
          <w:lang w:eastAsia="zh-CN"/>
        </w:rPr>
        <w:t>7</w:t>
      </w:r>
      <w:r>
        <w:rPr>
          <w:rFonts w:hint="eastAsia" w:ascii="宋体" w:hAnsi="宋体" w:cs="宋体"/>
          <w:sz w:val="24"/>
          <w:szCs w:val="24"/>
          <w:highlight w:val="none"/>
          <w:lang w:eastAsia="zh-CN"/>
        </w:rPr>
        <w:t>、根据《关于在政府采购活动中查询及使用信用记录有关问题的通知》(财库[2016]125号)和豫财购【2016】15 号的规定，企业没有被列入“信用中国”网站的“失信被执行人”（跳转中国执行信息公开网（</w:t>
      </w:r>
      <w:r>
        <w:rPr>
          <w:highlight w:val="none"/>
        </w:rPr>
        <w:fldChar w:fldCharType="begin"/>
      </w:r>
      <w:r>
        <w:rPr>
          <w:highlight w:val="none"/>
        </w:rPr>
        <w:instrText xml:space="preserve"> HYPERLINK "https://zxgk.court.gov.cn" </w:instrText>
      </w:r>
      <w:r>
        <w:rPr>
          <w:highlight w:val="none"/>
        </w:rPr>
        <w:fldChar w:fldCharType="separate"/>
      </w:r>
      <w:r>
        <w:rPr>
          <w:rFonts w:hint="eastAsia" w:ascii="宋体" w:hAnsi="宋体" w:cs="宋体"/>
          <w:sz w:val="24"/>
          <w:szCs w:val="24"/>
          <w:highlight w:val="none"/>
          <w:lang w:eastAsia="zh-CN"/>
        </w:rPr>
        <w:t>https://zxgk.court.gov.cn</w:t>
      </w:r>
      <w:r>
        <w:rPr>
          <w:rFonts w:hint="eastAsia" w:ascii="宋体" w:hAnsi="宋体" w:cs="宋体"/>
          <w:sz w:val="24"/>
          <w:szCs w:val="24"/>
          <w:highlight w:val="none"/>
          <w:lang w:eastAsia="zh-CN"/>
        </w:rPr>
        <w:fldChar w:fldCharType="end"/>
      </w:r>
      <w:r>
        <w:rPr>
          <w:rFonts w:hint="eastAsia" w:ascii="宋体" w:hAnsi="宋体" w:cs="宋体"/>
          <w:sz w:val="24"/>
          <w:szCs w:val="24"/>
          <w:highlight w:val="none"/>
          <w:lang w:eastAsia="zh-CN"/>
        </w:rPr>
        <w:t>））、“重大税收违法失信主体”及“中国政府采购网站”的“政府采购严重违法失信行为记录名单”的供应商。【查询渠道：“信用中国”网站（</w:t>
      </w:r>
      <w:r>
        <w:rPr>
          <w:highlight w:val="none"/>
        </w:rPr>
        <w:fldChar w:fldCharType="begin"/>
      </w:r>
      <w:r>
        <w:rPr>
          <w:highlight w:val="none"/>
        </w:rPr>
        <w:instrText xml:space="preserve"> HYPERLINK "https://www.creditchina.gov.cn" </w:instrText>
      </w:r>
      <w:r>
        <w:rPr>
          <w:highlight w:val="none"/>
        </w:rPr>
        <w:fldChar w:fldCharType="separate"/>
      </w:r>
      <w:r>
        <w:rPr>
          <w:rFonts w:hint="eastAsia" w:ascii="宋体" w:hAnsi="宋体" w:cs="宋体"/>
          <w:sz w:val="24"/>
          <w:szCs w:val="24"/>
          <w:highlight w:val="none"/>
          <w:lang w:eastAsia="zh-CN"/>
        </w:rPr>
        <w:t>www.creditchina.gov.cn</w:t>
      </w:r>
      <w:r>
        <w:rPr>
          <w:rFonts w:hint="eastAsia" w:ascii="宋体" w:hAnsi="宋体" w:cs="宋体"/>
          <w:sz w:val="24"/>
          <w:szCs w:val="24"/>
          <w:highlight w:val="none"/>
          <w:lang w:eastAsia="zh-CN"/>
        </w:rPr>
        <w:fldChar w:fldCharType="end"/>
      </w:r>
      <w:r>
        <w:rPr>
          <w:rFonts w:hint="eastAsia" w:ascii="宋体" w:hAnsi="宋体" w:cs="宋体"/>
          <w:sz w:val="24"/>
          <w:szCs w:val="24"/>
          <w:highlight w:val="none"/>
          <w:lang w:eastAsia="zh-CN"/>
        </w:rPr>
        <w:t>）、中国执行信息公开网（</w:t>
      </w:r>
      <w:r>
        <w:rPr>
          <w:highlight w:val="none"/>
        </w:rPr>
        <w:fldChar w:fldCharType="begin"/>
      </w:r>
      <w:r>
        <w:rPr>
          <w:highlight w:val="none"/>
        </w:rPr>
        <w:instrText xml:space="preserve"> HYPERLINK "http://zxgk.court.gov.cn" </w:instrText>
      </w:r>
      <w:r>
        <w:rPr>
          <w:highlight w:val="none"/>
        </w:rPr>
        <w:fldChar w:fldCharType="separate"/>
      </w:r>
      <w:r>
        <w:rPr>
          <w:rFonts w:hint="eastAsia" w:ascii="宋体" w:hAnsi="宋体" w:cs="宋体"/>
          <w:sz w:val="24"/>
          <w:szCs w:val="24"/>
          <w:highlight w:val="none"/>
          <w:lang w:eastAsia="zh-CN"/>
        </w:rPr>
        <w:t>http://zxgk.court.gov.cn</w:t>
      </w:r>
      <w:r>
        <w:rPr>
          <w:rFonts w:hint="eastAsia" w:ascii="宋体" w:hAnsi="宋体" w:cs="宋体"/>
          <w:sz w:val="24"/>
          <w:szCs w:val="24"/>
          <w:highlight w:val="none"/>
          <w:lang w:eastAsia="zh-CN"/>
        </w:rPr>
        <w:fldChar w:fldCharType="end"/>
      </w:r>
      <w:r>
        <w:rPr>
          <w:rFonts w:hint="eastAsia" w:ascii="宋体" w:hAnsi="宋体" w:cs="宋体"/>
          <w:sz w:val="24"/>
          <w:szCs w:val="24"/>
          <w:highlight w:val="none"/>
          <w:lang w:eastAsia="zh-CN"/>
        </w:rPr>
        <w:t>）、中国政府采购网（</w:t>
      </w:r>
      <w:r>
        <w:rPr>
          <w:highlight w:val="none"/>
        </w:rPr>
        <w:fldChar w:fldCharType="begin"/>
      </w:r>
      <w:r>
        <w:rPr>
          <w:highlight w:val="none"/>
        </w:rPr>
        <w:instrText xml:space="preserve"> HYPERLINK "https://www.ccgp.gov" </w:instrText>
      </w:r>
      <w:r>
        <w:rPr>
          <w:highlight w:val="none"/>
        </w:rPr>
        <w:fldChar w:fldCharType="separate"/>
      </w:r>
      <w:r>
        <w:rPr>
          <w:rFonts w:hint="eastAsia" w:ascii="宋体" w:hAnsi="宋体" w:cs="宋体"/>
          <w:sz w:val="24"/>
          <w:szCs w:val="24"/>
          <w:highlight w:val="none"/>
          <w:lang w:eastAsia="zh-CN"/>
        </w:rPr>
        <w:t>www.ccgp.gov</w:t>
      </w:r>
      <w:r>
        <w:rPr>
          <w:rFonts w:hint="eastAsia" w:ascii="宋体" w:hAnsi="宋体" w:cs="宋体"/>
          <w:sz w:val="24"/>
          <w:szCs w:val="24"/>
          <w:highlight w:val="none"/>
          <w:lang w:eastAsia="zh-CN"/>
        </w:rPr>
        <w:fldChar w:fldCharType="end"/>
      </w:r>
      <w:r>
        <w:rPr>
          <w:rFonts w:hint="eastAsia" w:ascii="宋体" w:hAnsi="宋体" w:cs="宋体"/>
          <w:sz w:val="24"/>
          <w:szCs w:val="24"/>
          <w:highlight w:val="none"/>
          <w:lang w:eastAsia="zh-CN"/>
        </w:rPr>
        <w:t>. cn）】， 供应商须提供相关网页查询信息截图</w:t>
      </w:r>
      <w:r>
        <w:rPr>
          <w:rFonts w:hint="eastAsia" w:ascii="宋体" w:hAnsi="宋体" w:eastAsia="宋体" w:cs="宋体"/>
          <w:sz w:val="24"/>
          <w:szCs w:val="24"/>
          <w:highlight w:val="none"/>
          <w:lang w:eastAsia="zh-CN"/>
        </w:rPr>
        <w:t>，</w:t>
      </w:r>
      <w:r>
        <w:rPr>
          <w:rFonts w:hint="eastAsia" w:ascii="宋体" w:hAnsi="宋体" w:cs="宋体"/>
          <w:sz w:val="24"/>
          <w:highlight w:val="none"/>
          <w:lang w:eastAsia="zh-CN"/>
        </w:rPr>
        <w:t>截</w:t>
      </w:r>
      <w:r>
        <w:rPr>
          <w:rFonts w:hint="eastAsia" w:ascii="宋体" w:hAnsi="宋体" w:cs="宋体"/>
          <w:color w:val="auto"/>
          <w:sz w:val="24"/>
          <w:highlight w:val="none"/>
          <w:lang w:eastAsia="zh-CN"/>
        </w:rPr>
        <w:t>图需显示查询时间</w:t>
      </w:r>
      <w:r>
        <w:rPr>
          <w:rFonts w:hint="eastAsia" w:ascii="宋体" w:hAnsi="宋体" w:cs="宋体"/>
          <w:color w:val="auto"/>
          <w:sz w:val="24"/>
          <w:szCs w:val="24"/>
          <w:highlight w:val="none"/>
          <w:lang w:eastAsia="zh-CN"/>
        </w:rPr>
        <w:t>；(注：査询时间</w:t>
      </w:r>
      <w:r>
        <w:rPr>
          <w:rFonts w:hint="eastAsia" w:ascii="宋体" w:hAnsi="宋体" w:cs="宋体"/>
          <w:color w:val="auto"/>
          <w:sz w:val="24"/>
          <w:highlight w:val="none"/>
          <w:lang w:eastAsia="zh-CN"/>
        </w:rPr>
        <w:t>自公告发布之日起至投标截止时间前</w:t>
      </w:r>
      <w:r>
        <w:rPr>
          <w:rFonts w:hint="eastAsia" w:ascii="宋体" w:hAnsi="宋体" w:cs="宋体"/>
          <w:color w:val="auto"/>
          <w:sz w:val="24"/>
          <w:szCs w:val="24"/>
          <w:highlight w:val="none"/>
          <w:lang w:eastAsia="zh-CN"/>
        </w:rPr>
        <w:t>，查询结果清晰可见)；</w:t>
      </w:r>
    </w:p>
    <w:p w14:paraId="602830C3">
      <w:pPr>
        <w:spacing w:line="360" w:lineRule="auto"/>
        <w:ind w:firstLine="480" w:firstLineChars="200"/>
        <w:rPr>
          <w:rFonts w:ascii="宋体" w:hAnsi="宋体" w:eastAsia="宋体" w:cs="宋体"/>
          <w:color w:val="auto"/>
          <w:sz w:val="24"/>
          <w:szCs w:val="24"/>
          <w:highlight w:val="none"/>
          <w:lang w:eastAsia="zh-CN"/>
        </w:rPr>
      </w:pPr>
      <w:r>
        <w:rPr>
          <w:rFonts w:hint="eastAsia" w:ascii="宋体" w:hAnsi="宋体" w:cs="宋体" w:eastAsiaTheme="minorEastAsia"/>
          <w:color w:val="auto"/>
          <w:sz w:val="24"/>
          <w:szCs w:val="24"/>
          <w:highlight w:val="none"/>
          <w:lang w:eastAsia="zh-CN"/>
        </w:rPr>
        <w:t>8</w:t>
      </w:r>
      <w:r>
        <w:rPr>
          <w:rFonts w:hint="eastAsia" w:ascii="宋体" w:hAnsi="宋体" w:cs="宋体"/>
          <w:color w:val="auto"/>
          <w:sz w:val="24"/>
          <w:szCs w:val="24"/>
          <w:highlight w:val="none"/>
          <w:lang w:eastAsia="zh-CN"/>
        </w:rPr>
        <w:t>、</w:t>
      </w:r>
      <w:r>
        <w:rPr>
          <w:rFonts w:hint="eastAsia" w:ascii="宋体" w:hAnsi="宋体" w:cs="宋体"/>
          <w:color w:val="auto"/>
          <w:sz w:val="24"/>
          <w:highlight w:val="none"/>
          <w:lang w:eastAsia="zh-CN"/>
        </w:rPr>
        <w:t>单位负责人为同一人或者存在直接控股、管理关系的不同投标人，不得参加同一合同项下的采购活动；（提供“国家企业信用信息公示系统”中查询的相关信息（查询信息需包含公司基本</w:t>
      </w:r>
      <w:r>
        <w:rPr>
          <w:rFonts w:hint="eastAsia" w:ascii="宋体" w:hAnsi="宋体" w:eastAsia="宋体" w:cs="宋体"/>
          <w:color w:val="auto"/>
          <w:sz w:val="24"/>
          <w:szCs w:val="24"/>
          <w:highlight w:val="none"/>
          <w:lang w:eastAsia="zh-CN"/>
        </w:rPr>
        <w:t>信息、股东信息及股权变更信息等相关信息，査询时间自公告发布之日起至投标截止时间前））；</w:t>
      </w:r>
    </w:p>
    <w:p w14:paraId="46703D9F">
      <w:pPr>
        <w:spacing w:line="360" w:lineRule="auto"/>
        <w:ind w:firstLine="480" w:firstLineChars="200"/>
        <w:rPr>
          <w:rFonts w:ascii="宋体" w:hAnsi="宋体" w:cs="宋体"/>
          <w:color w:val="auto"/>
          <w:sz w:val="24"/>
          <w:szCs w:val="24"/>
          <w:highlight w:val="none"/>
          <w:lang w:eastAsia="zh-CN"/>
        </w:rPr>
      </w:pPr>
      <w:r>
        <w:rPr>
          <w:rFonts w:hint="eastAsia" w:ascii="宋体" w:hAnsi="宋体" w:cs="宋体" w:eastAsiaTheme="minorEastAsia"/>
          <w:color w:val="auto"/>
          <w:sz w:val="24"/>
          <w:szCs w:val="24"/>
          <w:highlight w:val="none"/>
          <w:lang w:eastAsia="zh-CN"/>
        </w:rPr>
        <w:t>9</w:t>
      </w:r>
      <w:r>
        <w:rPr>
          <w:rFonts w:hint="eastAsia" w:ascii="宋体" w:hAnsi="宋体" w:cs="宋体"/>
          <w:color w:val="auto"/>
          <w:sz w:val="24"/>
          <w:szCs w:val="24"/>
          <w:highlight w:val="none"/>
          <w:lang w:eastAsia="zh-CN"/>
        </w:rPr>
        <w:t>、本项目不接</w:t>
      </w:r>
      <w:r>
        <w:rPr>
          <w:rFonts w:hint="eastAsia" w:cs="宋体" w:asciiTheme="minorEastAsia" w:hAnsiTheme="minorEastAsia" w:eastAsiaTheme="minorEastAsia"/>
          <w:color w:val="auto"/>
          <w:sz w:val="24"/>
          <w:szCs w:val="24"/>
          <w:highlight w:val="none"/>
          <w:lang w:eastAsia="zh-CN"/>
        </w:rPr>
        <w:t>受</w:t>
      </w:r>
      <w:r>
        <w:rPr>
          <w:rFonts w:hint="eastAsia" w:ascii="宋体" w:hAnsi="宋体" w:cs="宋体"/>
          <w:color w:val="auto"/>
          <w:sz w:val="24"/>
          <w:szCs w:val="24"/>
          <w:highlight w:val="none"/>
          <w:lang w:eastAsia="zh-CN"/>
        </w:rPr>
        <w:t>联合体投标；</w:t>
      </w:r>
    </w:p>
    <w:p w14:paraId="0A0518D9">
      <w:pPr>
        <w:spacing w:line="360" w:lineRule="auto"/>
        <w:ind w:firstLine="480" w:firstLineChars="200"/>
        <w:rPr>
          <w:rFonts w:ascii="宋体" w:hAnsi="宋体" w:cs="宋体"/>
          <w:color w:val="auto"/>
          <w:sz w:val="24"/>
          <w:szCs w:val="24"/>
          <w:highlight w:val="none"/>
          <w:lang w:eastAsia="zh-CN"/>
        </w:rPr>
      </w:pPr>
      <w:r>
        <w:rPr>
          <w:rFonts w:hint="eastAsia" w:ascii="宋体" w:hAnsi="宋体" w:eastAsia="宋体" w:cs="宋体"/>
          <w:color w:val="auto"/>
          <w:sz w:val="24"/>
          <w:szCs w:val="24"/>
          <w:highlight w:val="none"/>
          <w:lang w:eastAsia="zh-CN"/>
        </w:rPr>
        <w:t>注：</w:t>
      </w: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本项目实行资格后审。</w:t>
      </w:r>
    </w:p>
    <w:p w14:paraId="2F040206">
      <w:pPr>
        <w:spacing w:line="360" w:lineRule="auto"/>
        <w:ind w:firstLine="480" w:firstLineChars="200"/>
        <w:rPr>
          <w:rFonts w:ascii="宋体" w:hAnsi="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cs="宋体"/>
          <w:color w:val="auto"/>
          <w:sz w:val="24"/>
          <w:szCs w:val="24"/>
          <w:highlight w:val="none"/>
          <w:lang w:eastAsia="zh-CN"/>
        </w:rPr>
        <w:t>被列入失信被执行人及重大税收违法失信主体的企业做无效标处理。采购人或采购代理机构有权对投标供应商信用记录进行甄别和复查。</w:t>
      </w:r>
    </w:p>
    <w:p w14:paraId="4DB4D25B">
      <w:pPr>
        <w:spacing w:line="360" w:lineRule="auto"/>
        <w:ind w:firstLine="480" w:firstLineChars="20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三、获取招标文件</w:t>
      </w:r>
    </w:p>
    <w:p w14:paraId="1C31FBFF">
      <w:pPr>
        <w:spacing w:line="360" w:lineRule="auto"/>
        <w:ind w:firstLine="480" w:firstLineChars="20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1、时间：</w:t>
      </w:r>
      <w:r>
        <w:rPr>
          <w:rFonts w:hint="eastAsia" w:ascii="宋体" w:hAnsi="宋体" w:cs="宋体"/>
          <w:color w:val="auto"/>
          <w:sz w:val="24"/>
          <w:szCs w:val="24"/>
          <w:highlight w:val="none"/>
          <w:lang w:eastAsia="zh-CN"/>
        </w:rPr>
        <w:t>2026年0</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14</w:t>
      </w:r>
      <w:r>
        <w:rPr>
          <w:rFonts w:hint="eastAsia" w:ascii="宋体" w:hAnsi="宋体" w:cs="宋体"/>
          <w:color w:val="auto"/>
          <w:sz w:val="24"/>
          <w:szCs w:val="24"/>
          <w:highlight w:val="none"/>
          <w:lang w:eastAsia="zh-CN"/>
        </w:rPr>
        <w:t>日至2026年03月06日8时20分</w:t>
      </w:r>
    </w:p>
    <w:p w14:paraId="3DE77D24">
      <w:pPr>
        <w:spacing w:line="360" w:lineRule="auto"/>
        <w:ind w:firstLine="480" w:firstLineChars="20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2、地点：三门峡市公共资源交易中心网。</w:t>
      </w:r>
    </w:p>
    <w:p w14:paraId="014759B1">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方式：凡有意参加的投标人，须完成市场主体信息库登记并取得CA数字证书，凭CA数字证书登录三门峡市公共资源交易中心网（http://gzjy.smx.gov.cn/），点击交易平台选择“市场主体登录”，在所参与项目右侧点击参与投标，即可直接下载本项目招标文件。</w:t>
      </w:r>
    </w:p>
    <w:p w14:paraId="4F0BC1E9">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CA证书：</w:t>
      </w:r>
      <w:r>
        <w:rPr>
          <w:color w:val="auto"/>
          <w:highlight w:val="none"/>
        </w:rPr>
        <w:fldChar w:fldCharType="begin"/>
      </w:r>
      <w:r>
        <w:rPr>
          <w:color w:val="auto"/>
          <w:highlight w:val="none"/>
        </w:rPr>
        <w:instrText xml:space="preserve"> HYPERLINK "http://gzjy.smx.gov.cn/fwzn/004003/20201019/a8fae6a0-baed-499b-bb50-8ecc8828a2ca.html" </w:instrText>
      </w:r>
      <w:r>
        <w:rPr>
          <w:color w:val="auto"/>
          <w:highlight w:val="none"/>
        </w:rPr>
        <w:fldChar w:fldCharType="separate"/>
      </w:r>
      <w:r>
        <w:rPr>
          <w:rFonts w:hint="eastAsia" w:ascii="宋体" w:hAnsi="宋体" w:cs="宋体"/>
          <w:color w:val="auto"/>
          <w:sz w:val="24"/>
          <w:szCs w:val="24"/>
          <w:highlight w:val="none"/>
        </w:rPr>
        <w:t>http://gzjy.smx.gov.cn/fwzn/004003/20201019/a8fae6a0-baed-499b-bb50-8ecc8828a2ca.html</w:t>
      </w:r>
      <w:r>
        <w:rPr>
          <w:rFonts w:hint="eastAsia" w:ascii="宋体" w:hAnsi="宋体" w:cs="宋体"/>
          <w:color w:val="auto"/>
          <w:sz w:val="24"/>
          <w:szCs w:val="24"/>
          <w:highlight w:val="none"/>
        </w:rPr>
        <w:fldChar w:fldCharType="end"/>
      </w:r>
    </w:p>
    <w:p w14:paraId="04E898FB">
      <w:pPr>
        <w:wordWrap w:val="0"/>
        <w:spacing w:line="360" w:lineRule="auto"/>
        <w:ind w:firstLine="480" w:firstLineChars="20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4、售价：0元</w:t>
      </w:r>
    </w:p>
    <w:p w14:paraId="16DC5D36">
      <w:pPr>
        <w:spacing w:line="360" w:lineRule="auto"/>
        <w:ind w:firstLine="480" w:firstLineChars="20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四、投标截止时间及地点：</w:t>
      </w:r>
    </w:p>
    <w:p w14:paraId="0AA9D33C">
      <w:pPr>
        <w:spacing w:line="360" w:lineRule="auto"/>
        <w:ind w:firstLine="480" w:firstLineChars="20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lang w:eastAsia="zh-CN"/>
        </w:rPr>
        <w:t>截止</w:t>
      </w:r>
      <w:r>
        <w:rPr>
          <w:rFonts w:hint="eastAsia" w:ascii="宋体" w:hAnsi="宋体" w:cs="宋体"/>
          <w:color w:val="auto"/>
          <w:sz w:val="24"/>
          <w:szCs w:val="24"/>
          <w:highlight w:val="none"/>
          <w:lang w:eastAsia="zh-CN"/>
        </w:rPr>
        <w:t>时间：</w:t>
      </w:r>
      <w:r>
        <w:rPr>
          <w:rFonts w:hint="eastAsia" w:ascii="宋体" w:hAnsi="宋体" w:cs="宋体"/>
          <w:color w:val="auto"/>
          <w:sz w:val="24"/>
          <w:szCs w:val="24"/>
          <w:highlight w:val="none"/>
          <w:lang w:eastAsia="zh-CN"/>
        </w:rPr>
        <w:t>2026年03月06日8时20分</w:t>
      </w:r>
      <w:r>
        <w:rPr>
          <w:rFonts w:hint="eastAsia" w:ascii="宋体" w:hAnsi="宋体" w:cs="宋体"/>
          <w:color w:val="auto"/>
          <w:sz w:val="24"/>
          <w:szCs w:val="24"/>
          <w:highlight w:val="none"/>
          <w:lang w:eastAsia="zh-CN"/>
        </w:rPr>
        <w:t>（北京时间）</w:t>
      </w:r>
    </w:p>
    <w:p w14:paraId="5CD90E08">
      <w:pPr>
        <w:spacing w:line="360" w:lineRule="auto"/>
        <w:ind w:firstLine="480" w:firstLineChars="20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2、地点：在三门峡市公共资源交易中心网中上传加密投标文件。</w:t>
      </w:r>
    </w:p>
    <w:p w14:paraId="7F0A6073">
      <w:pPr>
        <w:spacing w:line="360" w:lineRule="auto"/>
        <w:ind w:firstLine="480" w:firstLineChars="20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五、开标时间及地点：</w:t>
      </w:r>
    </w:p>
    <w:p w14:paraId="04FC2BAF">
      <w:pPr>
        <w:spacing w:line="360" w:lineRule="auto"/>
        <w:ind w:firstLine="480" w:firstLineChars="20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1、开标时间：</w:t>
      </w:r>
      <w:r>
        <w:rPr>
          <w:rFonts w:hint="eastAsia" w:ascii="宋体" w:hAnsi="宋体" w:cs="宋体"/>
          <w:color w:val="auto"/>
          <w:sz w:val="24"/>
          <w:szCs w:val="24"/>
          <w:highlight w:val="none"/>
          <w:lang w:eastAsia="zh-CN"/>
        </w:rPr>
        <w:t>2026年03月06日8时20</w:t>
      </w:r>
      <w:r>
        <w:rPr>
          <w:rFonts w:hint="eastAsia" w:ascii="宋体" w:hAnsi="宋体" w:cs="宋体"/>
          <w:color w:val="auto"/>
          <w:sz w:val="24"/>
          <w:szCs w:val="24"/>
          <w:highlight w:val="none"/>
          <w:lang w:eastAsia="zh-CN"/>
        </w:rPr>
        <w:t>分（北京时间）</w:t>
      </w:r>
    </w:p>
    <w:p w14:paraId="2B0E2ACF">
      <w:pPr>
        <w:spacing w:line="360" w:lineRule="auto"/>
        <w:ind w:firstLine="480" w:firstLineChars="20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2、开标地点：渑池县公共资源交易中心六楼开标区</w:t>
      </w:r>
    </w:p>
    <w:p w14:paraId="2BA6CD18">
      <w:pPr>
        <w:wordWrap w:val="0"/>
        <w:spacing w:line="360" w:lineRule="auto"/>
        <w:ind w:firstLine="480" w:firstLineChars="200"/>
        <w:rPr>
          <w:rFonts w:ascii="宋体" w:hAnsi="宋体" w:cs="宋体"/>
          <w:sz w:val="24"/>
          <w:szCs w:val="24"/>
          <w:highlight w:val="none"/>
          <w:lang w:eastAsia="zh-CN"/>
        </w:rPr>
      </w:pPr>
      <w:r>
        <w:rPr>
          <w:rFonts w:hint="eastAsia" w:ascii="宋体" w:hAnsi="宋体" w:cs="宋体"/>
          <w:color w:val="auto"/>
          <w:sz w:val="24"/>
          <w:szCs w:val="24"/>
          <w:highlight w:val="none"/>
        </w:rPr>
        <w:t>注：本项目为不见面开标项目，开标当日供应商无需到开标现场参加开标会议，供应商应当在投标截止时间前，登陆不见面开标大厅选择登陆三门峡市公共资源电子招投标系统进行登陆（网址为http://120.194.249.36:10094/BidOpening/bidopening</w:t>
      </w:r>
      <w:r>
        <w:rPr>
          <w:rFonts w:hint="eastAsia" w:ascii="宋体" w:hAnsi="宋体" w:cs="宋体"/>
          <w:sz w:val="24"/>
          <w:szCs w:val="24"/>
          <w:highlight w:val="none"/>
        </w:rPr>
        <w:t>hallaction/hall/login）,在线准时参加开标活动并进行投标文件解密等。</w:t>
      </w:r>
      <w:r>
        <w:rPr>
          <w:rFonts w:hint="eastAsia" w:ascii="宋体" w:hAnsi="宋体" w:cs="宋体"/>
          <w:sz w:val="24"/>
          <w:szCs w:val="24"/>
          <w:highlight w:val="none"/>
          <w:lang w:eastAsia="zh-CN"/>
        </w:rPr>
        <w:t>每位供应商的解密时间为开标时间起30分钟内完成。因供应商原因未能解密、解密失败或解密超时的将被拒绝。</w:t>
      </w:r>
    </w:p>
    <w:p w14:paraId="2F498721">
      <w:pPr>
        <w:spacing w:line="360" w:lineRule="auto"/>
        <w:ind w:firstLine="480" w:firstLineChars="200"/>
        <w:rPr>
          <w:rFonts w:ascii="宋体" w:hAnsi="宋体" w:cs="宋体"/>
          <w:sz w:val="24"/>
          <w:szCs w:val="24"/>
          <w:highlight w:val="none"/>
          <w:lang w:eastAsia="zh-CN"/>
        </w:rPr>
      </w:pPr>
      <w:r>
        <w:rPr>
          <w:rFonts w:hint="eastAsia" w:ascii="宋体" w:hAnsi="宋体" w:cs="宋体"/>
          <w:sz w:val="24"/>
          <w:szCs w:val="24"/>
          <w:highlight w:val="none"/>
          <w:lang w:eastAsia="zh-CN"/>
        </w:rPr>
        <w:t>六、发布公告的媒介</w:t>
      </w:r>
    </w:p>
    <w:p w14:paraId="410CA5FC">
      <w:pPr>
        <w:spacing w:line="360" w:lineRule="auto"/>
        <w:ind w:firstLine="480" w:firstLineChars="200"/>
        <w:rPr>
          <w:rFonts w:ascii="宋体" w:hAnsi="宋体" w:cs="宋体"/>
          <w:sz w:val="24"/>
          <w:szCs w:val="24"/>
          <w:highlight w:val="none"/>
          <w:lang w:eastAsia="zh-CN"/>
        </w:rPr>
      </w:pPr>
      <w:r>
        <w:rPr>
          <w:rFonts w:hint="eastAsia" w:ascii="宋体" w:hAnsi="宋体" w:cs="宋体"/>
          <w:sz w:val="24"/>
          <w:szCs w:val="24"/>
          <w:highlight w:val="none"/>
          <w:lang w:eastAsia="zh-CN"/>
        </w:rPr>
        <w:t>本次公告在《河南省政府采购网》、《三门峡市公共资源交易中心网》和</w:t>
      </w:r>
      <w:r>
        <w:rPr>
          <w:rFonts w:hint="eastAsia" w:ascii="宋体" w:hAnsi="宋体" w:eastAsia="宋体" w:cs="宋体"/>
          <w:sz w:val="24"/>
          <w:szCs w:val="24"/>
          <w:highlight w:val="none"/>
          <w:lang w:eastAsia="zh-CN"/>
        </w:rPr>
        <w:t>《中国招标投标公共服务平台》</w:t>
      </w:r>
      <w:r>
        <w:rPr>
          <w:rFonts w:hint="eastAsia" w:ascii="宋体" w:hAnsi="宋体" w:cs="宋体"/>
          <w:sz w:val="24"/>
          <w:szCs w:val="24"/>
          <w:highlight w:val="none"/>
          <w:lang w:eastAsia="zh-CN"/>
        </w:rPr>
        <w:t>上发布，公告期限：自本公告发布之日起5个工作日。</w:t>
      </w:r>
    </w:p>
    <w:p w14:paraId="73A8E13C">
      <w:pPr>
        <w:spacing w:line="360" w:lineRule="auto"/>
        <w:ind w:firstLine="480" w:firstLineChars="200"/>
        <w:rPr>
          <w:rFonts w:ascii="宋体" w:hAnsi="宋体" w:cs="宋体"/>
          <w:sz w:val="24"/>
          <w:szCs w:val="24"/>
          <w:highlight w:val="none"/>
          <w:lang w:eastAsia="zh-CN"/>
        </w:rPr>
      </w:pPr>
      <w:r>
        <w:rPr>
          <w:rFonts w:hint="eastAsia" w:ascii="宋体" w:hAnsi="宋体" w:cs="宋体"/>
          <w:sz w:val="24"/>
          <w:szCs w:val="24"/>
          <w:highlight w:val="none"/>
          <w:lang w:eastAsia="zh-CN"/>
        </w:rPr>
        <w:t>七、其他补充事宜</w:t>
      </w:r>
    </w:p>
    <w:p w14:paraId="3AA7CC3E">
      <w:pPr>
        <w:spacing w:line="360" w:lineRule="auto"/>
        <w:ind w:firstLine="480" w:firstLineChars="200"/>
        <w:rPr>
          <w:rFonts w:ascii="宋体" w:hAnsi="宋体" w:cs="宋体"/>
          <w:sz w:val="24"/>
          <w:szCs w:val="24"/>
          <w:highlight w:val="none"/>
          <w:lang w:eastAsia="zh-CN"/>
        </w:rPr>
      </w:pPr>
      <w:r>
        <w:rPr>
          <w:rFonts w:hint="eastAsia" w:ascii="宋体" w:hAnsi="宋体" w:cs="宋体"/>
          <w:sz w:val="24"/>
          <w:szCs w:val="24"/>
          <w:highlight w:val="none"/>
          <w:lang w:eastAsia="zh-CN"/>
        </w:rPr>
        <w:t>1、本项目实行资格后审，审查内容以投标截止时间前在三门峡市公共资源交易平台“投标文件”上传的信息为准，投标人（供应商）要</w:t>
      </w:r>
      <w:r>
        <w:rPr>
          <w:rFonts w:hint="eastAsia" w:ascii="宋体" w:hAnsi="宋体" w:eastAsia="宋体" w:cs="宋体"/>
          <w:sz w:val="24"/>
          <w:szCs w:val="24"/>
          <w:highlight w:val="none"/>
          <w:lang w:eastAsia="zh-CN"/>
        </w:rPr>
        <w:t>自行</w:t>
      </w:r>
      <w:r>
        <w:rPr>
          <w:rFonts w:hint="eastAsia" w:ascii="宋体" w:hAnsi="宋体" w:cs="宋体"/>
          <w:sz w:val="24"/>
          <w:szCs w:val="24"/>
          <w:highlight w:val="none"/>
          <w:lang w:eastAsia="zh-CN"/>
        </w:rPr>
        <w:t>完善主体库。规定时间外上传或更改的信息不作为评标依据。投标文件中上传的信息真实有效，扫描件清晰可辨。否则，由此造成应得分而未得分或资格审查不合格等情况的，由投标人承担责任。</w:t>
      </w:r>
    </w:p>
    <w:p w14:paraId="1AE19966">
      <w:pPr>
        <w:spacing w:line="360" w:lineRule="auto"/>
        <w:ind w:firstLine="480" w:firstLineChars="200"/>
        <w:rPr>
          <w:rFonts w:ascii="宋体" w:hAnsi="宋体" w:cs="宋体"/>
          <w:sz w:val="24"/>
          <w:szCs w:val="24"/>
          <w:highlight w:val="none"/>
          <w:lang w:eastAsia="zh-CN"/>
        </w:rPr>
      </w:pPr>
      <w:r>
        <w:rPr>
          <w:rFonts w:hint="eastAsia" w:ascii="宋体" w:hAnsi="宋体" w:cs="宋体"/>
          <w:sz w:val="24"/>
          <w:szCs w:val="24"/>
          <w:highlight w:val="none"/>
          <w:lang w:eastAsia="zh-CN"/>
        </w:rPr>
        <w:t>2、投标保证金：</w:t>
      </w:r>
    </w:p>
    <w:p w14:paraId="1262791B">
      <w:pPr>
        <w:spacing w:line="360" w:lineRule="auto"/>
        <w:ind w:firstLine="480" w:firstLineChars="200"/>
        <w:rPr>
          <w:rFonts w:ascii="宋体" w:hAnsi="宋体" w:cs="宋体"/>
          <w:sz w:val="24"/>
          <w:szCs w:val="24"/>
          <w:highlight w:val="none"/>
          <w:lang w:eastAsia="zh-CN"/>
        </w:rPr>
      </w:pPr>
      <w:r>
        <w:rPr>
          <w:rFonts w:hint="eastAsia" w:ascii="宋体" w:hAnsi="宋体" w:cs="宋体"/>
          <w:sz w:val="24"/>
          <w:szCs w:val="24"/>
          <w:highlight w:val="none"/>
          <w:lang w:eastAsia="zh-CN"/>
        </w:rPr>
        <w:t>根据《河南省财政厅关于优化政府采购营商环境有关问题的通知》（豫财购【2019】4号）第6条的规定，投标保证金不再收取。</w:t>
      </w:r>
    </w:p>
    <w:p w14:paraId="0581A19F">
      <w:pPr>
        <w:spacing w:line="360" w:lineRule="auto"/>
        <w:ind w:firstLine="480" w:firstLineChars="200"/>
        <w:rPr>
          <w:rFonts w:ascii="宋体" w:hAnsi="宋体" w:cs="宋体"/>
          <w:sz w:val="24"/>
          <w:szCs w:val="24"/>
          <w:highlight w:val="none"/>
          <w:lang w:eastAsia="zh-CN"/>
        </w:rPr>
      </w:pPr>
      <w:r>
        <w:rPr>
          <w:rFonts w:hint="eastAsia" w:ascii="宋体" w:hAnsi="宋体" w:cs="宋体"/>
          <w:sz w:val="24"/>
          <w:szCs w:val="24"/>
          <w:highlight w:val="none"/>
          <w:lang w:eastAsia="zh-CN"/>
        </w:rPr>
        <w:t>3、其他事项：</w:t>
      </w:r>
    </w:p>
    <w:p w14:paraId="0A9D9661">
      <w:pPr>
        <w:spacing w:line="360" w:lineRule="auto"/>
        <w:ind w:firstLine="480" w:firstLineChars="200"/>
        <w:rPr>
          <w:rFonts w:ascii="宋体" w:hAnsi="宋体" w:cs="宋体"/>
          <w:sz w:val="24"/>
          <w:szCs w:val="24"/>
          <w:highlight w:val="none"/>
          <w:lang w:eastAsia="zh-CN"/>
        </w:rPr>
      </w:pPr>
      <w:r>
        <w:rPr>
          <w:rFonts w:hint="eastAsia" w:ascii="宋体" w:hAnsi="宋体" w:cs="宋体"/>
          <w:sz w:val="24"/>
          <w:szCs w:val="24"/>
          <w:highlight w:val="none"/>
          <w:lang w:eastAsia="zh-CN"/>
        </w:rPr>
        <w:t>（1）投标所发生一切费用由各供应商自行承担，并承担相应的风险和责任。</w:t>
      </w:r>
    </w:p>
    <w:p w14:paraId="10D52FE4">
      <w:pPr>
        <w:spacing w:line="360" w:lineRule="auto"/>
        <w:ind w:firstLine="480" w:firstLineChars="200"/>
        <w:rPr>
          <w:rFonts w:ascii="宋体" w:hAnsi="宋体" w:cs="宋体"/>
          <w:sz w:val="24"/>
          <w:szCs w:val="24"/>
          <w:highlight w:val="none"/>
          <w:lang w:eastAsia="zh-CN"/>
        </w:rPr>
      </w:pPr>
      <w:r>
        <w:rPr>
          <w:rFonts w:hint="eastAsia" w:ascii="宋体" w:hAnsi="宋体" w:cs="宋体"/>
          <w:sz w:val="24"/>
          <w:szCs w:val="24"/>
          <w:highlight w:val="none"/>
          <w:lang w:eastAsia="zh-CN"/>
        </w:rPr>
        <w:t>（2）供应商递交的投标文件不论中标与否均不予退还。</w:t>
      </w:r>
    </w:p>
    <w:p w14:paraId="0EF76C6B">
      <w:pPr>
        <w:spacing w:line="360" w:lineRule="auto"/>
        <w:ind w:firstLine="480" w:firstLineChars="200"/>
        <w:rPr>
          <w:rFonts w:ascii="宋体" w:hAnsi="宋体" w:cs="宋体"/>
          <w:sz w:val="24"/>
          <w:szCs w:val="24"/>
          <w:highlight w:val="none"/>
          <w:lang w:eastAsia="zh-CN"/>
        </w:rPr>
      </w:pPr>
      <w:r>
        <w:rPr>
          <w:rFonts w:hint="eastAsia" w:ascii="宋体" w:hAnsi="宋体" w:cs="宋体"/>
          <w:sz w:val="24"/>
          <w:szCs w:val="24"/>
          <w:highlight w:val="none"/>
          <w:lang w:eastAsia="zh-CN"/>
        </w:rPr>
        <w:t>（3）逾期上传或未按规定上传的电子投标文件，采购人不予受理。</w:t>
      </w:r>
    </w:p>
    <w:p w14:paraId="7F4265BC">
      <w:pPr>
        <w:spacing w:line="360" w:lineRule="auto"/>
        <w:ind w:firstLine="480" w:firstLineChars="200"/>
        <w:rPr>
          <w:rFonts w:ascii="宋体" w:hAnsi="宋体" w:cs="宋体"/>
          <w:sz w:val="24"/>
          <w:szCs w:val="24"/>
          <w:highlight w:val="none"/>
          <w:lang w:eastAsia="zh-CN"/>
        </w:rPr>
      </w:pPr>
      <w:r>
        <w:rPr>
          <w:rFonts w:hint="eastAsia" w:ascii="宋体" w:hAnsi="宋体" w:cs="宋体"/>
          <w:sz w:val="24"/>
          <w:szCs w:val="24"/>
          <w:highlight w:val="none"/>
          <w:lang w:eastAsia="zh-CN"/>
        </w:rPr>
        <w:t>（4）我单位（采购人）严格按三财购【2021】9号文要求的时限发布中标结果公告，发出中标通知书，签订采购合同，上传采购合同。</w:t>
      </w:r>
    </w:p>
    <w:p w14:paraId="21AD2F8C">
      <w:pPr>
        <w:spacing w:line="360" w:lineRule="auto"/>
        <w:ind w:firstLine="480" w:firstLineChars="200"/>
        <w:rPr>
          <w:rFonts w:ascii="宋体" w:hAnsi="宋体" w:cs="宋体"/>
          <w:sz w:val="24"/>
          <w:szCs w:val="24"/>
          <w:highlight w:val="none"/>
          <w:lang w:eastAsia="zh-CN"/>
        </w:rPr>
      </w:pPr>
      <w:r>
        <w:rPr>
          <w:rFonts w:hint="eastAsia" w:ascii="宋体" w:hAnsi="宋体" w:cs="宋体"/>
          <w:sz w:val="24"/>
          <w:szCs w:val="24"/>
          <w:highlight w:val="none"/>
          <w:lang w:eastAsia="zh-CN"/>
        </w:rPr>
        <w:t>（5）评标打分部分：评标打分部分仍按照100分制原则进行，涉及到所有计分部分内容时，以投标单位自行制作到投标文件中的相应内容为准。</w:t>
      </w:r>
    </w:p>
    <w:p w14:paraId="01BD65EF">
      <w:pPr>
        <w:spacing w:line="36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八、联系方式：</w:t>
      </w:r>
    </w:p>
    <w:p w14:paraId="23869E2D">
      <w:pPr>
        <w:spacing w:line="36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1.采购人信息</w:t>
      </w:r>
    </w:p>
    <w:p w14:paraId="20F24060">
      <w:pPr>
        <w:spacing w:line="36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 xml:space="preserve">名称：渑池县林业局 </w:t>
      </w:r>
    </w:p>
    <w:p w14:paraId="28208B0A">
      <w:pPr>
        <w:spacing w:line="36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 xml:space="preserve">地址：渑池县会盟路东段 </w:t>
      </w:r>
    </w:p>
    <w:p w14:paraId="0CA82509">
      <w:pPr>
        <w:spacing w:line="36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联系人：王女士</w:t>
      </w:r>
    </w:p>
    <w:p w14:paraId="1ECE788A">
      <w:pPr>
        <w:spacing w:line="360" w:lineRule="auto"/>
        <w:ind w:firstLine="480" w:firstLineChars="200"/>
        <w:rPr>
          <w:rFonts w:hint="default" w:ascii="宋体" w:hAnsi="宋体" w:cs="宋体"/>
          <w:sz w:val="24"/>
          <w:szCs w:val="24"/>
          <w:highlight w:val="none"/>
          <w:lang w:val="en-US" w:eastAsia="zh-CN"/>
        </w:rPr>
      </w:pPr>
      <w:r>
        <w:rPr>
          <w:rFonts w:hint="eastAsia" w:ascii="宋体" w:hAnsi="宋体" w:cs="宋体"/>
          <w:sz w:val="24"/>
          <w:szCs w:val="24"/>
          <w:highlight w:val="none"/>
          <w:lang w:eastAsia="zh-CN"/>
        </w:rPr>
        <w:t>联系方式：</w:t>
      </w:r>
      <w:r>
        <w:rPr>
          <w:rFonts w:hint="eastAsia" w:ascii="宋体" w:hAnsi="宋体" w:cs="宋体"/>
          <w:sz w:val="24"/>
          <w:szCs w:val="24"/>
          <w:highlight w:val="none"/>
          <w:lang w:val="en-US" w:eastAsia="zh-CN"/>
        </w:rPr>
        <w:t>13525242999</w:t>
      </w:r>
    </w:p>
    <w:p w14:paraId="501847FC">
      <w:pPr>
        <w:spacing w:line="36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2.采购代理机构信息</w:t>
      </w:r>
    </w:p>
    <w:p w14:paraId="327DE5A2">
      <w:pPr>
        <w:spacing w:line="36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采购代理机构：河南德厚工程管理有限公司</w:t>
      </w:r>
    </w:p>
    <w:p w14:paraId="3AD77039">
      <w:pPr>
        <w:spacing w:line="36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地址：河南省三门峡市渑池县康宁家园</w:t>
      </w:r>
    </w:p>
    <w:p w14:paraId="3D3C68C0">
      <w:pPr>
        <w:spacing w:line="36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联系人：张女士</w:t>
      </w:r>
    </w:p>
    <w:p w14:paraId="4AF3A7BD">
      <w:pPr>
        <w:spacing w:line="36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联系电话：13639837665</w:t>
      </w:r>
    </w:p>
    <w:p w14:paraId="133F618E">
      <w:pPr>
        <w:spacing w:line="36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3.项目联系方式</w:t>
      </w:r>
    </w:p>
    <w:p w14:paraId="59EDEA4F">
      <w:pPr>
        <w:spacing w:line="36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项目联系人：张女士</w:t>
      </w:r>
    </w:p>
    <w:p w14:paraId="4D2C86C0">
      <w:pPr>
        <w:spacing w:line="36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联系电话：13639837665</w:t>
      </w:r>
    </w:p>
    <w:p w14:paraId="72CD23F6">
      <w:pPr>
        <w:spacing w:line="36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4.监督单位信息</w:t>
      </w:r>
    </w:p>
    <w:p w14:paraId="54BD90AE">
      <w:pPr>
        <w:spacing w:line="36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名称：渑池县政府采购办公室</w:t>
      </w:r>
    </w:p>
    <w:p w14:paraId="6599ACDF">
      <w:pPr>
        <w:spacing w:line="36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联系方式：0398-4818677</w:t>
      </w:r>
    </w:p>
    <w:p w14:paraId="361E072C">
      <w:pPr>
        <w:spacing w:line="360" w:lineRule="auto"/>
        <w:ind w:firstLine="480" w:firstLineChars="200"/>
        <w:rPr>
          <w:rFonts w:hint="eastAsia" w:ascii="宋体" w:hAnsi="宋体" w:cs="宋体"/>
          <w:sz w:val="24"/>
          <w:szCs w:val="24"/>
          <w:highlight w:val="none"/>
          <w:lang w:eastAsia="zh-CN"/>
        </w:rPr>
      </w:pPr>
    </w:p>
    <w:p w14:paraId="04E1FFEA">
      <w:pPr>
        <w:kinsoku/>
        <w:autoSpaceDE/>
        <w:autoSpaceDN/>
        <w:adjustRightInd/>
        <w:snapToGrid/>
        <w:textAlignment w:val="auto"/>
        <w:rPr>
          <w:rFonts w:ascii="宋体" w:hAnsi="宋体" w:eastAsia="宋体" w:cs="宋体"/>
          <w:b/>
          <w:bCs/>
          <w:spacing w:val="5"/>
          <w:sz w:val="43"/>
          <w:szCs w:val="43"/>
          <w:highlight w:val="none"/>
          <w:lang w:eastAsia="zh-CN"/>
        </w:rPr>
      </w:pPr>
      <w:bookmarkStart w:id="3" w:name="bookmark3"/>
      <w:bookmarkEnd w:id="3"/>
      <w:r>
        <w:rPr>
          <w:rFonts w:ascii="宋体" w:hAnsi="宋体" w:eastAsia="宋体" w:cs="宋体"/>
          <w:b/>
          <w:bCs/>
          <w:spacing w:val="5"/>
          <w:sz w:val="43"/>
          <w:szCs w:val="43"/>
          <w:highlight w:val="none"/>
          <w:lang w:eastAsia="zh-CN"/>
        </w:rPr>
        <w:br w:type="page"/>
      </w:r>
    </w:p>
    <w:p w14:paraId="59ED82CB">
      <w:pPr>
        <w:spacing w:before="140" w:line="223" w:lineRule="auto"/>
        <w:ind w:left="2278"/>
        <w:outlineLvl w:val="0"/>
        <w:rPr>
          <w:rFonts w:ascii="宋体" w:hAnsi="宋体" w:eastAsia="宋体" w:cs="宋体"/>
          <w:sz w:val="43"/>
          <w:szCs w:val="43"/>
          <w:highlight w:val="none"/>
          <w:lang w:eastAsia="zh-CN"/>
        </w:rPr>
      </w:pPr>
      <w:bookmarkStart w:id="4" w:name="_Toc15930"/>
      <w:r>
        <w:rPr>
          <w:rFonts w:ascii="宋体" w:hAnsi="宋体" w:eastAsia="宋体" w:cs="宋体"/>
          <w:b/>
          <w:bCs/>
          <w:spacing w:val="5"/>
          <w:sz w:val="43"/>
          <w:szCs w:val="43"/>
          <w:highlight w:val="none"/>
          <w:lang w:eastAsia="zh-CN"/>
        </w:rPr>
        <w:t>第二章</w:t>
      </w:r>
      <w:r>
        <w:rPr>
          <w:rFonts w:ascii="宋体" w:hAnsi="宋体" w:eastAsia="宋体" w:cs="宋体"/>
          <w:spacing w:val="5"/>
          <w:sz w:val="43"/>
          <w:szCs w:val="43"/>
          <w:highlight w:val="none"/>
          <w:lang w:eastAsia="zh-CN"/>
        </w:rPr>
        <w:t xml:space="preserve">  </w:t>
      </w:r>
      <w:r>
        <w:rPr>
          <w:rFonts w:ascii="宋体" w:hAnsi="宋体" w:eastAsia="宋体" w:cs="宋体"/>
          <w:b/>
          <w:bCs/>
          <w:spacing w:val="5"/>
          <w:sz w:val="43"/>
          <w:szCs w:val="43"/>
          <w:highlight w:val="none"/>
          <w:lang w:eastAsia="zh-CN"/>
        </w:rPr>
        <w:t>投标供应商须知</w:t>
      </w:r>
      <w:bookmarkEnd w:id="4"/>
    </w:p>
    <w:p w14:paraId="292B4E45">
      <w:pPr>
        <w:spacing w:line="14" w:lineRule="exact"/>
        <w:rPr>
          <w:highlight w:val="none"/>
          <w:lang w:eastAsia="zh-CN"/>
        </w:rPr>
      </w:pPr>
    </w:p>
    <w:tbl>
      <w:tblPr>
        <w:tblStyle w:val="32"/>
        <w:tblW w:w="9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8"/>
        <w:gridCol w:w="1672"/>
        <w:gridCol w:w="6533"/>
      </w:tblGrid>
      <w:tr w14:paraId="08036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168" w:type="dxa"/>
          </w:tcPr>
          <w:p w14:paraId="62C6A168">
            <w:pPr>
              <w:pStyle w:val="33"/>
              <w:spacing w:before="152" w:line="220" w:lineRule="auto"/>
              <w:ind w:left="173"/>
              <w:rPr>
                <w:sz w:val="28"/>
                <w:szCs w:val="28"/>
                <w:highlight w:val="none"/>
              </w:rPr>
            </w:pPr>
            <w:r>
              <w:rPr>
                <w:b/>
                <w:bCs/>
                <w:spacing w:val="-6"/>
                <w:sz w:val="28"/>
                <w:szCs w:val="28"/>
                <w:highlight w:val="none"/>
              </w:rPr>
              <w:t>条款号</w:t>
            </w:r>
          </w:p>
        </w:tc>
        <w:tc>
          <w:tcPr>
            <w:tcW w:w="1672" w:type="dxa"/>
          </w:tcPr>
          <w:p w14:paraId="132C8B4C">
            <w:pPr>
              <w:pStyle w:val="33"/>
              <w:spacing w:before="152" w:line="220" w:lineRule="auto"/>
              <w:ind w:left="282"/>
              <w:rPr>
                <w:sz w:val="28"/>
                <w:szCs w:val="28"/>
                <w:highlight w:val="none"/>
              </w:rPr>
            </w:pPr>
            <w:r>
              <w:rPr>
                <w:b/>
                <w:bCs/>
                <w:spacing w:val="-5"/>
                <w:sz w:val="28"/>
                <w:szCs w:val="28"/>
                <w:highlight w:val="none"/>
              </w:rPr>
              <w:t>条款名称</w:t>
            </w:r>
          </w:p>
        </w:tc>
        <w:tc>
          <w:tcPr>
            <w:tcW w:w="6533" w:type="dxa"/>
          </w:tcPr>
          <w:p w14:paraId="6AED9BBB">
            <w:pPr>
              <w:pStyle w:val="33"/>
              <w:spacing w:before="152" w:line="220" w:lineRule="auto"/>
              <w:ind w:left="2713"/>
              <w:rPr>
                <w:sz w:val="28"/>
                <w:szCs w:val="28"/>
                <w:highlight w:val="none"/>
              </w:rPr>
            </w:pPr>
            <w:r>
              <w:rPr>
                <w:b/>
                <w:bCs/>
                <w:spacing w:val="-5"/>
                <w:sz w:val="28"/>
                <w:szCs w:val="28"/>
                <w:highlight w:val="none"/>
              </w:rPr>
              <w:t>编列内容</w:t>
            </w:r>
          </w:p>
        </w:tc>
      </w:tr>
      <w:tr w14:paraId="1991F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2" w:hRule="atLeast"/>
        </w:trPr>
        <w:tc>
          <w:tcPr>
            <w:tcW w:w="1168" w:type="dxa"/>
          </w:tcPr>
          <w:p w14:paraId="1AA77F38">
            <w:pPr>
              <w:spacing w:line="315" w:lineRule="auto"/>
              <w:rPr>
                <w:color w:val="auto"/>
                <w:highlight w:val="none"/>
              </w:rPr>
            </w:pPr>
          </w:p>
          <w:p w14:paraId="545D4411">
            <w:pPr>
              <w:spacing w:line="316" w:lineRule="auto"/>
              <w:rPr>
                <w:color w:val="auto"/>
                <w:highlight w:val="none"/>
              </w:rPr>
            </w:pPr>
          </w:p>
          <w:p w14:paraId="3F6695FD">
            <w:pPr>
              <w:pStyle w:val="33"/>
              <w:spacing w:before="78" w:line="239" w:lineRule="auto"/>
              <w:ind w:left="427"/>
              <w:rPr>
                <w:color w:val="auto"/>
                <w:highlight w:val="none"/>
              </w:rPr>
            </w:pPr>
            <w:r>
              <w:rPr>
                <w:color w:val="auto"/>
                <w:spacing w:val="-7"/>
                <w:highlight w:val="none"/>
              </w:rPr>
              <w:t>1.0</w:t>
            </w:r>
          </w:p>
        </w:tc>
        <w:tc>
          <w:tcPr>
            <w:tcW w:w="1672" w:type="dxa"/>
          </w:tcPr>
          <w:p w14:paraId="0F57A30B">
            <w:pPr>
              <w:spacing w:line="315" w:lineRule="auto"/>
              <w:rPr>
                <w:color w:val="auto"/>
                <w:highlight w:val="none"/>
              </w:rPr>
            </w:pPr>
          </w:p>
          <w:p w14:paraId="4823ECA8">
            <w:pPr>
              <w:spacing w:line="316" w:lineRule="auto"/>
              <w:rPr>
                <w:color w:val="auto"/>
                <w:highlight w:val="none"/>
              </w:rPr>
            </w:pPr>
          </w:p>
          <w:p w14:paraId="1FC031C7">
            <w:pPr>
              <w:pStyle w:val="33"/>
              <w:spacing w:before="78" w:line="220" w:lineRule="auto"/>
              <w:ind w:left="114"/>
              <w:rPr>
                <w:color w:val="auto"/>
                <w:highlight w:val="none"/>
              </w:rPr>
            </w:pPr>
            <w:r>
              <w:rPr>
                <w:color w:val="auto"/>
                <w:spacing w:val="-2"/>
                <w:highlight w:val="none"/>
              </w:rPr>
              <w:t>监督单位</w:t>
            </w:r>
          </w:p>
        </w:tc>
        <w:tc>
          <w:tcPr>
            <w:tcW w:w="6533" w:type="dxa"/>
          </w:tcPr>
          <w:p w14:paraId="054F6E80">
            <w:pPr>
              <w:spacing w:line="399" w:lineRule="auto"/>
              <w:rPr>
                <w:color w:val="auto"/>
                <w:highlight w:val="none"/>
                <w:lang w:eastAsia="zh-CN"/>
              </w:rPr>
            </w:pPr>
          </w:p>
          <w:p w14:paraId="263C4F3D">
            <w:pPr>
              <w:pStyle w:val="33"/>
              <w:spacing w:before="78" w:line="219" w:lineRule="auto"/>
              <w:ind w:left="115"/>
              <w:rPr>
                <w:color w:val="auto"/>
                <w:highlight w:val="none"/>
                <w:lang w:eastAsia="zh-CN"/>
              </w:rPr>
            </w:pPr>
            <w:r>
              <w:rPr>
                <w:color w:val="auto"/>
                <w:spacing w:val="-1"/>
                <w:highlight w:val="none"/>
                <w:lang w:eastAsia="zh-CN"/>
              </w:rPr>
              <w:t>监督单位：</w:t>
            </w:r>
            <w:r>
              <w:rPr>
                <w:rFonts w:hint="eastAsia"/>
                <w:color w:val="auto"/>
                <w:spacing w:val="-1"/>
                <w:highlight w:val="none"/>
                <w:lang w:eastAsia="zh-CN"/>
              </w:rPr>
              <w:t>渑池县政府采购办公室</w:t>
            </w:r>
          </w:p>
          <w:p w14:paraId="021C0A49">
            <w:pPr>
              <w:pStyle w:val="33"/>
              <w:spacing w:before="180" w:line="222" w:lineRule="auto"/>
              <w:ind w:left="142"/>
              <w:rPr>
                <w:color w:val="auto"/>
                <w:highlight w:val="none"/>
              </w:rPr>
            </w:pPr>
            <w:r>
              <w:rPr>
                <w:color w:val="auto"/>
                <w:spacing w:val="-3"/>
                <w:highlight w:val="none"/>
              </w:rPr>
              <w:t>电话：</w:t>
            </w:r>
            <w:r>
              <w:rPr>
                <w:rFonts w:hint="eastAsia"/>
                <w:color w:val="auto"/>
                <w:spacing w:val="-3"/>
                <w:highlight w:val="none"/>
              </w:rPr>
              <w:t>0398-4818677</w:t>
            </w:r>
          </w:p>
        </w:tc>
      </w:tr>
      <w:tr w14:paraId="3BD5D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2" w:hRule="atLeast"/>
        </w:trPr>
        <w:tc>
          <w:tcPr>
            <w:tcW w:w="1168" w:type="dxa"/>
          </w:tcPr>
          <w:p w14:paraId="02D1A344">
            <w:pPr>
              <w:spacing w:line="260" w:lineRule="auto"/>
              <w:rPr>
                <w:color w:val="auto"/>
                <w:highlight w:val="none"/>
              </w:rPr>
            </w:pPr>
          </w:p>
          <w:p w14:paraId="485FB670">
            <w:pPr>
              <w:spacing w:line="260" w:lineRule="auto"/>
              <w:rPr>
                <w:color w:val="auto"/>
                <w:highlight w:val="none"/>
              </w:rPr>
            </w:pPr>
          </w:p>
          <w:p w14:paraId="040FC216">
            <w:pPr>
              <w:spacing w:line="261" w:lineRule="auto"/>
              <w:rPr>
                <w:color w:val="auto"/>
                <w:highlight w:val="none"/>
              </w:rPr>
            </w:pPr>
          </w:p>
          <w:p w14:paraId="33C2EEC2">
            <w:pPr>
              <w:pStyle w:val="33"/>
              <w:spacing w:before="78" w:line="239" w:lineRule="auto"/>
              <w:ind w:left="427"/>
              <w:rPr>
                <w:color w:val="auto"/>
                <w:highlight w:val="none"/>
              </w:rPr>
            </w:pPr>
            <w:r>
              <w:rPr>
                <w:color w:val="auto"/>
                <w:spacing w:val="-7"/>
                <w:highlight w:val="none"/>
              </w:rPr>
              <w:t>1.1</w:t>
            </w:r>
          </w:p>
        </w:tc>
        <w:tc>
          <w:tcPr>
            <w:tcW w:w="1672" w:type="dxa"/>
          </w:tcPr>
          <w:p w14:paraId="1C226856">
            <w:pPr>
              <w:spacing w:line="260" w:lineRule="auto"/>
              <w:rPr>
                <w:color w:val="auto"/>
                <w:highlight w:val="none"/>
              </w:rPr>
            </w:pPr>
          </w:p>
          <w:p w14:paraId="364591B8">
            <w:pPr>
              <w:spacing w:line="260" w:lineRule="auto"/>
              <w:rPr>
                <w:color w:val="auto"/>
                <w:highlight w:val="none"/>
              </w:rPr>
            </w:pPr>
          </w:p>
          <w:p w14:paraId="251B84F6">
            <w:pPr>
              <w:spacing w:line="261" w:lineRule="auto"/>
              <w:rPr>
                <w:color w:val="auto"/>
                <w:highlight w:val="none"/>
              </w:rPr>
            </w:pPr>
          </w:p>
          <w:p w14:paraId="70FCD8AF">
            <w:pPr>
              <w:pStyle w:val="33"/>
              <w:spacing w:before="78" w:line="219" w:lineRule="auto"/>
              <w:ind w:left="112"/>
              <w:rPr>
                <w:color w:val="auto"/>
                <w:highlight w:val="none"/>
              </w:rPr>
            </w:pPr>
            <w:r>
              <w:rPr>
                <w:color w:val="auto"/>
                <w:spacing w:val="-2"/>
                <w:highlight w:val="none"/>
              </w:rPr>
              <w:t>采购人</w:t>
            </w:r>
          </w:p>
        </w:tc>
        <w:tc>
          <w:tcPr>
            <w:tcW w:w="6533" w:type="dxa"/>
          </w:tcPr>
          <w:p w14:paraId="2D0187A8">
            <w:pPr>
              <w:pStyle w:val="33"/>
              <w:spacing w:before="168" w:line="219" w:lineRule="auto"/>
              <w:ind w:left="113"/>
              <w:rPr>
                <w:color w:val="auto"/>
                <w:highlight w:val="none"/>
                <w:lang w:eastAsia="zh-CN"/>
              </w:rPr>
            </w:pPr>
            <w:r>
              <w:rPr>
                <w:color w:val="auto"/>
                <w:spacing w:val="-1"/>
                <w:highlight w:val="none"/>
                <w:lang w:eastAsia="zh-CN"/>
              </w:rPr>
              <w:t>采购人:</w:t>
            </w:r>
            <w:r>
              <w:rPr>
                <w:rFonts w:hint="eastAsia"/>
                <w:color w:val="auto"/>
                <w:spacing w:val="-1"/>
                <w:highlight w:val="none"/>
                <w:lang w:eastAsia="zh-CN"/>
              </w:rPr>
              <w:t>渑池县林业局</w:t>
            </w:r>
          </w:p>
          <w:p w14:paraId="5E54F706">
            <w:pPr>
              <w:pStyle w:val="33"/>
              <w:spacing w:before="178" w:line="220" w:lineRule="auto"/>
              <w:ind w:left="115"/>
              <w:rPr>
                <w:color w:val="auto"/>
                <w:spacing w:val="-2"/>
                <w:highlight w:val="none"/>
                <w:lang w:eastAsia="zh-CN"/>
              </w:rPr>
            </w:pPr>
            <w:r>
              <w:rPr>
                <w:rFonts w:hint="eastAsia"/>
                <w:color w:val="auto"/>
                <w:spacing w:val="-2"/>
                <w:highlight w:val="none"/>
                <w:lang w:eastAsia="zh-CN"/>
              </w:rPr>
              <w:t>地址：渑池县会盟路东段</w:t>
            </w:r>
          </w:p>
          <w:p w14:paraId="48FE6118">
            <w:pPr>
              <w:pStyle w:val="33"/>
              <w:spacing w:before="178" w:line="220" w:lineRule="auto"/>
              <w:ind w:left="115"/>
              <w:rPr>
                <w:color w:val="auto"/>
                <w:highlight w:val="none"/>
                <w:lang w:eastAsia="zh-CN"/>
              </w:rPr>
            </w:pPr>
            <w:r>
              <w:rPr>
                <w:color w:val="auto"/>
                <w:spacing w:val="-2"/>
                <w:highlight w:val="none"/>
                <w:lang w:eastAsia="zh-CN"/>
              </w:rPr>
              <w:t>联系人：</w:t>
            </w:r>
            <w:r>
              <w:rPr>
                <w:rFonts w:hint="eastAsia"/>
                <w:color w:val="auto"/>
                <w:spacing w:val="-2"/>
                <w:highlight w:val="none"/>
                <w:lang w:val="en-US" w:eastAsia="zh-CN"/>
              </w:rPr>
              <w:t>王</w:t>
            </w:r>
            <w:r>
              <w:rPr>
                <w:rFonts w:hint="eastAsia"/>
                <w:color w:val="auto"/>
                <w:spacing w:val="-2"/>
                <w:highlight w:val="none"/>
                <w:lang w:eastAsia="zh-CN"/>
              </w:rPr>
              <w:t>女士</w:t>
            </w:r>
          </w:p>
          <w:p w14:paraId="4799D408">
            <w:pPr>
              <w:pStyle w:val="33"/>
              <w:spacing w:before="178" w:line="221" w:lineRule="auto"/>
              <w:ind w:left="115"/>
              <w:rPr>
                <w:color w:val="auto"/>
                <w:highlight w:val="none"/>
                <w:lang w:eastAsia="zh-CN"/>
              </w:rPr>
            </w:pPr>
            <w:r>
              <w:rPr>
                <w:color w:val="auto"/>
                <w:spacing w:val="-1"/>
                <w:highlight w:val="none"/>
                <w:lang w:eastAsia="zh-CN"/>
              </w:rPr>
              <w:t>联系方式:</w:t>
            </w:r>
            <w:r>
              <w:rPr>
                <w:rFonts w:hint="eastAsia" w:ascii="宋体" w:hAnsi="宋体" w:cs="宋体"/>
                <w:sz w:val="24"/>
                <w:szCs w:val="24"/>
                <w:highlight w:val="none"/>
                <w:lang w:val="en-US" w:eastAsia="zh-CN"/>
              </w:rPr>
              <w:t>1352524299</w:t>
            </w:r>
            <w:r>
              <w:rPr>
                <w:rFonts w:hint="eastAsia"/>
                <w:color w:val="auto"/>
                <w:spacing w:val="-1"/>
                <w:highlight w:val="none"/>
                <w:lang w:eastAsia="zh-CN"/>
              </w:rPr>
              <w:t>9</w:t>
            </w:r>
          </w:p>
        </w:tc>
      </w:tr>
      <w:tr w14:paraId="21DF7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9" w:hRule="atLeast"/>
        </w:trPr>
        <w:tc>
          <w:tcPr>
            <w:tcW w:w="1168" w:type="dxa"/>
          </w:tcPr>
          <w:p w14:paraId="041F3430">
            <w:pPr>
              <w:spacing w:line="252" w:lineRule="auto"/>
              <w:rPr>
                <w:color w:val="auto"/>
                <w:highlight w:val="none"/>
                <w:lang w:eastAsia="zh-CN"/>
              </w:rPr>
            </w:pPr>
          </w:p>
          <w:p w14:paraId="1DDF106B">
            <w:pPr>
              <w:spacing w:line="253" w:lineRule="auto"/>
              <w:rPr>
                <w:color w:val="auto"/>
                <w:highlight w:val="none"/>
                <w:lang w:eastAsia="zh-CN"/>
              </w:rPr>
            </w:pPr>
          </w:p>
          <w:p w14:paraId="3E600695">
            <w:pPr>
              <w:spacing w:line="253" w:lineRule="auto"/>
              <w:rPr>
                <w:color w:val="auto"/>
                <w:highlight w:val="none"/>
                <w:lang w:eastAsia="zh-CN"/>
              </w:rPr>
            </w:pPr>
          </w:p>
          <w:p w14:paraId="67BFC84A">
            <w:pPr>
              <w:spacing w:line="253" w:lineRule="auto"/>
              <w:rPr>
                <w:color w:val="auto"/>
                <w:highlight w:val="none"/>
                <w:lang w:eastAsia="zh-CN"/>
              </w:rPr>
            </w:pPr>
          </w:p>
          <w:p w14:paraId="49486A08">
            <w:pPr>
              <w:pStyle w:val="33"/>
              <w:spacing w:before="78" w:line="239" w:lineRule="auto"/>
              <w:ind w:left="427"/>
              <w:rPr>
                <w:color w:val="auto"/>
                <w:highlight w:val="none"/>
              </w:rPr>
            </w:pPr>
            <w:r>
              <w:rPr>
                <w:color w:val="auto"/>
                <w:spacing w:val="-7"/>
                <w:highlight w:val="none"/>
              </w:rPr>
              <w:t>1.2</w:t>
            </w:r>
          </w:p>
        </w:tc>
        <w:tc>
          <w:tcPr>
            <w:tcW w:w="1672" w:type="dxa"/>
          </w:tcPr>
          <w:p w14:paraId="05E76437">
            <w:pPr>
              <w:spacing w:line="252" w:lineRule="auto"/>
              <w:rPr>
                <w:color w:val="auto"/>
                <w:highlight w:val="none"/>
              </w:rPr>
            </w:pPr>
          </w:p>
          <w:p w14:paraId="1156FFE6">
            <w:pPr>
              <w:spacing w:line="253" w:lineRule="auto"/>
              <w:rPr>
                <w:color w:val="auto"/>
                <w:highlight w:val="none"/>
              </w:rPr>
            </w:pPr>
          </w:p>
          <w:p w14:paraId="099E0E02">
            <w:pPr>
              <w:spacing w:line="253" w:lineRule="auto"/>
              <w:rPr>
                <w:color w:val="auto"/>
                <w:highlight w:val="none"/>
              </w:rPr>
            </w:pPr>
          </w:p>
          <w:p w14:paraId="0D8C7315">
            <w:pPr>
              <w:spacing w:line="253" w:lineRule="auto"/>
              <w:rPr>
                <w:color w:val="auto"/>
                <w:highlight w:val="none"/>
              </w:rPr>
            </w:pPr>
          </w:p>
          <w:p w14:paraId="49ED9F4A">
            <w:pPr>
              <w:pStyle w:val="33"/>
              <w:spacing w:before="78" w:line="219" w:lineRule="auto"/>
              <w:ind w:left="112"/>
              <w:rPr>
                <w:color w:val="auto"/>
                <w:highlight w:val="none"/>
              </w:rPr>
            </w:pPr>
            <w:r>
              <w:rPr>
                <w:color w:val="auto"/>
                <w:spacing w:val="-2"/>
                <w:highlight w:val="none"/>
              </w:rPr>
              <w:t>采购代理机构</w:t>
            </w:r>
          </w:p>
        </w:tc>
        <w:tc>
          <w:tcPr>
            <w:tcW w:w="6533" w:type="dxa"/>
          </w:tcPr>
          <w:p w14:paraId="07B3EEA3">
            <w:pPr>
              <w:pStyle w:val="33"/>
              <w:spacing w:before="166" w:line="219" w:lineRule="auto"/>
              <w:ind w:left="113"/>
              <w:rPr>
                <w:color w:val="auto"/>
                <w:highlight w:val="none"/>
                <w:lang w:eastAsia="zh-CN"/>
              </w:rPr>
            </w:pPr>
            <w:r>
              <w:rPr>
                <w:color w:val="auto"/>
                <w:spacing w:val="-1"/>
                <w:highlight w:val="none"/>
                <w:lang w:eastAsia="zh-CN"/>
              </w:rPr>
              <w:t>采购代理机构:</w:t>
            </w:r>
            <w:r>
              <w:rPr>
                <w:rFonts w:hint="eastAsia"/>
                <w:color w:val="auto"/>
                <w:spacing w:val="-1"/>
                <w:highlight w:val="none"/>
                <w:lang w:eastAsia="zh-CN"/>
              </w:rPr>
              <w:t>河南德厚工程管理有限公司</w:t>
            </w:r>
          </w:p>
          <w:p w14:paraId="6AD8AEC7">
            <w:pPr>
              <w:pStyle w:val="33"/>
              <w:spacing w:before="178" w:line="220" w:lineRule="auto"/>
              <w:ind w:left="115"/>
              <w:rPr>
                <w:color w:val="auto"/>
                <w:spacing w:val="-2"/>
                <w:highlight w:val="none"/>
                <w:lang w:eastAsia="zh-CN"/>
              </w:rPr>
            </w:pPr>
            <w:r>
              <w:rPr>
                <w:rFonts w:hint="eastAsia"/>
                <w:color w:val="auto"/>
                <w:spacing w:val="-2"/>
                <w:highlight w:val="none"/>
                <w:lang w:eastAsia="zh-CN"/>
              </w:rPr>
              <w:t>地址：河南省三门峡市渑池县康宁家园</w:t>
            </w:r>
          </w:p>
          <w:p w14:paraId="582E1B48">
            <w:pPr>
              <w:pStyle w:val="33"/>
              <w:spacing w:before="178" w:line="220" w:lineRule="auto"/>
              <w:ind w:left="115"/>
              <w:rPr>
                <w:color w:val="auto"/>
                <w:highlight w:val="none"/>
                <w:lang w:eastAsia="zh-CN"/>
              </w:rPr>
            </w:pPr>
            <w:r>
              <w:rPr>
                <w:color w:val="auto"/>
                <w:spacing w:val="-2"/>
                <w:highlight w:val="none"/>
                <w:lang w:eastAsia="zh-CN"/>
              </w:rPr>
              <w:t>联系人:</w:t>
            </w:r>
            <w:r>
              <w:rPr>
                <w:rFonts w:hint="eastAsia"/>
                <w:color w:val="auto"/>
                <w:spacing w:val="-2"/>
                <w:highlight w:val="none"/>
                <w:lang w:eastAsia="zh-CN"/>
              </w:rPr>
              <w:t>张</w:t>
            </w:r>
            <w:r>
              <w:rPr>
                <w:color w:val="auto"/>
                <w:spacing w:val="-2"/>
                <w:highlight w:val="none"/>
                <w:lang w:eastAsia="zh-CN"/>
              </w:rPr>
              <w:t>女士</w:t>
            </w:r>
          </w:p>
          <w:p w14:paraId="3710C28D">
            <w:pPr>
              <w:pStyle w:val="33"/>
              <w:spacing w:before="180" w:line="221" w:lineRule="auto"/>
              <w:ind w:left="115"/>
              <w:rPr>
                <w:color w:val="auto"/>
                <w:highlight w:val="none"/>
                <w:lang w:eastAsia="zh-CN"/>
              </w:rPr>
            </w:pPr>
            <w:r>
              <w:rPr>
                <w:color w:val="auto"/>
                <w:spacing w:val="-1"/>
                <w:highlight w:val="none"/>
                <w:lang w:eastAsia="zh-CN"/>
              </w:rPr>
              <w:t>联系方式：</w:t>
            </w:r>
            <w:r>
              <w:rPr>
                <w:rFonts w:hint="eastAsia"/>
                <w:spacing w:val="-2"/>
                <w:highlight w:val="none"/>
                <w:lang w:eastAsia="zh-CN"/>
              </w:rPr>
              <w:t>13639837665</w:t>
            </w:r>
          </w:p>
        </w:tc>
      </w:tr>
      <w:tr w14:paraId="2BB62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1168" w:type="dxa"/>
          </w:tcPr>
          <w:p w14:paraId="4205DD31">
            <w:pPr>
              <w:spacing w:line="321" w:lineRule="auto"/>
              <w:rPr>
                <w:color w:val="auto"/>
                <w:highlight w:val="none"/>
                <w:lang w:eastAsia="zh-CN"/>
              </w:rPr>
            </w:pPr>
          </w:p>
          <w:p w14:paraId="1A3A0AA3">
            <w:pPr>
              <w:pStyle w:val="33"/>
              <w:spacing w:before="78" w:line="239" w:lineRule="auto"/>
              <w:ind w:left="427"/>
              <w:rPr>
                <w:color w:val="auto"/>
                <w:highlight w:val="none"/>
              </w:rPr>
            </w:pPr>
            <w:r>
              <w:rPr>
                <w:color w:val="auto"/>
                <w:spacing w:val="-7"/>
                <w:highlight w:val="none"/>
              </w:rPr>
              <w:t>1.3</w:t>
            </w:r>
          </w:p>
        </w:tc>
        <w:tc>
          <w:tcPr>
            <w:tcW w:w="1672" w:type="dxa"/>
          </w:tcPr>
          <w:p w14:paraId="3917D101">
            <w:pPr>
              <w:spacing w:line="321" w:lineRule="auto"/>
              <w:rPr>
                <w:color w:val="auto"/>
                <w:highlight w:val="none"/>
              </w:rPr>
            </w:pPr>
          </w:p>
          <w:p w14:paraId="04F0E0B1">
            <w:pPr>
              <w:pStyle w:val="33"/>
              <w:spacing w:before="78" w:line="220" w:lineRule="auto"/>
              <w:ind w:left="116"/>
              <w:rPr>
                <w:color w:val="auto"/>
                <w:highlight w:val="none"/>
              </w:rPr>
            </w:pPr>
            <w:r>
              <w:rPr>
                <w:color w:val="auto"/>
                <w:spacing w:val="-3"/>
                <w:highlight w:val="none"/>
              </w:rPr>
              <w:t>项目名称</w:t>
            </w:r>
          </w:p>
        </w:tc>
        <w:tc>
          <w:tcPr>
            <w:tcW w:w="6533" w:type="dxa"/>
            <w:vAlign w:val="center"/>
          </w:tcPr>
          <w:p w14:paraId="18135743">
            <w:pPr>
              <w:pStyle w:val="33"/>
              <w:spacing w:before="168" w:line="290" w:lineRule="auto"/>
              <w:ind w:left="123" w:right="105" w:firstLine="14"/>
              <w:jc w:val="both"/>
              <w:rPr>
                <w:color w:val="auto"/>
                <w:highlight w:val="none"/>
                <w:lang w:eastAsia="zh-CN"/>
              </w:rPr>
            </w:pPr>
            <w:r>
              <w:rPr>
                <w:rFonts w:hint="eastAsia"/>
                <w:color w:val="auto"/>
                <w:spacing w:val="-2"/>
                <w:highlight w:val="none"/>
                <w:lang w:eastAsia="zh-CN"/>
              </w:rPr>
              <w:t>渑池县2024年度原天保工程区森林抚育项目（二次）</w:t>
            </w:r>
          </w:p>
        </w:tc>
      </w:tr>
      <w:tr w14:paraId="65121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168" w:type="dxa"/>
          </w:tcPr>
          <w:p w14:paraId="10FDE379">
            <w:pPr>
              <w:pStyle w:val="33"/>
              <w:spacing w:before="222" w:line="239" w:lineRule="auto"/>
              <w:ind w:left="427"/>
              <w:rPr>
                <w:color w:val="auto"/>
                <w:highlight w:val="none"/>
              </w:rPr>
            </w:pPr>
            <w:r>
              <w:rPr>
                <w:color w:val="auto"/>
                <w:spacing w:val="-7"/>
                <w:highlight w:val="none"/>
              </w:rPr>
              <w:t>1.4</w:t>
            </w:r>
          </w:p>
        </w:tc>
        <w:tc>
          <w:tcPr>
            <w:tcW w:w="1672" w:type="dxa"/>
          </w:tcPr>
          <w:p w14:paraId="483FDF81">
            <w:pPr>
              <w:pStyle w:val="33"/>
              <w:spacing w:before="222" w:line="220" w:lineRule="auto"/>
              <w:ind w:left="114"/>
              <w:rPr>
                <w:color w:val="auto"/>
                <w:highlight w:val="none"/>
              </w:rPr>
            </w:pPr>
            <w:r>
              <w:rPr>
                <w:color w:val="auto"/>
                <w:spacing w:val="-2"/>
                <w:highlight w:val="none"/>
              </w:rPr>
              <w:t>标段划分</w:t>
            </w:r>
          </w:p>
        </w:tc>
        <w:tc>
          <w:tcPr>
            <w:tcW w:w="6533" w:type="dxa"/>
          </w:tcPr>
          <w:p w14:paraId="56079389">
            <w:pPr>
              <w:pStyle w:val="33"/>
              <w:spacing w:before="221" w:line="219" w:lineRule="auto"/>
              <w:ind w:left="115"/>
              <w:rPr>
                <w:color w:val="auto"/>
                <w:highlight w:val="none"/>
              </w:rPr>
            </w:pPr>
            <w:r>
              <w:rPr>
                <w:color w:val="auto"/>
                <w:spacing w:val="-2"/>
                <w:highlight w:val="none"/>
              </w:rPr>
              <w:t>本项目不划分标段</w:t>
            </w:r>
          </w:p>
        </w:tc>
      </w:tr>
      <w:tr w14:paraId="02FA5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9" w:hRule="atLeast"/>
        </w:trPr>
        <w:tc>
          <w:tcPr>
            <w:tcW w:w="1168" w:type="dxa"/>
          </w:tcPr>
          <w:p w14:paraId="7B35C8CA">
            <w:pPr>
              <w:spacing w:line="260" w:lineRule="auto"/>
              <w:rPr>
                <w:color w:val="auto"/>
                <w:highlight w:val="none"/>
              </w:rPr>
            </w:pPr>
          </w:p>
          <w:p w14:paraId="77B4434E">
            <w:pPr>
              <w:spacing w:line="261" w:lineRule="auto"/>
              <w:rPr>
                <w:color w:val="auto"/>
                <w:highlight w:val="none"/>
              </w:rPr>
            </w:pPr>
          </w:p>
          <w:p w14:paraId="3CE55C29">
            <w:pPr>
              <w:spacing w:line="261" w:lineRule="auto"/>
              <w:rPr>
                <w:color w:val="auto"/>
                <w:highlight w:val="none"/>
              </w:rPr>
            </w:pPr>
          </w:p>
          <w:p w14:paraId="382BFC6B">
            <w:pPr>
              <w:pStyle w:val="33"/>
              <w:spacing w:before="78" w:line="239" w:lineRule="auto"/>
              <w:ind w:left="427"/>
              <w:rPr>
                <w:color w:val="auto"/>
                <w:highlight w:val="none"/>
              </w:rPr>
            </w:pPr>
            <w:r>
              <w:rPr>
                <w:color w:val="auto"/>
                <w:spacing w:val="-7"/>
                <w:highlight w:val="none"/>
              </w:rPr>
              <w:t>1.5</w:t>
            </w:r>
          </w:p>
        </w:tc>
        <w:tc>
          <w:tcPr>
            <w:tcW w:w="1672" w:type="dxa"/>
          </w:tcPr>
          <w:p w14:paraId="4BC1EB02">
            <w:pPr>
              <w:spacing w:line="260" w:lineRule="auto"/>
              <w:rPr>
                <w:color w:val="auto"/>
                <w:highlight w:val="none"/>
              </w:rPr>
            </w:pPr>
          </w:p>
          <w:p w14:paraId="07301E97">
            <w:pPr>
              <w:spacing w:line="260" w:lineRule="auto"/>
              <w:rPr>
                <w:color w:val="auto"/>
                <w:highlight w:val="none"/>
              </w:rPr>
            </w:pPr>
          </w:p>
          <w:p w14:paraId="009013D4">
            <w:pPr>
              <w:spacing w:line="261" w:lineRule="auto"/>
              <w:rPr>
                <w:color w:val="auto"/>
                <w:highlight w:val="none"/>
              </w:rPr>
            </w:pPr>
          </w:p>
          <w:p w14:paraId="3407807D">
            <w:pPr>
              <w:pStyle w:val="33"/>
              <w:spacing w:before="78" w:line="220" w:lineRule="auto"/>
              <w:ind w:left="113"/>
              <w:rPr>
                <w:color w:val="auto"/>
                <w:highlight w:val="none"/>
              </w:rPr>
            </w:pPr>
            <w:r>
              <w:rPr>
                <w:color w:val="auto"/>
                <w:spacing w:val="-2"/>
                <w:highlight w:val="none"/>
              </w:rPr>
              <w:t>服务内容</w:t>
            </w:r>
          </w:p>
        </w:tc>
        <w:tc>
          <w:tcPr>
            <w:tcW w:w="6533" w:type="dxa"/>
          </w:tcPr>
          <w:p w14:paraId="33C7B23F">
            <w:pPr>
              <w:pStyle w:val="33"/>
              <w:spacing w:before="178" w:line="220" w:lineRule="auto"/>
              <w:ind w:left="115"/>
              <w:rPr>
                <w:color w:val="auto"/>
                <w:highlight w:val="none"/>
                <w:lang w:eastAsia="zh-CN"/>
              </w:rPr>
            </w:pPr>
            <w:r>
              <w:rPr>
                <w:rFonts w:hint="eastAsia"/>
                <w:color w:val="auto"/>
                <w:spacing w:val="2"/>
                <w:highlight w:val="none"/>
                <w:lang w:eastAsia="zh-CN"/>
              </w:rPr>
              <w:t>本项目为渑池县2024年度原天保工程区森林抚育项目（二次），该项目位于渑池县境内。主要内容为坡头乡、段村乡、南村乡、仰韶镇等4个乡镇，6个行政村，共计29个小班的森林抚育作业。（详见第三章服务内容及要求）。</w:t>
            </w:r>
          </w:p>
        </w:tc>
      </w:tr>
      <w:tr w14:paraId="60F58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168" w:type="dxa"/>
          </w:tcPr>
          <w:p w14:paraId="10A36C3E">
            <w:pPr>
              <w:pStyle w:val="33"/>
              <w:spacing w:before="223" w:line="239" w:lineRule="auto"/>
              <w:ind w:left="614"/>
              <w:rPr>
                <w:color w:val="auto"/>
                <w:highlight w:val="none"/>
              </w:rPr>
            </w:pPr>
            <w:r>
              <w:rPr>
                <w:color w:val="auto"/>
                <w:spacing w:val="-7"/>
                <w:highlight w:val="none"/>
              </w:rPr>
              <w:t>1.6</w:t>
            </w:r>
          </w:p>
        </w:tc>
        <w:tc>
          <w:tcPr>
            <w:tcW w:w="1672" w:type="dxa"/>
          </w:tcPr>
          <w:p w14:paraId="3B04C164">
            <w:pPr>
              <w:pStyle w:val="33"/>
              <w:spacing w:before="222" w:line="220" w:lineRule="auto"/>
              <w:ind w:left="115"/>
              <w:rPr>
                <w:color w:val="auto"/>
                <w:highlight w:val="none"/>
              </w:rPr>
            </w:pPr>
            <w:r>
              <w:rPr>
                <w:color w:val="auto"/>
                <w:spacing w:val="-3"/>
                <w:highlight w:val="none"/>
              </w:rPr>
              <w:t>预算金额</w:t>
            </w:r>
          </w:p>
        </w:tc>
        <w:tc>
          <w:tcPr>
            <w:tcW w:w="6533" w:type="dxa"/>
          </w:tcPr>
          <w:p w14:paraId="4FAAB930">
            <w:pPr>
              <w:pStyle w:val="33"/>
              <w:spacing w:before="223" w:line="220" w:lineRule="auto"/>
              <w:ind w:left="111"/>
              <w:rPr>
                <w:color w:val="auto"/>
                <w:highlight w:val="none"/>
              </w:rPr>
            </w:pPr>
            <w:r>
              <w:rPr>
                <w:color w:val="auto"/>
                <w:spacing w:val="-1"/>
                <w:highlight w:val="none"/>
              </w:rPr>
              <w:t>¥</w:t>
            </w:r>
            <w:r>
              <w:rPr>
                <w:rFonts w:hint="eastAsia"/>
                <w:color w:val="auto"/>
                <w:spacing w:val="-1"/>
                <w:highlight w:val="none"/>
                <w:lang w:eastAsia="zh-CN"/>
              </w:rPr>
              <w:t>5892207.50</w:t>
            </w:r>
            <w:r>
              <w:rPr>
                <w:color w:val="auto"/>
                <w:spacing w:val="-45"/>
                <w:highlight w:val="none"/>
              </w:rPr>
              <w:t xml:space="preserve"> </w:t>
            </w:r>
            <w:r>
              <w:rPr>
                <w:color w:val="auto"/>
                <w:spacing w:val="-1"/>
                <w:highlight w:val="none"/>
              </w:rPr>
              <w:t>元</w:t>
            </w:r>
          </w:p>
        </w:tc>
      </w:tr>
      <w:tr w14:paraId="3FD0E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1168" w:type="dxa"/>
          </w:tcPr>
          <w:p w14:paraId="3CFBF4CC">
            <w:pPr>
              <w:pStyle w:val="33"/>
              <w:spacing w:before="209" w:line="239" w:lineRule="auto"/>
              <w:ind w:left="614"/>
              <w:rPr>
                <w:color w:val="auto"/>
                <w:highlight w:val="none"/>
              </w:rPr>
            </w:pPr>
            <w:r>
              <w:rPr>
                <w:color w:val="auto"/>
                <w:spacing w:val="-7"/>
                <w:highlight w:val="none"/>
              </w:rPr>
              <w:t>1.7</w:t>
            </w:r>
          </w:p>
        </w:tc>
        <w:tc>
          <w:tcPr>
            <w:tcW w:w="1672" w:type="dxa"/>
          </w:tcPr>
          <w:p w14:paraId="77DAC2A7">
            <w:pPr>
              <w:pStyle w:val="33"/>
              <w:spacing w:before="208" w:line="220" w:lineRule="auto"/>
              <w:ind w:left="123"/>
              <w:rPr>
                <w:color w:val="auto"/>
                <w:highlight w:val="none"/>
              </w:rPr>
            </w:pPr>
            <w:r>
              <w:rPr>
                <w:color w:val="auto"/>
                <w:spacing w:val="-4"/>
                <w:highlight w:val="none"/>
              </w:rPr>
              <w:t>资金来源</w:t>
            </w:r>
          </w:p>
        </w:tc>
        <w:tc>
          <w:tcPr>
            <w:tcW w:w="6533" w:type="dxa"/>
          </w:tcPr>
          <w:p w14:paraId="0E0E70EA">
            <w:pPr>
              <w:pStyle w:val="33"/>
              <w:spacing w:before="209" w:line="220" w:lineRule="auto"/>
              <w:ind w:left="115"/>
              <w:rPr>
                <w:color w:val="auto"/>
                <w:highlight w:val="none"/>
              </w:rPr>
            </w:pPr>
            <w:r>
              <w:rPr>
                <w:color w:val="auto"/>
                <w:spacing w:val="-2"/>
                <w:highlight w:val="none"/>
              </w:rPr>
              <w:t>财政资金，且已落实</w:t>
            </w:r>
          </w:p>
        </w:tc>
      </w:tr>
      <w:tr w14:paraId="50CD8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168" w:type="dxa"/>
          </w:tcPr>
          <w:p w14:paraId="053FB610">
            <w:pPr>
              <w:pStyle w:val="33"/>
              <w:spacing w:before="220" w:line="239" w:lineRule="auto"/>
              <w:ind w:left="614"/>
              <w:rPr>
                <w:color w:val="auto"/>
                <w:highlight w:val="none"/>
              </w:rPr>
            </w:pPr>
            <w:r>
              <w:rPr>
                <w:color w:val="auto"/>
                <w:spacing w:val="-7"/>
                <w:highlight w:val="none"/>
              </w:rPr>
              <w:t>1.8</w:t>
            </w:r>
          </w:p>
        </w:tc>
        <w:tc>
          <w:tcPr>
            <w:tcW w:w="1672" w:type="dxa"/>
          </w:tcPr>
          <w:p w14:paraId="3ABE8C35">
            <w:pPr>
              <w:pStyle w:val="33"/>
              <w:spacing w:before="220" w:line="220" w:lineRule="auto"/>
              <w:ind w:left="113"/>
              <w:rPr>
                <w:color w:val="auto"/>
                <w:highlight w:val="none"/>
                <w:lang w:eastAsia="zh-CN"/>
              </w:rPr>
            </w:pPr>
            <w:r>
              <w:rPr>
                <w:rFonts w:hint="eastAsia"/>
                <w:color w:val="auto"/>
                <w:spacing w:val="-2"/>
                <w:highlight w:val="none"/>
                <w:lang w:eastAsia="zh-CN"/>
              </w:rPr>
              <w:t>实施周期</w:t>
            </w:r>
          </w:p>
        </w:tc>
        <w:tc>
          <w:tcPr>
            <w:tcW w:w="6533" w:type="dxa"/>
          </w:tcPr>
          <w:p w14:paraId="01F0A181">
            <w:pPr>
              <w:pStyle w:val="33"/>
              <w:spacing w:before="219" w:line="220" w:lineRule="auto"/>
              <w:ind w:left="115"/>
              <w:rPr>
                <w:color w:val="auto"/>
                <w:highlight w:val="none"/>
                <w:lang w:eastAsia="zh-CN"/>
              </w:rPr>
            </w:pPr>
            <w:r>
              <w:rPr>
                <w:color w:val="auto"/>
                <w:spacing w:val="-6"/>
                <w:highlight w:val="none"/>
                <w:lang w:eastAsia="zh-CN"/>
              </w:rPr>
              <w:t>合同签订后</w:t>
            </w:r>
            <w:r>
              <w:rPr>
                <w:rFonts w:hint="eastAsia"/>
                <w:color w:val="auto"/>
                <w:spacing w:val="-6"/>
                <w:highlight w:val="none"/>
                <w:lang w:eastAsia="zh-CN"/>
              </w:rPr>
              <w:t>90</w:t>
            </w:r>
            <w:r>
              <w:rPr>
                <w:color w:val="auto"/>
                <w:spacing w:val="-6"/>
                <w:highlight w:val="none"/>
                <w:lang w:eastAsia="zh-CN"/>
              </w:rPr>
              <w:t>日历天内完成</w:t>
            </w:r>
          </w:p>
        </w:tc>
      </w:tr>
      <w:tr w14:paraId="05453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168" w:type="dxa"/>
          </w:tcPr>
          <w:p w14:paraId="6781D25F">
            <w:pPr>
              <w:pStyle w:val="33"/>
              <w:spacing w:before="184" w:line="230" w:lineRule="auto"/>
              <w:ind w:left="614"/>
              <w:rPr>
                <w:color w:val="auto"/>
                <w:highlight w:val="none"/>
              </w:rPr>
            </w:pPr>
            <w:r>
              <w:rPr>
                <w:color w:val="auto"/>
                <w:spacing w:val="-7"/>
                <w:highlight w:val="none"/>
              </w:rPr>
              <w:t>1.9</w:t>
            </w:r>
          </w:p>
        </w:tc>
        <w:tc>
          <w:tcPr>
            <w:tcW w:w="1672" w:type="dxa"/>
          </w:tcPr>
          <w:p w14:paraId="6FAC0940">
            <w:pPr>
              <w:pStyle w:val="33"/>
              <w:spacing w:before="183" w:line="220" w:lineRule="auto"/>
              <w:ind w:left="113"/>
              <w:rPr>
                <w:color w:val="auto"/>
                <w:highlight w:val="none"/>
              </w:rPr>
            </w:pPr>
            <w:r>
              <w:rPr>
                <w:color w:val="auto"/>
                <w:spacing w:val="-2"/>
                <w:highlight w:val="none"/>
              </w:rPr>
              <w:t>服务地点</w:t>
            </w:r>
          </w:p>
        </w:tc>
        <w:tc>
          <w:tcPr>
            <w:tcW w:w="6533" w:type="dxa"/>
          </w:tcPr>
          <w:p w14:paraId="3901BDB5">
            <w:pPr>
              <w:pStyle w:val="33"/>
              <w:spacing w:before="184" w:line="219" w:lineRule="auto"/>
              <w:ind w:left="114"/>
              <w:rPr>
                <w:color w:val="auto"/>
                <w:highlight w:val="none"/>
              </w:rPr>
            </w:pPr>
            <w:r>
              <w:rPr>
                <w:rFonts w:hint="eastAsia"/>
                <w:color w:val="auto"/>
                <w:spacing w:val="-2"/>
                <w:highlight w:val="none"/>
              </w:rPr>
              <w:t>渑池县境内</w:t>
            </w:r>
          </w:p>
        </w:tc>
      </w:tr>
      <w:tr w14:paraId="1EE34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168" w:type="dxa"/>
          </w:tcPr>
          <w:p w14:paraId="7A39230E">
            <w:pPr>
              <w:pStyle w:val="33"/>
              <w:spacing w:before="235" w:line="239" w:lineRule="auto"/>
              <w:ind w:left="367"/>
              <w:rPr>
                <w:color w:val="auto"/>
                <w:highlight w:val="none"/>
              </w:rPr>
            </w:pPr>
            <w:r>
              <w:rPr>
                <w:color w:val="auto"/>
                <w:spacing w:val="-6"/>
                <w:highlight w:val="none"/>
              </w:rPr>
              <w:t>1.10</w:t>
            </w:r>
          </w:p>
        </w:tc>
        <w:tc>
          <w:tcPr>
            <w:tcW w:w="1672" w:type="dxa"/>
          </w:tcPr>
          <w:p w14:paraId="44D7EA71">
            <w:pPr>
              <w:pStyle w:val="33"/>
              <w:spacing w:before="235" w:line="220" w:lineRule="auto"/>
              <w:ind w:left="114"/>
              <w:rPr>
                <w:color w:val="auto"/>
                <w:highlight w:val="none"/>
                <w:lang w:eastAsia="zh-CN"/>
              </w:rPr>
            </w:pPr>
            <w:r>
              <w:rPr>
                <w:rFonts w:hint="eastAsia"/>
                <w:color w:val="auto"/>
                <w:spacing w:val="-2"/>
                <w:highlight w:val="none"/>
                <w:lang w:eastAsia="zh-CN"/>
              </w:rPr>
              <w:t>服务要求</w:t>
            </w:r>
          </w:p>
        </w:tc>
        <w:tc>
          <w:tcPr>
            <w:tcW w:w="6533" w:type="dxa"/>
          </w:tcPr>
          <w:p w14:paraId="21C4FCA0">
            <w:pPr>
              <w:pStyle w:val="33"/>
              <w:spacing w:before="234" w:line="219" w:lineRule="auto"/>
              <w:ind w:left="116"/>
              <w:rPr>
                <w:color w:val="auto"/>
                <w:highlight w:val="none"/>
                <w:lang w:eastAsia="zh-CN"/>
              </w:rPr>
            </w:pPr>
            <w:r>
              <w:rPr>
                <w:color w:val="auto"/>
                <w:spacing w:val="-1"/>
                <w:highlight w:val="none"/>
                <w:lang w:eastAsia="zh-CN"/>
              </w:rPr>
              <w:t>符合国家相关行业规定且满足采购人要求</w:t>
            </w:r>
          </w:p>
        </w:tc>
      </w:tr>
      <w:tr w14:paraId="431FC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168" w:type="dxa"/>
          </w:tcPr>
          <w:p w14:paraId="21C6696B">
            <w:pPr>
              <w:pStyle w:val="33"/>
              <w:spacing w:before="235" w:line="239" w:lineRule="auto"/>
              <w:ind w:left="367"/>
              <w:rPr>
                <w:color w:val="auto"/>
                <w:highlight w:val="none"/>
              </w:rPr>
            </w:pPr>
            <w:r>
              <w:rPr>
                <w:color w:val="auto"/>
                <w:spacing w:val="-6"/>
                <w:highlight w:val="none"/>
              </w:rPr>
              <w:t>1.11</w:t>
            </w:r>
          </w:p>
        </w:tc>
        <w:tc>
          <w:tcPr>
            <w:tcW w:w="1672" w:type="dxa"/>
          </w:tcPr>
          <w:p w14:paraId="36B9913E">
            <w:pPr>
              <w:pStyle w:val="33"/>
              <w:spacing w:before="235" w:line="220" w:lineRule="auto"/>
              <w:ind w:left="115"/>
              <w:rPr>
                <w:color w:val="auto"/>
                <w:highlight w:val="none"/>
              </w:rPr>
            </w:pPr>
            <w:r>
              <w:rPr>
                <w:color w:val="auto"/>
                <w:spacing w:val="-2"/>
                <w:highlight w:val="none"/>
              </w:rPr>
              <w:t>投标保证金</w:t>
            </w:r>
          </w:p>
        </w:tc>
        <w:tc>
          <w:tcPr>
            <w:tcW w:w="6533" w:type="dxa"/>
          </w:tcPr>
          <w:p w14:paraId="09B1FA7B">
            <w:pPr>
              <w:pStyle w:val="33"/>
              <w:spacing w:before="234" w:line="220" w:lineRule="auto"/>
              <w:ind w:left="118"/>
              <w:rPr>
                <w:color w:val="auto"/>
                <w:highlight w:val="none"/>
                <w:lang w:eastAsia="zh-CN"/>
              </w:rPr>
            </w:pPr>
            <w:r>
              <w:rPr>
                <w:color w:val="auto"/>
                <w:spacing w:val="-2"/>
                <w:highlight w:val="none"/>
                <w:lang w:eastAsia="zh-CN"/>
              </w:rPr>
              <w:t>不需要缴纳投标保证金</w:t>
            </w:r>
          </w:p>
        </w:tc>
      </w:tr>
    </w:tbl>
    <w:p w14:paraId="1A3C7F43">
      <w:pPr>
        <w:spacing w:before="92"/>
        <w:rPr>
          <w:color w:val="auto"/>
          <w:highlight w:val="none"/>
          <w:lang w:eastAsia="zh-CN"/>
        </w:rPr>
      </w:pPr>
    </w:p>
    <w:p w14:paraId="11E956D4">
      <w:pPr>
        <w:pStyle w:val="5"/>
        <w:rPr>
          <w:highlight w:val="none"/>
        </w:rPr>
      </w:pPr>
      <w:r>
        <w:rPr>
          <w:highlight w:val="none"/>
        </w:rPr>
        <w:br w:type="page"/>
      </w:r>
    </w:p>
    <w:p w14:paraId="2D011D7F">
      <w:pPr>
        <w:spacing w:before="92"/>
        <w:rPr>
          <w:color w:val="auto"/>
          <w:highlight w:val="none"/>
          <w:lang w:eastAsia="zh-CN"/>
        </w:rPr>
      </w:pPr>
    </w:p>
    <w:tbl>
      <w:tblPr>
        <w:tblStyle w:val="32"/>
        <w:tblW w:w="9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8"/>
        <w:gridCol w:w="1672"/>
        <w:gridCol w:w="6533"/>
      </w:tblGrid>
      <w:tr w14:paraId="694E1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168" w:type="dxa"/>
          </w:tcPr>
          <w:p w14:paraId="1D26376B">
            <w:pPr>
              <w:pStyle w:val="33"/>
              <w:spacing w:before="235" w:line="239" w:lineRule="auto"/>
              <w:ind w:left="367"/>
              <w:rPr>
                <w:color w:val="auto"/>
                <w:highlight w:val="none"/>
              </w:rPr>
            </w:pPr>
            <w:r>
              <w:rPr>
                <w:color w:val="auto"/>
                <w:spacing w:val="-6"/>
                <w:highlight w:val="none"/>
              </w:rPr>
              <w:t>1.12</w:t>
            </w:r>
          </w:p>
        </w:tc>
        <w:tc>
          <w:tcPr>
            <w:tcW w:w="1672" w:type="dxa"/>
          </w:tcPr>
          <w:p w14:paraId="13929A8A">
            <w:pPr>
              <w:pStyle w:val="33"/>
              <w:spacing w:before="235" w:line="220" w:lineRule="auto"/>
              <w:ind w:left="116"/>
              <w:rPr>
                <w:color w:val="auto"/>
                <w:highlight w:val="none"/>
              </w:rPr>
            </w:pPr>
            <w:r>
              <w:rPr>
                <w:color w:val="auto"/>
                <w:spacing w:val="-2"/>
                <w:highlight w:val="none"/>
              </w:rPr>
              <w:t>是否接受进口</w:t>
            </w:r>
          </w:p>
        </w:tc>
        <w:tc>
          <w:tcPr>
            <w:tcW w:w="6533" w:type="dxa"/>
          </w:tcPr>
          <w:p w14:paraId="439B6CC6">
            <w:pPr>
              <w:pStyle w:val="33"/>
              <w:spacing w:before="235" w:line="220" w:lineRule="auto"/>
              <w:ind w:left="121"/>
              <w:rPr>
                <w:color w:val="auto"/>
                <w:highlight w:val="none"/>
              </w:rPr>
            </w:pPr>
            <w:r>
              <w:rPr>
                <w:color w:val="auto"/>
                <w:highlight w:val="none"/>
              </w:rPr>
              <w:t>否</w:t>
            </w:r>
          </w:p>
        </w:tc>
      </w:tr>
      <w:tr w14:paraId="34CD9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 w:hRule="atLeast"/>
        </w:trPr>
        <w:tc>
          <w:tcPr>
            <w:tcW w:w="1168" w:type="dxa"/>
          </w:tcPr>
          <w:p w14:paraId="7E1E6210">
            <w:pPr>
              <w:spacing w:line="275" w:lineRule="auto"/>
              <w:rPr>
                <w:color w:val="auto"/>
                <w:highlight w:val="none"/>
              </w:rPr>
            </w:pPr>
          </w:p>
          <w:p w14:paraId="244DFD29">
            <w:pPr>
              <w:spacing w:line="275" w:lineRule="auto"/>
              <w:rPr>
                <w:color w:val="auto"/>
                <w:highlight w:val="none"/>
              </w:rPr>
            </w:pPr>
          </w:p>
          <w:p w14:paraId="0A963E0F">
            <w:pPr>
              <w:pStyle w:val="33"/>
              <w:spacing w:before="78" w:line="239" w:lineRule="auto"/>
              <w:ind w:left="367"/>
              <w:rPr>
                <w:color w:val="auto"/>
                <w:highlight w:val="none"/>
              </w:rPr>
            </w:pPr>
            <w:r>
              <w:rPr>
                <w:color w:val="auto"/>
                <w:spacing w:val="-6"/>
                <w:highlight w:val="none"/>
              </w:rPr>
              <w:t>1.13</w:t>
            </w:r>
          </w:p>
        </w:tc>
        <w:tc>
          <w:tcPr>
            <w:tcW w:w="1672" w:type="dxa"/>
          </w:tcPr>
          <w:p w14:paraId="0966EFD3">
            <w:pPr>
              <w:pStyle w:val="33"/>
              <w:spacing w:before="165" w:line="313" w:lineRule="auto"/>
              <w:ind w:left="111" w:right="110"/>
              <w:jc w:val="center"/>
              <w:rPr>
                <w:color w:val="auto"/>
                <w:highlight w:val="none"/>
                <w:lang w:eastAsia="zh-CN"/>
              </w:rPr>
            </w:pPr>
            <w:r>
              <w:rPr>
                <w:color w:val="auto"/>
                <w:highlight w:val="none"/>
                <w:lang w:eastAsia="zh-CN"/>
              </w:rPr>
              <w:t>采购项目需要落实的政府采</w:t>
            </w:r>
            <w:r>
              <w:rPr>
                <w:color w:val="auto"/>
                <w:spacing w:val="-2"/>
                <w:highlight w:val="none"/>
                <w:lang w:eastAsia="zh-CN"/>
              </w:rPr>
              <w:t>购政策</w:t>
            </w:r>
          </w:p>
        </w:tc>
        <w:tc>
          <w:tcPr>
            <w:tcW w:w="6533" w:type="dxa"/>
          </w:tcPr>
          <w:p w14:paraId="712E6F19">
            <w:pPr>
              <w:pStyle w:val="33"/>
              <w:spacing w:before="165" w:line="313" w:lineRule="auto"/>
              <w:ind w:left="112" w:right="114" w:firstLine="2"/>
              <w:rPr>
                <w:color w:val="auto"/>
                <w:highlight w:val="none"/>
                <w:lang w:eastAsia="zh-CN"/>
              </w:rPr>
            </w:pPr>
            <w:r>
              <w:rPr>
                <w:color w:val="auto"/>
                <w:spacing w:val="1"/>
                <w:highlight w:val="none"/>
                <w:lang w:eastAsia="zh-CN"/>
              </w:rPr>
              <w:t>本项目执行促进中小型企业发展政策（残疾人福利</w:t>
            </w:r>
            <w:r>
              <w:rPr>
                <w:color w:val="auto"/>
                <w:highlight w:val="none"/>
                <w:lang w:eastAsia="zh-CN"/>
              </w:rPr>
              <w:t>性企业、</w:t>
            </w:r>
            <w:r>
              <w:rPr>
                <w:color w:val="auto"/>
                <w:spacing w:val="2"/>
                <w:highlight w:val="none"/>
                <w:lang w:eastAsia="zh-CN"/>
              </w:rPr>
              <w:t>监狱企业视同小微企业）、优先采购节能环保产品等政府采</w:t>
            </w:r>
            <w:r>
              <w:rPr>
                <w:color w:val="auto"/>
                <w:spacing w:val="-2"/>
                <w:highlight w:val="none"/>
                <w:lang w:eastAsia="zh-CN"/>
              </w:rPr>
              <w:t>购政策</w:t>
            </w:r>
            <w:r>
              <w:rPr>
                <w:rFonts w:hint="eastAsia"/>
                <w:color w:val="auto"/>
                <w:spacing w:val="-2"/>
                <w:highlight w:val="none"/>
                <w:lang w:eastAsia="zh-CN"/>
              </w:rPr>
              <w:t xml:space="preserve">  </w:t>
            </w:r>
          </w:p>
        </w:tc>
      </w:tr>
      <w:tr w14:paraId="11945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1168" w:type="dxa"/>
          </w:tcPr>
          <w:p w14:paraId="039D7888">
            <w:pPr>
              <w:spacing w:line="319" w:lineRule="auto"/>
              <w:rPr>
                <w:color w:val="auto"/>
                <w:highlight w:val="none"/>
                <w:lang w:eastAsia="zh-CN"/>
              </w:rPr>
            </w:pPr>
          </w:p>
          <w:p w14:paraId="3944CF4B">
            <w:pPr>
              <w:pStyle w:val="33"/>
              <w:spacing w:before="78" w:line="239" w:lineRule="auto"/>
              <w:ind w:left="367"/>
              <w:rPr>
                <w:color w:val="auto"/>
                <w:highlight w:val="none"/>
              </w:rPr>
            </w:pPr>
            <w:r>
              <w:rPr>
                <w:color w:val="auto"/>
                <w:spacing w:val="-6"/>
                <w:highlight w:val="none"/>
              </w:rPr>
              <w:t>1.14</w:t>
            </w:r>
          </w:p>
        </w:tc>
        <w:tc>
          <w:tcPr>
            <w:tcW w:w="1672" w:type="dxa"/>
          </w:tcPr>
          <w:p w14:paraId="5AB690CB">
            <w:pPr>
              <w:pStyle w:val="33"/>
              <w:spacing w:before="169" w:line="290" w:lineRule="auto"/>
              <w:ind w:left="115" w:right="110" w:firstLine="1"/>
              <w:jc w:val="center"/>
              <w:rPr>
                <w:color w:val="auto"/>
                <w:highlight w:val="none"/>
              </w:rPr>
            </w:pPr>
            <w:r>
              <w:rPr>
                <w:color w:val="auto"/>
                <w:highlight w:val="none"/>
              </w:rPr>
              <w:t>是否退还投标</w:t>
            </w:r>
            <w:r>
              <w:rPr>
                <w:color w:val="auto"/>
                <w:spacing w:val="-3"/>
                <w:highlight w:val="none"/>
              </w:rPr>
              <w:t>文件</w:t>
            </w:r>
          </w:p>
        </w:tc>
        <w:tc>
          <w:tcPr>
            <w:tcW w:w="6533" w:type="dxa"/>
          </w:tcPr>
          <w:p w14:paraId="4AC1D8FC">
            <w:pPr>
              <w:spacing w:line="319" w:lineRule="auto"/>
              <w:rPr>
                <w:color w:val="auto"/>
                <w:highlight w:val="none"/>
                <w:lang w:eastAsia="zh-CN"/>
              </w:rPr>
            </w:pPr>
          </w:p>
          <w:p w14:paraId="58568221">
            <w:pPr>
              <w:pStyle w:val="33"/>
              <w:spacing w:before="78" w:line="219" w:lineRule="auto"/>
              <w:ind w:left="114"/>
              <w:rPr>
                <w:color w:val="auto"/>
                <w:highlight w:val="none"/>
                <w:lang w:eastAsia="zh-CN"/>
              </w:rPr>
            </w:pPr>
            <w:r>
              <w:rPr>
                <w:color w:val="auto"/>
                <w:spacing w:val="-1"/>
                <w:highlight w:val="none"/>
                <w:lang w:eastAsia="zh-CN"/>
              </w:rPr>
              <w:t>供应商递交的投标文件不论中标与否均不予退还</w:t>
            </w:r>
          </w:p>
        </w:tc>
      </w:tr>
      <w:tr w14:paraId="1385B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7" w:hRule="atLeast"/>
        </w:trPr>
        <w:tc>
          <w:tcPr>
            <w:tcW w:w="1168" w:type="dxa"/>
          </w:tcPr>
          <w:p w14:paraId="516FAE43">
            <w:pPr>
              <w:spacing w:line="275" w:lineRule="auto"/>
              <w:rPr>
                <w:color w:val="auto"/>
                <w:highlight w:val="none"/>
                <w:lang w:eastAsia="zh-CN"/>
              </w:rPr>
            </w:pPr>
          </w:p>
          <w:p w14:paraId="74890D17">
            <w:pPr>
              <w:spacing w:line="276" w:lineRule="auto"/>
              <w:rPr>
                <w:color w:val="auto"/>
                <w:highlight w:val="none"/>
                <w:lang w:eastAsia="zh-CN"/>
              </w:rPr>
            </w:pPr>
          </w:p>
          <w:p w14:paraId="1BF3C9F1">
            <w:pPr>
              <w:pStyle w:val="33"/>
              <w:spacing w:before="78" w:line="239" w:lineRule="auto"/>
              <w:ind w:left="599"/>
              <w:rPr>
                <w:color w:val="auto"/>
                <w:highlight w:val="none"/>
              </w:rPr>
            </w:pPr>
            <w:r>
              <w:rPr>
                <w:color w:val="auto"/>
                <w:spacing w:val="-3"/>
                <w:highlight w:val="none"/>
              </w:rPr>
              <w:t>2.1</w:t>
            </w:r>
          </w:p>
        </w:tc>
        <w:tc>
          <w:tcPr>
            <w:tcW w:w="1672" w:type="dxa"/>
          </w:tcPr>
          <w:p w14:paraId="46C61074">
            <w:pPr>
              <w:pStyle w:val="33"/>
              <w:spacing w:before="166" w:line="313" w:lineRule="auto"/>
              <w:ind w:left="114" w:right="104" w:firstLine="1"/>
              <w:jc w:val="center"/>
              <w:rPr>
                <w:color w:val="auto"/>
                <w:highlight w:val="none"/>
                <w:lang w:eastAsia="zh-CN"/>
              </w:rPr>
            </w:pPr>
            <w:r>
              <w:rPr>
                <w:color w:val="auto"/>
                <w:spacing w:val="49"/>
                <w:highlight w:val="none"/>
                <w:lang w:eastAsia="zh-CN"/>
              </w:rPr>
              <w:t>投标人的资</w:t>
            </w:r>
            <w:r>
              <w:rPr>
                <w:color w:val="auto"/>
                <w:highlight w:val="none"/>
                <w:lang w:eastAsia="zh-CN"/>
              </w:rPr>
              <w:t>质、能力和应</w:t>
            </w:r>
            <w:r>
              <w:rPr>
                <w:color w:val="auto"/>
                <w:spacing w:val="-2"/>
                <w:highlight w:val="none"/>
                <w:lang w:eastAsia="zh-CN"/>
              </w:rPr>
              <w:t>具备条件</w:t>
            </w:r>
          </w:p>
        </w:tc>
        <w:tc>
          <w:tcPr>
            <w:tcW w:w="6533" w:type="dxa"/>
          </w:tcPr>
          <w:p w14:paraId="6720A506">
            <w:pPr>
              <w:spacing w:line="275" w:lineRule="auto"/>
              <w:rPr>
                <w:color w:val="auto"/>
                <w:highlight w:val="none"/>
                <w:lang w:eastAsia="zh-CN"/>
              </w:rPr>
            </w:pPr>
          </w:p>
          <w:p w14:paraId="79AE62C6">
            <w:pPr>
              <w:spacing w:line="276" w:lineRule="auto"/>
              <w:rPr>
                <w:color w:val="auto"/>
                <w:highlight w:val="none"/>
                <w:lang w:eastAsia="zh-CN"/>
              </w:rPr>
            </w:pPr>
          </w:p>
          <w:p w14:paraId="56A32BB7">
            <w:pPr>
              <w:pStyle w:val="33"/>
              <w:spacing w:before="78" w:line="218" w:lineRule="auto"/>
              <w:ind w:left="117"/>
              <w:rPr>
                <w:color w:val="auto"/>
                <w:highlight w:val="none"/>
                <w:lang w:eastAsia="zh-CN"/>
              </w:rPr>
            </w:pPr>
            <w:r>
              <w:rPr>
                <w:color w:val="auto"/>
                <w:spacing w:val="-2"/>
                <w:highlight w:val="none"/>
                <w:lang w:eastAsia="zh-CN"/>
              </w:rPr>
              <w:t>详见第一章招标公告部分</w:t>
            </w:r>
          </w:p>
        </w:tc>
      </w:tr>
      <w:tr w14:paraId="73F1C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168" w:type="dxa"/>
          </w:tcPr>
          <w:p w14:paraId="527C90C1">
            <w:pPr>
              <w:pStyle w:val="33"/>
              <w:spacing w:before="220" w:line="239" w:lineRule="auto"/>
              <w:ind w:left="599"/>
              <w:rPr>
                <w:color w:val="auto"/>
                <w:highlight w:val="none"/>
              </w:rPr>
            </w:pPr>
            <w:r>
              <w:rPr>
                <w:color w:val="auto"/>
                <w:spacing w:val="-3"/>
                <w:highlight w:val="none"/>
              </w:rPr>
              <w:t>2.2</w:t>
            </w:r>
          </w:p>
        </w:tc>
        <w:tc>
          <w:tcPr>
            <w:tcW w:w="1672" w:type="dxa"/>
          </w:tcPr>
          <w:p w14:paraId="740FDCE4">
            <w:pPr>
              <w:pStyle w:val="33"/>
              <w:spacing w:before="219" w:line="220" w:lineRule="auto"/>
              <w:ind w:left="114"/>
              <w:jc w:val="center"/>
              <w:rPr>
                <w:color w:val="auto"/>
                <w:highlight w:val="none"/>
              </w:rPr>
            </w:pPr>
            <w:r>
              <w:rPr>
                <w:color w:val="auto"/>
                <w:spacing w:val="-2"/>
                <w:highlight w:val="none"/>
              </w:rPr>
              <w:t>踏勘现场</w:t>
            </w:r>
          </w:p>
        </w:tc>
        <w:tc>
          <w:tcPr>
            <w:tcW w:w="6533" w:type="dxa"/>
          </w:tcPr>
          <w:p w14:paraId="3B5EA197">
            <w:pPr>
              <w:pStyle w:val="33"/>
              <w:spacing w:before="220" w:line="222" w:lineRule="auto"/>
              <w:ind w:left="118"/>
              <w:rPr>
                <w:color w:val="auto"/>
                <w:highlight w:val="none"/>
              </w:rPr>
            </w:pPr>
            <w:r>
              <w:rPr>
                <w:color w:val="auto"/>
                <w:spacing w:val="-3"/>
                <w:highlight w:val="none"/>
              </w:rPr>
              <w:t>不组织</w:t>
            </w:r>
          </w:p>
        </w:tc>
      </w:tr>
      <w:tr w14:paraId="3CF97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168" w:type="dxa"/>
          </w:tcPr>
          <w:p w14:paraId="0BF5D9A6">
            <w:pPr>
              <w:pStyle w:val="33"/>
              <w:spacing w:before="216" w:line="239" w:lineRule="auto"/>
              <w:ind w:left="599"/>
              <w:rPr>
                <w:color w:val="auto"/>
                <w:highlight w:val="none"/>
              </w:rPr>
            </w:pPr>
            <w:r>
              <w:rPr>
                <w:color w:val="auto"/>
                <w:spacing w:val="-3"/>
                <w:highlight w:val="none"/>
              </w:rPr>
              <w:t>2.3</w:t>
            </w:r>
          </w:p>
        </w:tc>
        <w:tc>
          <w:tcPr>
            <w:tcW w:w="1672" w:type="dxa"/>
          </w:tcPr>
          <w:p w14:paraId="46D140E8">
            <w:pPr>
              <w:pStyle w:val="33"/>
              <w:spacing w:before="215" w:line="219" w:lineRule="auto"/>
              <w:ind w:left="115"/>
              <w:jc w:val="center"/>
              <w:rPr>
                <w:color w:val="auto"/>
                <w:highlight w:val="none"/>
              </w:rPr>
            </w:pPr>
            <w:r>
              <w:rPr>
                <w:color w:val="auto"/>
                <w:spacing w:val="-2"/>
                <w:highlight w:val="none"/>
              </w:rPr>
              <w:t>投标预备会</w:t>
            </w:r>
          </w:p>
        </w:tc>
        <w:tc>
          <w:tcPr>
            <w:tcW w:w="6533" w:type="dxa"/>
          </w:tcPr>
          <w:p w14:paraId="32CA9E77">
            <w:pPr>
              <w:pStyle w:val="33"/>
              <w:spacing w:before="216" w:line="221" w:lineRule="auto"/>
              <w:ind w:left="118"/>
              <w:rPr>
                <w:color w:val="auto"/>
                <w:highlight w:val="none"/>
              </w:rPr>
            </w:pPr>
            <w:r>
              <w:rPr>
                <w:color w:val="auto"/>
                <w:spacing w:val="-3"/>
                <w:highlight w:val="none"/>
              </w:rPr>
              <w:t>不召开</w:t>
            </w:r>
          </w:p>
        </w:tc>
      </w:tr>
      <w:tr w14:paraId="0E5E1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1" w:hRule="atLeast"/>
        </w:trPr>
        <w:tc>
          <w:tcPr>
            <w:tcW w:w="1168" w:type="dxa"/>
          </w:tcPr>
          <w:p w14:paraId="044D8326">
            <w:pPr>
              <w:spacing w:line="261" w:lineRule="auto"/>
              <w:rPr>
                <w:color w:val="auto"/>
                <w:highlight w:val="none"/>
              </w:rPr>
            </w:pPr>
          </w:p>
          <w:p w14:paraId="42D2A63C">
            <w:pPr>
              <w:spacing w:line="261" w:lineRule="auto"/>
              <w:rPr>
                <w:color w:val="auto"/>
                <w:highlight w:val="none"/>
              </w:rPr>
            </w:pPr>
          </w:p>
          <w:p w14:paraId="6EAFA9B5">
            <w:pPr>
              <w:spacing w:line="261" w:lineRule="auto"/>
              <w:rPr>
                <w:color w:val="auto"/>
                <w:highlight w:val="none"/>
              </w:rPr>
            </w:pPr>
          </w:p>
          <w:p w14:paraId="5A258C9F">
            <w:pPr>
              <w:pStyle w:val="33"/>
              <w:spacing w:before="79" w:line="239" w:lineRule="auto"/>
              <w:ind w:left="599"/>
              <w:rPr>
                <w:color w:val="auto"/>
                <w:highlight w:val="none"/>
              </w:rPr>
            </w:pPr>
            <w:r>
              <w:rPr>
                <w:color w:val="auto"/>
                <w:spacing w:val="-3"/>
                <w:highlight w:val="none"/>
              </w:rPr>
              <w:t>2.4</w:t>
            </w:r>
          </w:p>
        </w:tc>
        <w:tc>
          <w:tcPr>
            <w:tcW w:w="1672" w:type="dxa"/>
          </w:tcPr>
          <w:p w14:paraId="1F0403EA">
            <w:pPr>
              <w:spacing w:line="261" w:lineRule="auto"/>
              <w:rPr>
                <w:color w:val="auto"/>
                <w:highlight w:val="none"/>
              </w:rPr>
            </w:pPr>
          </w:p>
          <w:p w14:paraId="070F7132">
            <w:pPr>
              <w:spacing w:line="261" w:lineRule="auto"/>
              <w:rPr>
                <w:color w:val="auto"/>
                <w:highlight w:val="none"/>
              </w:rPr>
            </w:pPr>
          </w:p>
          <w:p w14:paraId="6831F51A">
            <w:pPr>
              <w:spacing w:line="262" w:lineRule="auto"/>
              <w:rPr>
                <w:color w:val="auto"/>
                <w:highlight w:val="none"/>
              </w:rPr>
            </w:pPr>
          </w:p>
          <w:p w14:paraId="3C5A8588">
            <w:pPr>
              <w:pStyle w:val="33"/>
              <w:spacing w:before="78" w:line="220" w:lineRule="auto"/>
              <w:ind w:left="594"/>
              <w:rPr>
                <w:color w:val="auto"/>
                <w:highlight w:val="none"/>
              </w:rPr>
            </w:pPr>
            <w:r>
              <w:rPr>
                <w:color w:val="auto"/>
                <w:spacing w:val="-3"/>
                <w:highlight w:val="none"/>
              </w:rPr>
              <w:t>质疑</w:t>
            </w:r>
          </w:p>
        </w:tc>
        <w:tc>
          <w:tcPr>
            <w:tcW w:w="6533" w:type="dxa"/>
          </w:tcPr>
          <w:p w14:paraId="2122C5E5">
            <w:pPr>
              <w:pStyle w:val="33"/>
              <w:spacing w:before="171" w:line="323" w:lineRule="auto"/>
              <w:ind w:left="113" w:right="106" w:firstLine="3"/>
              <w:jc w:val="both"/>
              <w:rPr>
                <w:color w:val="auto"/>
                <w:highlight w:val="none"/>
                <w:lang w:eastAsia="zh-CN"/>
              </w:rPr>
            </w:pPr>
            <w:r>
              <w:rPr>
                <w:color w:val="auto"/>
                <w:spacing w:val="2"/>
                <w:highlight w:val="none"/>
                <w:lang w:eastAsia="zh-CN"/>
              </w:rPr>
              <w:t>投标供应商如对招标文件有异议的，请于招标文件规定的投</w:t>
            </w:r>
            <w:r>
              <w:rPr>
                <w:color w:val="auto"/>
                <w:spacing w:val="-2"/>
                <w:highlight w:val="none"/>
                <w:lang w:eastAsia="zh-CN"/>
              </w:rPr>
              <w:t>标截止时间15天前将问题以书面形式提交采购人或招标代理</w:t>
            </w:r>
            <w:r>
              <w:rPr>
                <w:color w:val="auto"/>
                <w:spacing w:val="1"/>
                <w:highlight w:val="none"/>
                <w:lang w:eastAsia="zh-CN"/>
              </w:rPr>
              <w:t>机构（加盖单位公章和法定代表人签字</w:t>
            </w:r>
            <w:r>
              <w:rPr>
                <w:color w:val="auto"/>
                <w:spacing w:val="17"/>
                <w:highlight w:val="none"/>
                <w:lang w:eastAsia="zh-CN"/>
              </w:rPr>
              <w:t>），</w:t>
            </w:r>
            <w:r>
              <w:rPr>
                <w:color w:val="auto"/>
                <w:spacing w:val="1"/>
                <w:highlight w:val="none"/>
                <w:lang w:eastAsia="zh-CN"/>
              </w:rPr>
              <w:t>否则，将被视为</w:t>
            </w:r>
            <w:r>
              <w:rPr>
                <w:color w:val="auto"/>
                <w:spacing w:val="-4"/>
                <w:highlight w:val="none"/>
                <w:lang w:eastAsia="zh-CN"/>
              </w:rPr>
              <w:t>认可本招标文件所有内容。</w:t>
            </w:r>
          </w:p>
        </w:tc>
      </w:tr>
      <w:tr w14:paraId="45AA5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25" w:hRule="atLeast"/>
        </w:trPr>
        <w:tc>
          <w:tcPr>
            <w:tcW w:w="1168" w:type="dxa"/>
          </w:tcPr>
          <w:p w14:paraId="674B0ABB">
            <w:pPr>
              <w:spacing w:line="253" w:lineRule="auto"/>
              <w:rPr>
                <w:color w:val="auto"/>
                <w:highlight w:val="none"/>
                <w:lang w:eastAsia="zh-CN"/>
              </w:rPr>
            </w:pPr>
          </w:p>
          <w:p w14:paraId="4A7939FB">
            <w:pPr>
              <w:spacing w:line="253" w:lineRule="auto"/>
              <w:rPr>
                <w:color w:val="auto"/>
                <w:highlight w:val="none"/>
                <w:lang w:eastAsia="zh-CN"/>
              </w:rPr>
            </w:pPr>
          </w:p>
          <w:p w14:paraId="0972519F">
            <w:pPr>
              <w:spacing w:line="254" w:lineRule="auto"/>
              <w:rPr>
                <w:color w:val="auto"/>
                <w:highlight w:val="none"/>
                <w:lang w:eastAsia="zh-CN"/>
              </w:rPr>
            </w:pPr>
          </w:p>
          <w:p w14:paraId="2AC302CA">
            <w:pPr>
              <w:spacing w:line="254" w:lineRule="auto"/>
              <w:rPr>
                <w:color w:val="auto"/>
                <w:highlight w:val="none"/>
                <w:lang w:eastAsia="zh-CN"/>
              </w:rPr>
            </w:pPr>
          </w:p>
          <w:p w14:paraId="5BE634D6">
            <w:pPr>
              <w:pStyle w:val="33"/>
              <w:spacing w:before="78" w:line="239" w:lineRule="auto"/>
              <w:ind w:left="599"/>
              <w:rPr>
                <w:color w:val="auto"/>
                <w:highlight w:val="none"/>
              </w:rPr>
            </w:pPr>
            <w:r>
              <w:rPr>
                <w:color w:val="auto"/>
                <w:spacing w:val="-3"/>
                <w:highlight w:val="none"/>
              </w:rPr>
              <w:t>2.5</w:t>
            </w:r>
          </w:p>
        </w:tc>
        <w:tc>
          <w:tcPr>
            <w:tcW w:w="1672" w:type="dxa"/>
          </w:tcPr>
          <w:p w14:paraId="02AB9BD2">
            <w:pPr>
              <w:spacing w:line="260" w:lineRule="auto"/>
              <w:rPr>
                <w:color w:val="auto"/>
                <w:highlight w:val="none"/>
                <w:lang w:eastAsia="zh-CN"/>
              </w:rPr>
            </w:pPr>
          </w:p>
          <w:p w14:paraId="120ADBB2">
            <w:pPr>
              <w:spacing w:line="261" w:lineRule="auto"/>
              <w:rPr>
                <w:color w:val="auto"/>
                <w:highlight w:val="none"/>
                <w:lang w:eastAsia="zh-CN"/>
              </w:rPr>
            </w:pPr>
          </w:p>
          <w:p w14:paraId="5EBE1C34">
            <w:pPr>
              <w:spacing w:line="261" w:lineRule="auto"/>
              <w:rPr>
                <w:color w:val="auto"/>
                <w:highlight w:val="none"/>
                <w:lang w:eastAsia="zh-CN"/>
              </w:rPr>
            </w:pPr>
          </w:p>
          <w:p w14:paraId="673A2F19">
            <w:pPr>
              <w:pStyle w:val="33"/>
              <w:spacing w:before="78" w:line="359" w:lineRule="auto"/>
              <w:ind w:left="112" w:right="110"/>
              <w:rPr>
                <w:color w:val="auto"/>
                <w:highlight w:val="none"/>
                <w:lang w:eastAsia="zh-CN"/>
              </w:rPr>
            </w:pPr>
            <w:r>
              <w:rPr>
                <w:color w:val="auto"/>
                <w:highlight w:val="none"/>
                <w:lang w:eastAsia="zh-CN"/>
              </w:rPr>
              <w:t>采购人书面澄</w:t>
            </w:r>
            <w:r>
              <w:rPr>
                <w:color w:val="auto"/>
                <w:spacing w:val="-2"/>
                <w:highlight w:val="none"/>
                <w:lang w:eastAsia="zh-CN"/>
              </w:rPr>
              <w:t>清的时间</w:t>
            </w:r>
          </w:p>
        </w:tc>
        <w:tc>
          <w:tcPr>
            <w:tcW w:w="6533" w:type="dxa"/>
          </w:tcPr>
          <w:p w14:paraId="55BBF22F">
            <w:pPr>
              <w:pStyle w:val="33"/>
              <w:spacing w:before="170" w:line="330" w:lineRule="auto"/>
              <w:ind w:left="115" w:right="105" w:firstLine="1"/>
              <w:jc w:val="both"/>
              <w:rPr>
                <w:color w:val="auto"/>
                <w:highlight w:val="none"/>
                <w:lang w:eastAsia="zh-CN"/>
              </w:rPr>
            </w:pPr>
            <w:r>
              <w:rPr>
                <w:color w:val="auto"/>
                <w:spacing w:val="-7"/>
                <w:highlight w:val="none"/>
                <w:lang w:eastAsia="zh-CN"/>
              </w:rPr>
              <w:t>投标截止时间15日前，招标人如对已发出</w:t>
            </w:r>
            <w:r>
              <w:rPr>
                <w:color w:val="auto"/>
                <w:spacing w:val="-8"/>
                <w:highlight w:val="none"/>
                <w:lang w:eastAsia="zh-CN"/>
              </w:rPr>
              <w:t>的招标文件进行必</w:t>
            </w:r>
            <w:r>
              <w:rPr>
                <w:color w:val="auto"/>
                <w:spacing w:val="2"/>
                <w:highlight w:val="none"/>
                <w:lang w:eastAsia="zh-CN"/>
              </w:rPr>
              <w:t>要澄清或者修改的，将以变更公告方式向已获取招标文件的投标供应商发出，并发布在本次招标公告的同一媒体上，投标供应商应实时关注并及时下载。该澄清或者修改的内容为</w:t>
            </w:r>
            <w:r>
              <w:rPr>
                <w:color w:val="auto"/>
                <w:spacing w:val="-5"/>
                <w:highlight w:val="none"/>
                <w:lang w:eastAsia="zh-CN"/>
              </w:rPr>
              <w:t>招标文件的组成部分。</w:t>
            </w:r>
          </w:p>
        </w:tc>
      </w:tr>
      <w:tr w14:paraId="73BE0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168" w:type="dxa"/>
          </w:tcPr>
          <w:p w14:paraId="223A208F">
            <w:pPr>
              <w:pStyle w:val="33"/>
              <w:spacing w:before="170" w:line="221" w:lineRule="auto"/>
              <w:ind w:left="599"/>
              <w:rPr>
                <w:color w:val="auto"/>
                <w:highlight w:val="none"/>
              </w:rPr>
            </w:pPr>
            <w:r>
              <w:rPr>
                <w:color w:val="auto"/>
                <w:spacing w:val="-3"/>
                <w:highlight w:val="none"/>
              </w:rPr>
              <w:t>2.6</w:t>
            </w:r>
          </w:p>
        </w:tc>
        <w:tc>
          <w:tcPr>
            <w:tcW w:w="1672" w:type="dxa"/>
          </w:tcPr>
          <w:p w14:paraId="6D67CCC5">
            <w:pPr>
              <w:pStyle w:val="33"/>
              <w:spacing w:before="170" w:line="220" w:lineRule="auto"/>
              <w:ind w:left="115"/>
              <w:rPr>
                <w:color w:val="auto"/>
                <w:highlight w:val="none"/>
              </w:rPr>
            </w:pPr>
            <w:r>
              <w:rPr>
                <w:color w:val="auto"/>
                <w:spacing w:val="-2"/>
                <w:highlight w:val="none"/>
              </w:rPr>
              <w:t>投标截止时间</w:t>
            </w:r>
          </w:p>
        </w:tc>
        <w:tc>
          <w:tcPr>
            <w:tcW w:w="6533" w:type="dxa"/>
          </w:tcPr>
          <w:p w14:paraId="2321985C">
            <w:pPr>
              <w:pStyle w:val="33"/>
              <w:spacing w:before="169" w:line="220" w:lineRule="auto"/>
              <w:ind w:left="117"/>
              <w:rPr>
                <w:color w:val="auto"/>
                <w:highlight w:val="none"/>
              </w:rPr>
            </w:pPr>
            <w:r>
              <w:rPr>
                <w:rFonts w:hint="eastAsia" w:cs="宋体"/>
                <w:color w:val="auto"/>
                <w:sz w:val="24"/>
                <w:szCs w:val="24"/>
                <w:highlight w:val="none"/>
                <w:lang w:eastAsia="zh-CN"/>
              </w:rPr>
              <w:t>2026年03月06日</w:t>
            </w:r>
            <w:r>
              <w:rPr>
                <w:rFonts w:hint="eastAsia" w:ascii="宋体" w:hAnsi="宋体" w:cs="宋体"/>
                <w:color w:val="auto"/>
                <w:sz w:val="24"/>
                <w:szCs w:val="24"/>
                <w:highlight w:val="none"/>
                <w:lang w:eastAsia="zh-CN"/>
              </w:rPr>
              <w:t>8时20分</w:t>
            </w:r>
          </w:p>
        </w:tc>
      </w:tr>
      <w:tr w14:paraId="2F391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1168" w:type="dxa"/>
          </w:tcPr>
          <w:p w14:paraId="58406DBF">
            <w:pPr>
              <w:pStyle w:val="33"/>
              <w:spacing w:before="215" w:line="239" w:lineRule="auto"/>
              <w:ind w:left="599"/>
              <w:rPr>
                <w:color w:val="auto"/>
                <w:highlight w:val="none"/>
              </w:rPr>
            </w:pPr>
            <w:r>
              <w:rPr>
                <w:color w:val="auto"/>
                <w:spacing w:val="-3"/>
                <w:highlight w:val="none"/>
              </w:rPr>
              <w:t>2.7</w:t>
            </w:r>
          </w:p>
        </w:tc>
        <w:tc>
          <w:tcPr>
            <w:tcW w:w="1672" w:type="dxa"/>
          </w:tcPr>
          <w:p w14:paraId="57849308">
            <w:pPr>
              <w:pStyle w:val="33"/>
              <w:spacing w:before="216" w:line="220" w:lineRule="auto"/>
              <w:ind w:left="115"/>
              <w:rPr>
                <w:color w:val="auto"/>
                <w:highlight w:val="none"/>
              </w:rPr>
            </w:pPr>
            <w:r>
              <w:rPr>
                <w:color w:val="auto"/>
                <w:spacing w:val="-2"/>
                <w:highlight w:val="none"/>
              </w:rPr>
              <w:t>投标有效期</w:t>
            </w:r>
          </w:p>
        </w:tc>
        <w:tc>
          <w:tcPr>
            <w:tcW w:w="6533" w:type="dxa"/>
          </w:tcPr>
          <w:p w14:paraId="5D5F6B8D">
            <w:pPr>
              <w:pStyle w:val="33"/>
              <w:spacing w:before="216" w:line="220" w:lineRule="auto"/>
              <w:ind w:left="116"/>
              <w:rPr>
                <w:color w:val="auto"/>
                <w:highlight w:val="none"/>
                <w:lang w:eastAsia="zh-CN"/>
              </w:rPr>
            </w:pPr>
            <w:r>
              <w:rPr>
                <w:color w:val="auto"/>
                <w:spacing w:val="-6"/>
                <w:highlight w:val="none"/>
                <w:lang w:eastAsia="zh-CN"/>
              </w:rPr>
              <w:t>60日历天（自投标截止之日起）</w:t>
            </w:r>
          </w:p>
        </w:tc>
      </w:tr>
      <w:tr w14:paraId="3772A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168" w:type="dxa"/>
          </w:tcPr>
          <w:p w14:paraId="3C86E3C4">
            <w:pPr>
              <w:pStyle w:val="33"/>
              <w:spacing w:before="173" w:line="221" w:lineRule="auto"/>
              <w:ind w:left="599"/>
              <w:rPr>
                <w:color w:val="auto"/>
                <w:highlight w:val="none"/>
              </w:rPr>
            </w:pPr>
            <w:r>
              <w:rPr>
                <w:color w:val="auto"/>
                <w:spacing w:val="-3"/>
                <w:highlight w:val="none"/>
              </w:rPr>
              <w:t>2.8</w:t>
            </w:r>
          </w:p>
        </w:tc>
        <w:tc>
          <w:tcPr>
            <w:tcW w:w="1672" w:type="dxa"/>
          </w:tcPr>
          <w:p w14:paraId="3C7DF761">
            <w:pPr>
              <w:pStyle w:val="33"/>
              <w:spacing w:before="174" w:line="220" w:lineRule="auto"/>
              <w:ind w:left="595"/>
              <w:rPr>
                <w:color w:val="auto"/>
                <w:highlight w:val="none"/>
              </w:rPr>
            </w:pPr>
            <w:r>
              <w:rPr>
                <w:color w:val="auto"/>
                <w:spacing w:val="-4"/>
                <w:highlight w:val="none"/>
              </w:rPr>
              <w:t>分包</w:t>
            </w:r>
          </w:p>
        </w:tc>
        <w:tc>
          <w:tcPr>
            <w:tcW w:w="6533" w:type="dxa"/>
          </w:tcPr>
          <w:p w14:paraId="45057AE0">
            <w:pPr>
              <w:pStyle w:val="33"/>
              <w:spacing w:before="173" w:line="220" w:lineRule="auto"/>
              <w:ind w:left="118"/>
              <w:rPr>
                <w:color w:val="auto"/>
                <w:highlight w:val="none"/>
              </w:rPr>
            </w:pPr>
            <w:r>
              <w:rPr>
                <w:color w:val="auto"/>
                <w:spacing w:val="-3"/>
                <w:highlight w:val="none"/>
              </w:rPr>
              <w:t>不允许</w:t>
            </w:r>
          </w:p>
        </w:tc>
      </w:tr>
      <w:tr w14:paraId="277D4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168" w:type="dxa"/>
          </w:tcPr>
          <w:p w14:paraId="432CF074">
            <w:pPr>
              <w:pStyle w:val="33"/>
              <w:spacing w:before="170" w:line="221" w:lineRule="auto"/>
              <w:ind w:left="599"/>
              <w:rPr>
                <w:color w:val="auto"/>
                <w:highlight w:val="none"/>
              </w:rPr>
            </w:pPr>
            <w:r>
              <w:rPr>
                <w:color w:val="auto"/>
                <w:spacing w:val="-3"/>
                <w:highlight w:val="none"/>
              </w:rPr>
              <w:t>2.9</w:t>
            </w:r>
          </w:p>
        </w:tc>
        <w:tc>
          <w:tcPr>
            <w:tcW w:w="1672" w:type="dxa"/>
          </w:tcPr>
          <w:p w14:paraId="39C242BB">
            <w:pPr>
              <w:pStyle w:val="33"/>
              <w:spacing w:before="170" w:line="220" w:lineRule="auto"/>
              <w:ind w:left="593"/>
              <w:rPr>
                <w:color w:val="auto"/>
                <w:highlight w:val="none"/>
              </w:rPr>
            </w:pPr>
            <w:r>
              <w:rPr>
                <w:color w:val="auto"/>
                <w:spacing w:val="-3"/>
                <w:highlight w:val="none"/>
              </w:rPr>
              <w:t>偏离</w:t>
            </w:r>
          </w:p>
        </w:tc>
        <w:tc>
          <w:tcPr>
            <w:tcW w:w="6533" w:type="dxa"/>
          </w:tcPr>
          <w:p w14:paraId="5889250E">
            <w:pPr>
              <w:pStyle w:val="33"/>
              <w:spacing w:before="170" w:line="221" w:lineRule="auto"/>
              <w:ind w:left="113"/>
              <w:rPr>
                <w:color w:val="auto"/>
                <w:highlight w:val="none"/>
              </w:rPr>
            </w:pPr>
            <w:r>
              <w:rPr>
                <w:color w:val="auto"/>
                <w:highlight w:val="none"/>
              </w:rPr>
              <w:t>/</w:t>
            </w:r>
          </w:p>
        </w:tc>
      </w:tr>
      <w:tr w14:paraId="19552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1168" w:type="dxa"/>
          </w:tcPr>
          <w:p w14:paraId="4B5160FF">
            <w:pPr>
              <w:spacing w:line="323" w:lineRule="auto"/>
              <w:rPr>
                <w:color w:val="auto"/>
                <w:highlight w:val="none"/>
              </w:rPr>
            </w:pPr>
          </w:p>
          <w:p w14:paraId="0C440FF5">
            <w:pPr>
              <w:pStyle w:val="33"/>
              <w:spacing w:before="78" w:line="239" w:lineRule="auto"/>
              <w:ind w:left="352"/>
              <w:rPr>
                <w:color w:val="auto"/>
                <w:highlight w:val="none"/>
              </w:rPr>
            </w:pPr>
            <w:r>
              <w:rPr>
                <w:color w:val="auto"/>
                <w:spacing w:val="-3"/>
                <w:highlight w:val="none"/>
              </w:rPr>
              <w:t>2.10</w:t>
            </w:r>
          </w:p>
        </w:tc>
        <w:tc>
          <w:tcPr>
            <w:tcW w:w="1672" w:type="dxa"/>
          </w:tcPr>
          <w:p w14:paraId="66641CE7">
            <w:pPr>
              <w:pStyle w:val="33"/>
              <w:spacing w:before="171" w:line="289" w:lineRule="auto"/>
              <w:ind w:left="131" w:right="110" w:hanging="16"/>
              <w:rPr>
                <w:color w:val="auto"/>
                <w:highlight w:val="none"/>
                <w:lang w:eastAsia="zh-CN"/>
              </w:rPr>
            </w:pPr>
            <w:r>
              <w:rPr>
                <w:color w:val="auto"/>
                <w:highlight w:val="none"/>
                <w:lang w:eastAsia="zh-CN"/>
              </w:rPr>
              <w:t>构成招标文件</w:t>
            </w:r>
            <w:r>
              <w:rPr>
                <w:color w:val="auto"/>
                <w:spacing w:val="-5"/>
                <w:highlight w:val="none"/>
                <w:lang w:eastAsia="zh-CN"/>
              </w:rPr>
              <w:t>的其他材料</w:t>
            </w:r>
          </w:p>
        </w:tc>
        <w:tc>
          <w:tcPr>
            <w:tcW w:w="6533" w:type="dxa"/>
          </w:tcPr>
          <w:p w14:paraId="16A5482F">
            <w:pPr>
              <w:spacing w:line="322" w:lineRule="auto"/>
              <w:rPr>
                <w:color w:val="auto"/>
                <w:highlight w:val="none"/>
                <w:lang w:eastAsia="zh-CN"/>
              </w:rPr>
            </w:pPr>
          </w:p>
          <w:p w14:paraId="70970668">
            <w:pPr>
              <w:pStyle w:val="33"/>
              <w:spacing w:before="78" w:line="220" w:lineRule="auto"/>
              <w:ind w:left="115"/>
              <w:rPr>
                <w:color w:val="auto"/>
                <w:highlight w:val="none"/>
                <w:lang w:eastAsia="zh-CN"/>
              </w:rPr>
            </w:pPr>
            <w:r>
              <w:rPr>
                <w:color w:val="auto"/>
                <w:spacing w:val="-2"/>
                <w:highlight w:val="none"/>
                <w:lang w:eastAsia="zh-CN"/>
              </w:rPr>
              <w:t>招标文件的补充性文件（如有）</w:t>
            </w:r>
          </w:p>
        </w:tc>
      </w:tr>
      <w:tr w14:paraId="5C809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168" w:type="dxa"/>
          </w:tcPr>
          <w:p w14:paraId="32A3AE67">
            <w:pPr>
              <w:spacing w:line="323" w:lineRule="auto"/>
              <w:rPr>
                <w:color w:val="auto"/>
                <w:highlight w:val="none"/>
                <w:lang w:eastAsia="zh-CN"/>
              </w:rPr>
            </w:pPr>
          </w:p>
          <w:p w14:paraId="70326929">
            <w:pPr>
              <w:pStyle w:val="33"/>
              <w:spacing w:before="78" w:line="239" w:lineRule="auto"/>
              <w:ind w:left="352"/>
              <w:rPr>
                <w:color w:val="auto"/>
                <w:highlight w:val="none"/>
              </w:rPr>
            </w:pPr>
            <w:r>
              <w:rPr>
                <w:color w:val="auto"/>
                <w:spacing w:val="-3"/>
                <w:highlight w:val="none"/>
              </w:rPr>
              <w:t>2.11</w:t>
            </w:r>
          </w:p>
        </w:tc>
        <w:tc>
          <w:tcPr>
            <w:tcW w:w="1672" w:type="dxa"/>
          </w:tcPr>
          <w:p w14:paraId="2CC2C7A1">
            <w:pPr>
              <w:pStyle w:val="33"/>
              <w:spacing w:before="171" w:line="291" w:lineRule="auto"/>
              <w:ind w:left="112" w:right="110"/>
              <w:rPr>
                <w:color w:val="auto"/>
                <w:highlight w:val="none"/>
                <w:lang w:eastAsia="zh-CN"/>
              </w:rPr>
            </w:pPr>
            <w:r>
              <w:rPr>
                <w:color w:val="auto"/>
                <w:highlight w:val="none"/>
                <w:lang w:eastAsia="zh-CN"/>
              </w:rPr>
              <w:t>近年完成的类似项目年份要</w:t>
            </w:r>
          </w:p>
        </w:tc>
        <w:tc>
          <w:tcPr>
            <w:tcW w:w="6533" w:type="dxa"/>
          </w:tcPr>
          <w:p w14:paraId="1D4007BC">
            <w:pPr>
              <w:spacing w:line="323" w:lineRule="auto"/>
              <w:rPr>
                <w:color w:val="auto"/>
                <w:highlight w:val="none"/>
                <w:lang w:eastAsia="zh-CN"/>
              </w:rPr>
            </w:pPr>
          </w:p>
          <w:p w14:paraId="3E233CDD">
            <w:pPr>
              <w:pStyle w:val="33"/>
              <w:spacing w:before="78" w:line="220" w:lineRule="auto"/>
              <w:ind w:left="117"/>
              <w:rPr>
                <w:color w:val="auto"/>
                <w:highlight w:val="none"/>
              </w:rPr>
            </w:pPr>
            <w:r>
              <w:rPr>
                <w:color w:val="auto"/>
                <w:spacing w:val="-12"/>
                <w:highlight w:val="none"/>
              </w:rPr>
              <w:t>2022年1月1日以来</w:t>
            </w:r>
          </w:p>
        </w:tc>
      </w:tr>
    </w:tbl>
    <w:p w14:paraId="2C08A24A">
      <w:pPr>
        <w:spacing w:before="92"/>
        <w:rPr>
          <w:color w:val="auto"/>
          <w:highlight w:val="none"/>
        </w:rPr>
      </w:pPr>
    </w:p>
    <w:tbl>
      <w:tblPr>
        <w:tblStyle w:val="32"/>
        <w:tblW w:w="9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8"/>
        <w:gridCol w:w="1672"/>
        <w:gridCol w:w="6533"/>
      </w:tblGrid>
      <w:tr w14:paraId="41904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168" w:type="dxa"/>
          </w:tcPr>
          <w:p w14:paraId="026847C8">
            <w:pPr>
              <w:rPr>
                <w:color w:val="auto"/>
                <w:highlight w:val="none"/>
              </w:rPr>
            </w:pPr>
          </w:p>
        </w:tc>
        <w:tc>
          <w:tcPr>
            <w:tcW w:w="1672" w:type="dxa"/>
          </w:tcPr>
          <w:p w14:paraId="0304BE25">
            <w:pPr>
              <w:pStyle w:val="33"/>
              <w:spacing w:before="170" w:line="221" w:lineRule="auto"/>
              <w:ind w:left="115"/>
              <w:rPr>
                <w:color w:val="auto"/>
                <w:highlight w:val="none"/>
              </w:rPr>
            </w:pPr>
            <w:r>
              <w:rPr>
                <w:color w:val="auto"/>
                <w:highlight w:val="none"/>
              </w:rPr>
              <w:t>求</w:t>
            </w:r>
          </w:p>
        </w:tc>
        <w:tc>
          <w:tcPr>
            <w:tcW w:w="6533" w:type="dxa"/>
          </w:tcPr>
          <w:p w14:paraId="598DB7C3">
            <w:pPr>
              <w:rPr>
                <w:color w:val="auto"/>
                <w:highlight w:val="none"/>
              </w:rPr>
            </w:pPr>
          </w:p>
        </w:tc>
      </w:tr>
      <w:tr w14:paraId="13C9D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24" w:hRule="atLeast"/>
        </w:trPr>
        <w:tc>
          <w:tcPr>
            <w:tcW w:w="1168" w:type="dxa"/>
          </w:tcPr>
          <w:p w14:paraId="6FEB8CCA">
            <w:pPr>
              <w:spacing w:line="252" w:lineRule="auto"/>
              <w:rPr>
                <w:color w:val="auto"/>
                <w:highlight w:val="none"/>
              </w:rPr>
            </w:pPr>
          </w:p>
          <w:p w14:paraId="0F2DCFD7">
            <w:pPr>
              <w:spacing w:line="252" w:lineRule="auto"/>
              <w:rPr>
                <w:color w:val="auto"/>
                <w:highlight w:val="none"/>
              </w:rPr>
            </w:pPr>
          </w:p>
          <w:p w14:paraId="6FD8126B">
            <w:pPr>
              <w:spacing w:line="253" w:lineRule="auto"/>
              <w:rPr>
                <w:color w:val="auto"/>
                <w:highlight w:val="none"/>
              </w:rPr>
            </w:pPr>
          </w:p>
          <w:p w14:paraId="17393019">
            <w:pPr>
              <w:spacing w:line="253" w:lineRule="auto"/>
              <w:rPr>
                <w:color w:val="auto"/>
                <w:highlight w:val="none"/>
              </w:rPr>
            </w:pPr>
          </w:p>
          <w:p w14:paraId="60E37944">
            <w:pPr>
              <w:pStyle w:val="33"/>
              <w:spacing w:before="78" w:line="239" w:lineRule="auto"/>
              <w:ind w:left="352"/>
              <w:rPr>
                <w:color w:val="auto"/>
                <w:highlight w:val="none"/>
              </w:rPr>
            </w:pPr>
            <w:r>
              <w:rPr>
                <w:color w:val="auto"/>
                <w:spacing w:val="-3"/>
                <w:highlight w:val="none"/>
              </w:rPr>
              <w:t>2.12</w:t>
            </w:r>
          </w:p>
        </w:tc>
        <w:tc>
          <w:tcPr>
            <w:tcW w:w="1672" w:type="dxa"/>
          </w:tcPr>
          <w:p w14:paraId="059EEED6">
            <w:pPr>
              <w:spacing w:line="260" w:lineRule="auto"/>
              <w:rPr>
                <w:color w:val="auto"/>
                <w:highlight w:val="none"/>
              </w:rPr>
            </w:pPr>
          </w:p>
          <w:p w14:paraId="7EDCFA3E">
            <w:pPr>
              <w:spacing w:line="260" w:lineRule="auto"/>
              <w:rPr>
                <w:color w:val="auto"/>
                <w:highlight w:val="none"/>
              </w:rPr>
            </w:pPr>
          </w:p>
          <w:p w14:paraId="4939BA86">
            <w:pPr>
              <w:spacing w:line="261" w:lineRule="auto"/>
              <w:rPr>
                <w:color w:val="auto"/>
                <w:highlight w:val="none"/>
              </w:rPr>
            </w:pPr>
          </w:p>
          <w:p w14:paraId="156D853C">
            <w:pPr>
              <w:pStyle w:val="33"/>
              <w:spacing w:before="78" w:line="359" w:lineRule="auto"/>
              <w:ind w:left="114" w:right="110" w:hanging="1"/>
              <w:rPr>
                <w:color w:val="auto"/>
                <w:highlight w:val="none"/>
              </w:rPr>
            </w:pPr>
            <w:r>
              <w:rPr>
                <w:color w:val="auto"/>
                <w:highlight w:val="none"/>
              </w:rPr>
              <w:t>签字或盖章要求</w:t>
            </w:r>
          </w:p>
        </w:tc>
        <w:tc>
          <w:tcPr>
            <w:tcW w:w="6533" w:type="dxa"/>
          </w:tcPr>
          <w:p w14:paraId="171FFF45">
            <w:pPr>
              <w:pStyle w:val="33"/>
              <w:spacing w:before="169" w:line="310" w:lineRule="auto"/>
              <w:ind w:left="120" w:right="114" w:firstLine="12"/>
              <w:rPr>
                <w:color w:val="auto"/>
                <w:highlight w:val="none"/>
                <w:lang w:eastAsia="zh-CN"/>
              </w:rPr>
            </w:pPr>
            <w:r>
              <w:rPr>
                <w:color w:val="auto"/>
                <w:spacing w:val="-3"/>
                <w:highlight w:val="none"/>
                <w:lang w:eastAsia="zh-CN"/>
              </w:rPr>
              <w:t>1、招标文件中要求法定代表人或授权委托人签字、盖章或签</w:t>
            </w:r>
            <w:r>
              <w:rPr>
                <w:color w:val="auto"/>
                <w:spacing w:val="2"/>
                <w:highlight w:val="none"/>
                <w:lang w:eastAsia="zh-CN"/>
              </w:rPr>
              <w:t>章的，投标供应商在进行电子化投标文件签章时，以签盖法</w:t>
            </w:r>
            <w:r>
              <w:rPr>
                <w:color w:val="auto"/>
                <w:spacing w:val="-6"/>
                <w:highlight w:val="none"/>
                <w:lang w:eastAsia="zh-CN"/>
              </w:rPr>
              <w:t>定代表人电子签章为准；</w:t>
            </w:r>
          </w:p>
          <w:p w14:paraId="69A7B406">
            <w:pPr>
              <w:pStyle w:val="33"/>
              <w:spacing w:before="180" w:line="288" w:lineRule="auto"/>
              <w:ind w:left="115" w:right="117" w:firstLine="1"/>
              <w:rPr>
                <w:color w:val="auto"/>
                <w:highlight w:val="none"/>
                <w:lang w:eastAsia="zh-CN"/>
              </w:rPr>
            </w:pPr>
            <w:r>
              <w:rPr>
                <w:color w:val="auto"/>
                <w:spacing w:val="-7"/>
                <w:highlight w:val="none"/>
                <w:lang w:eastAsia="zh-CN"/>
              </w:rPr>
              <w:t>2、招标文件中要求加盖单位公章的， 投标供应商在进行电子</w:t>
            </w:r>
            <w:r>
              <w:rPr>
                <w:color w:val="auto"/>
                <w:spacing w:val="-3"/>
                <w:highlight w:val="none"/>
                <w:lang w:eastAsia="zh-CN"/>
              </w:rPr>
              <w:t>化投标文件盖章时，以加盖投标供应商的电子印章为准；</w:t>
            </w:r>
          </w:p>
        </w:tc>
      </w:tr>
      <w:tr w14:paraId="74D50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1168" w:type="dxa"/>
          </w:tcPr>
          <w:p w14:paraId="0F462696">
            <w:pPr>
              <w:spacing w:line="319" w:lineRule="auto"/>
              <w:rPr>
                <w:color w:val="auto"/>
                <w:highlight w:val="none"/>
                <w:lang w:eastAsia="zh-CN"/>
              </w:rPr>
            </w:pPr>
          </w:p>
          <w:p w14:paraId="14AF54F6">
            <w:pPr>
              <w:pStyle w:val="33"/>
              <w:spacing w:before="78" w:line="239" w:lineRule="auto"/>
              <w:ind w:left="352"/>
              <w:rPr>
                <w:color w:val="auto"/>
                <w:highlight w:val="none"/>
              </w:rPr>
            </w:pPr>
            <w:r>
              <w:rPr>
                <w:color w:val="auto"/>
                <w:spacing w:val="-3"/>
                <w:highlight w:val="none"/>
              </w:rPr>
              <w:t>2.13</w:t>
            </w:r>
          </w:p>
        </w:tc>
        <w:tc>
          <w:tcPr>
            <w:tcW w:w="1672" w:type="dxa"/>
          </w:tcPr>
          <w:p w14:paraId="2E4CE098">
            <w:pPr>
              <w:pStyle w:val="33"/>
              <w:spacing w:before="166" w:line="291" w:lineRule="auto"/>
              <w:ind w:left="113" w:right="110" w:firstLine="3"/>
              <w:rPr>
                <w:color w:val="auto"/>
                <w:highlight w:val="none"/>
              </w:rPr>
            </w:pPr>
            <w:r>
              <w:rPr>
                <w:color w:val="auto"/>
                <w:highlight w:val="none"/>
              </w:rPr>
              <w:t>是否接受联合</w:t>
            </w:r>
            <w:r>
              <w:rPr>
                <w:color w:val="auto"/>
                <w:spacing w:val="-3"/>
                <w:highlight w:val="none"/>
              </w:rPr>
              <w:t>体投标</w:t>
            </w:r>
          </w:p>
        </w:tc>
        <w:tc>
          <w:tcPr>
            <w:tcW w:w="6533" w:type="dxa"/>
          </w:tcPr>
          <w:p w14:paraId="76D50595">
            <w:pPr>
              <w:spacing w:line="320" w:lineRule="auto"/>
              <w:rPr>
                <w:color w:val="auto"/>
                <w:highlight w:val="none"/>
              </w:rPr>
            </w:pPr>
          </w:p>
          <w:p w14:paraId="03708AAC">
            <w:pPr>
              <w:pStyle w:val="33"/>
              <w:spacing w:before="78" w:line="220" w:lineRule="auto"/>
              <w:ind w:left="121"/>
              <w:rPr>
                <w:color w:val="auto"/>
                <w:highlight w:val="none"/>
              </w:rPr>
            </w:pPr>
            <w:r>
              <w:rPr>
                <w:color w:val="auto"/>
                <w:highlight w:val="none"/>
              </w:rPr>
              <w:t>否</w:t>
            </w:r>
          </w:p>
        </w:tc>
      </w:tr>
      <w:tr w14:paraId="58146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168" w:type="dxa"/>
          </w:tcPr>
          <w:p w14:paraId="7066D733">
            <w:pPr>
              <w:pStyle w:val="33"/>
              <w:spacing w:before="168" w:line="225" w:lineRule="auto"/>
              <w:ind w:left="352"/>
              <w:rPr>
                <w:color w:val="auto"/>
                <w:highlight w:val="none"/>
              </w:rPr>
            </w:pPr>
            <w:r>
              <w:rPr>
                <w:color w:val="auto"/>
                <w:spacing w:val="-3"/>
                <w:highlight w:val="none"/>
              </w:rPr>
              <w:t>2.14</w:t>
            </w:r>
          </w:p>
        </w:tc>
        <w:tc>
          <w:tcPr>
            <w:tcW w:w="1672" w:type="dxa"/>
          </w:tcPr>
          <w:p w14:paraId="0E588843">
            <w:pPr>
              <w:pStyle w:val="33"/>
              <w:spacing w:before="168" w:line="220" w:lineRule="auto"/>
              <w:ind w:left="116"/>
              <w:rPr>
                <w:color w:val="auto"/>
                <w:highlight w:val="none"/>
              </w:rPr>
            </w:pPr>
            <w:r>
              <w:rPr>
                <w:color w:val="auto"/>
                <w:spacing w:val="-3"/>
                <w:highlight w:val="none"/>
              </w:rPr>
              <w:t>履约保证金</w:t>
            </w:r>
          </w:p>
        </w:tc>
        <w:tc>
          <w:tcPr>
            <w:tcW w:w="6533" w:type="dxa"/>
          </w:tcPr>
          <w:p w14:paraId="6B240B12">
            <w:pPr>
              <w:pStyle w:val="33"/>
              <w:spacing w:before="168" w:line="220" w:lineRule="auto"/>
              <w:ind w:left="116"/>
              <w:rPr>
                <w:color w:val="auto"/>
                <w:highlight w:val="none"/>
              </w:rPr>
            </w:pPr>
            <w:r>
              <w:rPr>
                <w:color w:val="auto"/>
                <w:highlight w:val="none"/>
              </w:rPr>
              <w:t>无</w:t>
            </w:r>
          </w:p>
        </w:tc>
      </w:tr>
      <w:tr w14:paraId="492C2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0" w:hRule="atLeast"/>
        </w:trPr>
        <w:tc>
          <w:tcPr>
            <w:tcW w:w="1168" w:type="dxa"/>
          </w:tcPr>
          <w:p w14:paraId="410D28BA">
            <w:pPr>
              <w:spacing w:line="472" w:lineRule="auto"/>
              <w:rPr>
                <w:color w:val="auto"/>
                <w:highlight w:val="none"/>
              </w:rPr>
            </w:pPr>
          </w:p>
          <w:p w14:paraId="0A3E0FD3">
            <w:pPr>
              <w:pStyle w:val="33"/>
              <w:spacing w:before="78" w:line="239" w:lineRule="auto"/>
              <w:ind w:left="414"/>
              <w:rPr>
                <w:color w:val="auto"/>
                <w:highlight w:val="none"/>
              </w:rPr>
            </w:pPr>
            <w:r>
              <w:rPr>
                <w:color w:val="auto"/>
                <w:spacing w:val="-4"/>
                <w:highlight w:val="none"/>
              </w:rPr>
              <w:t>3.1</w:t>
            </w:r>
          </w:p>
        </w:tc>
        <w:tc>
          <w:tcPr>
            <w:tcW w:w="1672" w:type="dxa"/>
          </w:tcPr>
          <w:p w14:paraId="6BC6B65B">
            <w:pPr>
              <w:rPr>
                <w:color w:val="auto"/>
                <w:highlight w:val="none"/>
              </w:rPr>
            </w:pPr>
          </w:p>
          <w:p w14:paraId="79806D8D">
            <w:pPr>
              <w:pStyle w:val="33"/>
              <w:spacing w:before="78" w:line="350" w:lineRule="auto"/>
              <w:ind w:left="125" w:right="110" w:hanging="11"/>
              <w:rPr>
                <w:color w:val="auto"/>
                <w:highlight w:val="none"/>
              </w:rPr>
            </w:pPr>
            <w:r>
              <w:rPr>
                <w:color w:val="auto"/>
                <w:highlight w:val="none"/>
              </w:rPr>
              <w:t>开标时间和地点</w:t>
            </w:r>
          </w:p>
        </w:tc>
        <w:tc>
          <w:tcPr>
            <w:tcW w:w="6533" w:type="dxa"/>
          </w:tcPr>
          <w:p w14:paraId="7BE1D6AE">
            <w:pPr>
              <w:rPr>
                <w:color w:val="auto"/>
                <w:highlight w:val="none"/>
                <w:lang w:eastAsia="zh-CN"/>
              </w:rPr>
            </w:pPr>
          </w:p>
          <w:p w14:paraId="386A2A01">
            <w:pPr>
              <w:pStyle w:val="33"/>
              <w:spacing w:before="78" w:line="220" w:lineRule="auto"/>
              <w:ind w:left="125"/>
              <w:rPr>
                <w:color w:val="auto"/>
                <w:highlight w:val="none"/>
                <w:lang w:eastAsia="zh-CN"/>
              </w:rPr>
            </w:pPr>
            <w:r>
              <w:rPr>
                <w:color w:val="auto"/>
                <w:spacing w:val="-8"/>
                <w:highlight w:val="none"/>
                <w:lang w:eastAsia="zh-CN"/>
              </w:rPr>
              <w:t>时间：</w:t>
            </w:r>
            <w:r>
              <w:rPr>
                <w:rFonts w:hint="eastAsia" w:cs="宋体"/>
                <w:color w:val="auto"/>
                <w:sz w:val="24"/>
                <w:szCs w:val="24"/>
                <w:highlight w:val="none"/>
                <w:lang w:eastAsia="zh-CN"/>
              </w:rPr>
              <w:t>2026年03月06日</w:t>
            </w:r>
            <w:r>
              <w:rPr>
                <w:rFonts w:hint="eastAsia" w:ascii="宋体" w:hAnsi="宋体" w:cs="宋体"/>
                <w:color w:val="auto"/>
                <w:sz w:val="24"/>
                <w:szCs w:val="24"/>
                <w:highlight w:val="none"/>
                <w:lang w:eastAsia="zh-CN"/>
              </w:rPr>
              <w:t>8时20分</w:t>
            </w:r>
            <w:r>
              <w:rPr>
                <w:color w:val="auto"/>
                <w:spacing w:val="-8"/>
                <w:highlight w:val="none"/>
                <w:lang w:eastAsia="zh-CN"/>
              </w:rPr>
              <w:t>（北京时间</w:t>
            </w:r>
            <w:r>
              <w:rPr>
                <w:color w:val="auto"/>
                <w:spacing w:val="-8"/>
                <w:highlight w:val="none"/>
                <w:lang w:eastAsia="zh-CN"/>
              </w:rPr>
              <w:t>）</w:t>
            </w:r>
          </w:p>
          <w:p w14:paraId="3922E2F6">
            <w:pPr>
              <w:pStyle w:val="33"/>
              <w:spacing w:before="179" w:line="219" w:lineRule="auto"/>
              <w:ind w:left="114"/>
              <w:rPr>
                <w:color w:val="auto"/>
                <w:highlight w:val="none"/>
                <w:lang w:eastAsia="zh-CN"/>
              </w:rPr>
            </w:pPr>
            <w:r>
              <w:rPr>
                <w:color w:val="auto"/>
                <w:spacing w:val="-2"/>
                <w:highlight w:val="none"/>
                <w:lang w:eastAsia="zh-CN"/>
              </w:rPr>
              <w:t>地点：</w:t>
            </w:r>
            <w:r>
              <w:rPr>
                <w:rFonts w:hint="eastAsia"/>
                <w:color w:val="auto"/>
                <w:spacing w:val="-2"/>
                <w:highlight w:val="none"/>
                <w:lang w:eastAsia="zh-CN"/>
              </w:rPr>
              <w:t>渑池县公共资源交易中心</w:t>
            </w:r>
            <w:r>
              <w:rPr>
                <w:color w:val="auto"/>
                <w:spacing w:val="-2"/>
                <w:highlight w:val="none"/>
                <w:lang w:eastAsia="zh-CN"/>
              </w:rPr>
              <w:t>开标</w:t>
            </w:r>
            <w:r>
              <w:rPr>
                <w:rFonts w:hint="eastAsia"/>
                <w:color w:val="auto"/>
                <w:spacing w:val="-2"/>
                <w:highlight w:val="none"/>
                <w:lang w:val="en-US" w:eastAsia="zh-CN"/>
              </w:rPr>
              <w:t>二</w:t>
            </w:r>
            <w:r>
              <w:rPr>
                <w:color w:val="auto"/>
                <w:spacing w:val="-2"/>
                <w:highlight w:val="none"/>
                <w:lang w:eastAsia="zh-CN"/>
              </w:rPr>
              <w:t>室。</w:t>
            </w:r>
          </w:p>
        </w:tc>
      </w:tr>
      <w:tr w14:paraId="6E1DA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1168" w:type="dxa"/>
          </w:tcPr>
          <w:p w14:paraId="174EC1C4">
            <w:pPr>
              <w:spacing w:line="320" w:lineRule="auto"/>
              <w:rPr>
                <w:color w:val="auto"/>
                <w:highlight w:val="none"/>
                <w:lang w:eastAsia="zh-CN"/>
              </w:rPr>
            </w:pPr>
          </w:p>
          <w:p w14:paraId="05DC7352">
            <w:pPr>
              <w:pStyle w:val="33"/>
              <w:spacing w:before="78" w:line="239" w:lineRule="auto"/>
              <w:ind w:left="414"/>
              <w:rPr>
                <w:color w:val="auto"/>
                <w:highlight w:val="none"/>
              </w:rPr>
            </w:pPr>
            <w:r>
              <w:rPr>
                <w:color w:val="auto"/>
                <w:spacing w:val="-4"/>
                <w:highlight w:val="none"/>
              </w:rPr>
              <w:t>3.2</w:t>
            </w:r>
          </w:p>
        </w:tc>
        <w:tc>
          <w:tcPr>
            <w:tcW w:w="1672" w:type="dxa"/>
          </w:tcPr>
          <w:p w14:paraId="1E7AC119">
            <w:pPr>
              <w:pStyle w:val="33"/>
              <w:spacing w:before="168" w:line="290" w:lineRule="auto"/>
              <w:ind w:left="115" w:right="110" w:hanging="3"/>
              <w:rPr>
                <w:color w:val="auto"/>
                <w:highlight w:val="none"/>
              </w:rPr>
            </w:pPr>
            <w:r>
              <w:rPr>
                <w:color w:val="auto"/>
                <w:highlight w:val="none"/>
              </w:rPr>
              <w:t>评标委员会的</w:t>
            </w:r>
            <w:r>
              <w:rPr>
                <w:color w:val="auto"/>
                <w:spacing w:val="-4"/>
                <w:highlight w:val="none"/>
              </w:rPr>
              <w:t>组建</w:t>
            </w:r>
          </w:p>
        </w:tc>
        <w:tc>
          <w:tcPr>
            <w:tcW w:w="6533" w:type="dxa"/>
          </w:tcPr>
          <w:p w14:paraId="19563848">
            <w:pPr>
              <w:pStyle w:val="33"/>
              <w:spacing w:before="168" w:line="290" w:lineRule="auto"/>
              <w:ind w:left="115" w:right="105" w:hanging="2"/>
              <w:rPr>
                <w:color w:val="auto"/>
                <w:highlight w:val="none"/>
                <w:lang w:eastAsia="zh-CN"/>
              </w:rPr>
            </w:pPr>
            <w:r>
              <w:rPr>
                <w:color w:val="auto"/>
                <w:spacing w:val="-3"/>
                <w:highlight w:val="none"/>
                <w:lang w:eastAsia="zh-CN"/>
              </w:rPr>
              <w:t>评标委员会成员为5人，采购人代表1人，其</w:t>
            </w:r>
            <w:r>
              <w:rPr>
                <w:color w:val="auto"/>
                <w:spacing w:val="-4"/>
                <w:highlight w:val="none"/>
                <w:lang w:eastAsia="zh-CN"/>
              </w:rPr>
              <w:t>余技术、经济等方面的专家4人从相关专家库中随机抽取。</w:t>
            </w:r>
          </w:p>
        </w:tc>
      </w:tr>
      <w:tr w14:paraId="374F4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 w:hRule="atLeast"/>
        </w:trPr>
        <w:tc>
          <w:tcPr>
            <w:tcW w:w="1168" w:type="dxa"/>
          </w:tcPr>
          <w:p w14:paraId="12A58FB1">
            <w:pPr>
              <w:spacing w:line="276" w:lineRule="auto"/>
              <w:rPr>
                <w:color w:val="auto"/>
                <w:highlight w:val="none"/>
                <w:lang w:eastAsia="zh-CN"/>
              </w:rPr>
            </w:pPr>
          </w:p>
          <w:p w14:paraId="432D55C9">
            <w:pPr>
              <w:spacing w:line="276" w:lineRule="auto"/>
              <w:rPr>
                <w:color w:val="auto"/>
                <w:highlight w:val="none"/>
                <w:lang w:eastAsia="zh-CN"/>
              </w:rPr>
            </w:pPr>
          </w:p>
          <w:p w14:paraId="3FC2C6FF">
            <w:pPr>
              <w:pStyle w:val="33"/>
              <w:spacing w:before="78" w:line="239" w:lineRule="auto"/>
              <w:ind w:left="654"/>
              <w:rPr>
                <w:color w:val="auto"/>
                <w:highlight w:val="none"/>
              </w:rPr>
            </w:pPr>
            <w:r>
              <w:rPr>
                <w:color w:val="auto"/>
                <w:spacing w:val="-4"/>
                <w:highlight w:val="none"/>
              </w:rPr>
              <w:t>3.3</w:t>
            </w:r>
          </w:p>
        </w:tc>
        <w:tc>
          <w:tcPr>
            <w:tcW w:w="1672" w:type="dxa"/>
          </w:tcPr>
          <w:p w14:paraId="42B5D8D8">
            <w:pPr>
              <w:pStyle w:val="33"/>
              <w:spacing w:before="169" w:line="312" w:lineRule="auto"/>
              <w:ind w:left="112" w:right="110" w:firstLine="4"/>
              <w:jc w:val="both"/>
              <w:rPr>
                <w:color w:val="auto"/>
                <w:highlight w:val="none"/>
                <w:lang w:eastAsia="zh-CN"/>
              </w:rPr>
            </w:pPr>
            <w:r>
              <w:rPr>
                <w:color w:val="auto"/>
                <w:highlight w:val="none"/>
                <w:lang w:eastAsia="zh-CN"/>
              </w:rPr>
              <w:t>是否授权评标委员会确定中</w:t>
            </w:r>
            <w:r>
              <w:rPr>
                <w:color w:val="auto"/>
                <w:spacing w:val="-2"/>
                <w:highlight w:val="none"/>
                <w:lang w:eastAsia="zh-CN"/>
              </w:rPr>
              <w:t>标供应商</w:t>
            </w:r>
          </w:p>
        </w:tc>
        <w:tc>
          <w:tcPr>
            <w:tcW w:w="6533" w:type="dxa"/>
          </w:tcPr>
          <w:p w14:paraId="37B18C4B">
            <w:pPr>
              <w:spacing w:line="276" w:lineRule="auto"/>
              <w:rPr>
                <w:color w:val="auto"/>
                <w:highlight w:val="none"/>
                <w:lang w:eastAsia="zh-CN"/>
              </w:rPr>
            </w:pPr>
          </w:p>
          <w:p w14:paraId="18BC5857">
            <w:pPr>
              <w:spacing w:line="276" w:lineRule="auto"/>
              <w:rPr>
                <w:color w:val="auto"/>
                <w:highlight w:val="none"/>
                <w:lang w:eastAsia="zh-CN"/>
              </w:rPr>
            </w:pPr>
          </w:p>
          <w:p w14:paraId="69A7DFDC">
            <w:pPr>
              <w:pStyle w:val="33"/>
              <w:spacing w:before="78" w:line="219" w:lineRule="auto"/>
              <w:ind w:left="121"/>
              <w:rPr>
                <w:color w:val="auto"/>
                <w:highlight w:val="none"/>
                <w:lang w:eastAsia="zh-CN"/>
              </w:rPr>
            </w:pPr>
            <w:r>
              <w:rPr>
                <w:color w:val="auto"/>
                <w:spacing w:val="-4"/>
                <w:highlight w:val="none"/>
                <w:lang w:eastAsia="zh-CN"/>
              </w:rPr>
              <w:t>否，推荐3名中标候选人</w:t>
            </w:r>
          </w:p>
        </w:tc>
      </w:tr>
      <w:tr w14:paraId="41023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3" w:hRule="atLeast"/>
        </w:trPr>
        <w:tc>
          <w:tcPr>
            <w:tcW w:w="1168" w:type="dxa"/>
          </w:tcPr>
          <w:p w14:paraId="212B3606">
            <w:pPr>
              <w:spacing w:line="412" w:lineRule="auto"/>
              <w:rPr>
                <w:color w:val="auto"/>
                <w:highlight w:val="none"/>
                <w:lang w:eastAsia="zh-CN"/>
              </w:rPr>
            </w:pPr>
          </w:p>
          <w:p w14:paraId="7E799B30">
            <w:pPr>
              <w:pStyle w:val="33"/>
              <w:spacing w:before="78" w:line="239" w:lineRule="auto"/>
              <w:ind w:left="654"/>
              <w:rPr>
                <w:color w:val="auto"/>
                <w:highlight w:val="none"/>
              </w:rPr>
            </w:pPr>
            <w:r>
              <w:rPr>
                <w:color w:val="auto"/>
                <w:spacing w:val="-4"/>
                <w:highlight w:val="none"/>
              </w:rPr>
              <w:t>3.4</w:t>
            </w:r>
          </w:p>
        </w:tc>
        <w:tc>
          <w:tcPr>
            <w:tcW w:w="1672" w:type="dxa"/>
          </w:tcPr>
          <w:p w14:paraId="475C91ED">
            <w:pPr>
              <w:spacing w:line="412" w:lineRule="auto"/>
              <w:rPr>
                <w:color w:val="auto"/>
                <w:highlight w:val="none"/>
              </w:rPr>
            </w:pPr>
          </w:p>
          <w:p w14:paraId="308F8B85">
            <w:pPr>
              <w:pStyle w:val="33"/>
              <w:spacing w:before="78" w:line="220" w:lineRule="auto"/>
              <w:ind w:left="113"/>
              <w:rPr>
                <w:color w:val="auto"/>
                <w:highlight w:val="none"/>
              </w:rPr>
            </w:pPr>
            <w:r>
              <w:rPr>
                <w:color w:val="auto"/>
                <w:spacing w:val="-2"/>
                <w:highlight w:val="none"/>
              </w:rPr>
              <w:t>付款方式</w:t>
            </w:r>
          </w:p>
        </w:tc>
        <w:tc>
          <w:tcPr>
            <w:tcW w:w="6533" w:type="dxa"/>
          </w:tcPr>
          <w:p w14:paraId="2E5F6697">
            <w:pPr>
              <w:pStyle w:val="33"/>
              <w:spacing w:before="260" w:line="324" w:lineRule="auto"/>
              <w:ind w:left="115" w:right="114" w:firstLine="26"/>
              <w:rPr>
                <w:color w:val="auto"/>
                <w:highlight w:val="none"/>
                <w:lang w:eastAsia="zh-CN"/>
              </w:rPr>
            </w:pPr>
            <w:r>
              <w:rPr>
                <w:color w:val="auto"/>
                <w:spacing w:val="1"/>
                <w:highlight w:val="none"/>
                <w:lang w:eastAsia="zh-CN"/>
              </w:rPr>
              <w:t>以《中华人民共和国民法典》等相关法律法规为准，甲乙双</w:t>
            </w:r>
            <w:r>
              <w:rPr>
                <w:color w:val="auto"/>
                <w:spacing w:val="-6"/>
                <w:highlight w:val="none"/>
                <w:lang w:eastAsia="zh-CN"/>
              </w:rPr>
              <w:t>方共同协定。</w:t>
            </w:r>
          </w:p>
        </w:tc>
      </w:tr>
      <w:tr w14:paraId="39BF8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0" w:hRule="atLeast"/>
        </w:trPr>
        <w:tc>
          <w:tcPr>
            <w:tcW w:w="1168" w:type="dxa"/>
          </w:tcPr>
          <w:p w14:paraId="63027A6C">
            <w:pPr>
              <w:spacing w:line="242" w:lineRule="auto"/>
              <w:rPr>
                <w:color w:val="auto"/>
                <w:highlight w:val="none"/>
                <w:lang w:eastAsia="zh-CN"/>
              </w:rPr>
            </w:pPr>
          </w:p>
          <w:p w14:paraId="314B036D">
            <w:pPr>
              <w:spacing w:line="242" w:lineRule="auto"/>
              <w:rPr>
                <w:color w:val="auto"/>
                <w:highlight w:val="none"/>
                <w:lang w:eastAsia="zh-CN"/>
              </w:rPr>
            </w:pPr>
          </w:p>
          <w:p w14:paraId="7F5309CC">
            <w:pPr>
              <w:spacing w:line="242" w:lineRule="auto"/>
              <w:rPr>
                <w:color w:val="auto"/>
                <w:highlight w:val="none"/>
                <w:lang w:eastAsia="zh-CN"/>
              </w:rPr>
            </w:pPr>
          </w:p>
          <w:p w14:paraId="4E0C7334">
            <w:pPr>
              <w:spacing w:line="242" w:lineRule="auto"/>
              <w:rPr>
                <w:color w:val="auto"/>
                <w:highlight w:val="none"/>
                <w:lang w:eastAsia="zh-CN"/>
              </w:rPr>
            </w:pPr>
          </w:p>
          <w:p w14:paraId="6ECA68D3">
            <w:pPr>
              <w:spacing w:line="242" w:lineRule="auto"/>
              <w:rPr>
                <w:color w:val="auto"/>
                <w:highlight w:val="none"/>
                <w:lang w:eastAsia="zh-CN"/>
              </w:rPr>
            </w:pPr>
          </w:p>
          <w:p w14:paraId="69A55A93">
            <w:pPr>
              <w:spacing w:line="242" w:lineRule="auto"/>
              <w:rPr>
                <w:color w:val="auto"/>
                <w:highlight w:val="none"/>
                <w:lang w:eastAsia="zh-CN"/>
              </w:rPr>
            </w:pPr>
          </w:p>
          <w:p w14:paraId="77516B4D">
            <w:pPr>
              <w:spacing w:line="242" w:lineRule="auto"/>
              <w:rPr>
                <w:color w:val="auto"/>
                <w:highlight w:val="none"/>
                <w:lang w:eastAsia="zh-CN"/>
              </w:rPr>
            </w:pPr>
          </w:p>
          <w:p w14:paraId="3367DADA">
            <w:pPr>
              <w:spacing w:line="243" w:lineRule="auto"/>
              <w:rPr>
                <w:color w:val="auto"/>
                <w:highlight w:val="none"/>
                <w:lang w:eastAsia="zh-CN"/>
              </w:rPr>
            </w:pPr>
          </w:p>
          <w:p w14:paraId="471CED56">
            <w:pPr>
              <w:pStyle w:val="33"/>
              <w:spacing w:before="78" w:line="239" w:lineRule="auto"/>
              <w:ind w:left="601"/>
              <w:rPr>
                <w:color w:val="auto"/>
                <w:highlight w:val="none"/>
              </w:rPr>
            </w:pPr>
            <w:r>
              <w:rPr>
                <w:color w:val="auto"/>
                <w:spacing w:val="-4"/>
                <w:highlight w:val="none"/>
              </w:rPr>
              <w:t>3.5</w:t>
            </w:r>
          </w:p>
        </w:tc>
        <w:tc>
          <w:tcPr>
            <w:tcW w:w="1672" w:type="dxa"/>
          </w:tcPr>
          <w:p w14:paraId="13CDF0E7">
            <w:pPr>
              <w:spacing w:line="242" w:lineRule="auto"/>
              <w:rPr>
                <w:color w:val="auto"/>
                <w:highlight w:val="none"/>
              </w:rPr>
            </w:pPr>
          </w:p>
          <w:p w14:paraId="30D84100">
            <w:pPr>
              <w:spacing w:line="242" w:lineRule="auto"/>
              <w:rPr>
                <w:color w:val="auto"/>
                <w:highlight w:val="none"/>
              </w:rPr>
            </w:pPr>
          </w:p>
          <w:p w14:paraId="2E8E0FB5">
            <w:pPr>
              <w:spacing w:line="242" w:lineRule="auto"/>
              <w:rPr>
                <w:color w:val="auto"/>
                <w:highlight w:val="none"/>
              </w:rPr>
            </w:pPr>
          </w:p>
          <w:p w14:paraId="63666B0D">
            <w:pPr>
              <w:spacing w:line="242" w:lineRule="auto"/>
              <w:rPr>
                <w:color w:val="auto"/>
                <w:highlight w:val="none"/>
              </w:rPr>
            </w:pPr>
          </w:p>
          <w:p w14:paraId="724B52A5">
            <w:pPr>
              <w:spacing w:line="242" w:lineRule="auto"/>
              <w:rPr>
                <w:color w:val="auto"/>
                <w:highlight w:val="none"/>
              </w:rPr>
            </w:pPr>
          </w:p>
          <w:p w14:paraId="4686DDD8">
            <w:pPr>
              <w:spacing w:line="242" w:lineRule="auto"/>
              <w:rPr>
                <w:color w:val="auto"/>
                <w:highlight w:val="none"/>
              </w:rPr>
            </w:pPr>
          </w:p>
          <w:p w14:paraId="70A7960E">
            <w:pPr>
              <w:spacing w:line="242" w:lineRule="auto"/>
              <w:rPr>
                <w:color w:val="auto"/>
                <w:highlight w:val="none"/>
              </w:rPr>
            </w:pPr>
          </w:p>
          <w:p w14:paraId="72A0B499">
            <w:pPr>
              <w:spacing w:line="243" w:lineRule="auto"/>
              <w:rPr>
                <w:color w:val="auto"/>
                <w:highlight w:val="none"/>
              </w:rPr>
            </w:pPr>
          </w:p>
          <w:p w14:paraId="5D36A69D">
            <w:pPr>
              <w:pStyle w:val="33"/>
              <w:spacing w:before="78" w:line="220" w:lineRule="auto"/>
              <w:ind w:left="115"/>
              <w:rPr>
                <w:color w:val="auto"/>
                <w:highlight w:val="none"/>
              </w:rPr>
            </w:pPr>
            <w:r>
              <w:rPr>
                <w:color w:val="auto"/>
                <w:spacing w:val="-2"/>
                <w:highlight w:val="none"/>
              </w:rPr>
              <w:t>无效标条件</w:t>
            </w:r>
          </w:p>
        </w:tc>
        <w:tc>
          <w:tcPr>
            <w:tcW w:w="6533" w:type="dxa"/>
          </w:tcPr>
          <w:p w14:paraId="0CE302F6">
            <w:pPr>
              <w:pStyle w:val="33"/>
              <w:spacing w:before="169" w:line="290" w:lineRule="auto"/>
              <w:ind w:left="133" w:right="117" w:hanging="1"/>
              <w:rPr>
                <w:color w:val="auto"/>
                <w:highlight w:val="none"/>
                <w:lang w:eastAsia="zh-CN"/>
              </w:rPr>
            </w:pPr>
            <w:r>
              <w:rPr>
                <w:color w:val="auto"/>
                <w:spacing w:val="-3"/>
                <w:highlight w:val="none"/>
                <w:lang w:eastAsia="zh-CN"/>
              </w:rPr>
              <w:t>1、投标供应商资格条件不符合国家有关规定和招标文件</w:t>
            </w:r>
            <w:r>
              <w:rPr>
                <w:color w:val="auto"/>
                <w:spacing w:val="-4"/>
                <w:highlight w:val="none"/>
                <w:lang w:eastAsia="zh-CN"/>
              </w:rPr>
              <w:t>要求</w:t>
            </w:r>
            <w:r>
              <w:rPr>
                <w:color w:val="auto"/>
                <w:spacing w:val="-22"/>
                <w:highlight w:val="none"/>
                <w:lang w:eastAsia="zh-CN"/>
              </w:rPr>
              <w:t>的；</w:t>
            </w:r>
          </w:p>
          <w:p w14:paraId="708185FD">
            <w:pPr>
              <w:pStyle w:val="33"/>
              <w:spacing w:before="174" w:line="219" w:lineRule="auto"/>
              <w:ind w:left="117"/>
              <w:rPr>
                <w:color w:val="auto"/>
                <w:highlight w:val="none"/>
                <w:lang w:eastAsia="zh-CN"/>
              </w:rPr>
            </w:pPr>
            <w:r>
              <w:rPr>
                <w:color w:val="auto"/>
                <w:spacing w:val="-4"/>
                <w:highlight w:val="none"/>
                <w:lang w:eastAsia="zh-CN"/>
              </w:rPr>
              <w:t>2、没有按照招标文件要求提供投标承诺函；</w:t>
            </w:r>
          </w:p>
          <w:p w14:paraId="41A7362B">
            <w:pPr>
              <w:pStyle w:val="33"/>
              <w:spacing w:before="178" w:line="219" w:lineRule="auto"/>
              <w:ind w:left="119"/>
              <w:rPr>
                <w:color w:val="auto"/>
                <w:highlight w:val="none"/>
                <w:lang w:eastAsia="zh-CN"/>
              </w:rPr>
            </w:pPr>
            <w:r>
              <w:rPr>
                <w:color w:val="auto"/>
                <w:spacing w:val="-3"/>
                <w:highlight w:val="none"/>
                <w:lang w:eastAsia="zh-CN"/>
              </w:rPr>
              <w:t>3、电子化投标文件附有采购人不能接受的条件的；</w:t>
            </w:r>
          </w:p>
          <w:p w14:paraId="6E0E53F4">
            <w:pPr>
              <w:pStyle w:val="33"/>
              <w:spacing w:before="181" w:line="218" w:lineRule="auto"/>
              <w:ind w:left="113"/>
              <w:rPr>
                <w:color w:val="auto"/>
                <w:highlight w:val="none"/>
                <w:lang w:eastAsia="zh-CN"/>
              </w:rPr>
            </w:pPr>
            <w:r>
              <w:rPr>
                <w:color w:val="auto"/>
                <w:spacing w:val="-3"/>
                <w:highlight w:val="none"/>
                <w:lang w:eastAsia="zh-CN"/>
              </w:rPr>
              <w:t>4、投标报价低于成本、高于招标文件设定的最高投标限价；</w:t>
            </w:r>
          </w:p>
          <w:p w14:paraId="3EA9EC95">
            <w:pPr>
              <w:pStyle w:val="33"/>
              <w:spacing w:before="179" w:line="288" w:lineRule="auto"/>
              <w:ind w:left="141" w:right="117" w:hanging="22"/>
              <w:rPr>
                <w:color w:val="auto"/>
                <w:highlight w:val="none"/>
                <w:lang w:eastAsia="zh-CN"/>
              </w:rPr>
            </w:pPr>
            <w:r>
              <w:rPr>
                <w:color w:val="auto"/>
                <w:spacing w:val="-3"/>
                <w:highlight w:val="none"/>
                <w:lang w:eastAsia="zh-CN"/>
              </w:rPr>
              <w:t>5、以他人的名义投标、串通投标、以行贿手段谋取中标或者</w:t>
            </w:r>
            <w:r>
              <w:rPr>
                <w:color w:val="auto"/>
                <w:spacing w:val="-7"/>
                <w:highlight w:val="none"/>
                <w:lang w:eastAsia="zh-CN"/>
              </w:rPr>
              <w:t>以其他弄虚作假方式投标的；</w:t>
            </w:r>
          </w:p>
          <w:p w14:paraId="0214C1D1">
            <w:pPr>
              <w:pStyle w:val="33"/>
              <w:spacing w:before="180" w:line="219" w:lineRule="auto"/>
              <w:ind w:left="116"/>
              <w:rPr>
                <w:color w:val="auto"/>
                <w:highlight w:val="none"/>
                <w:lang w:eastAsia="zh-CN"/>
              </w:rPr>
            </w:pPr>
            <w:r>
              <w:rPr>
                <w:color w:val="auto"/>
                <w:spacing w:val="-5"/>
                <w:highlight w:val="none"/>
                <w:lang w:eastAsia="zh-CN"/>
              </w:rPr>
              <w:t>6、采取不正当手段谋取中标的；</w:t>
            </w:r>
          </w:p>
          <w:p w14:paraId="3F33CD3D">
            <w:pPr>
              <w:pStyle w:val="33"/>
              <w:spacing w:before="179" w:line="220" w:lineRule="auto"/>
              <w:ind w:left="120"/>
              <w:rPr>
                <w:color w:val="auto"/>
                <w:highlight w:val="none"/>
                <w:lang w:eastAsia="zh-CN"/>
              </w:rPr>
            </w:pPr>
            <w:r>
              <w:rPr>
                <w:color w:val="auto"/>
                <w:spacing w:val="-4"/>
                <w:highlight w:val="none"/>
                <w:lang w:eastAsia="zh-CN"/>
              </w:rPr>
              <w:t>7、法律、法规规定的其他情况。</w:t>
            </w:r>
          </w:p>
        </w:tc>
      </w:tr>
      <w:tr w14:paraId="4743D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68" w:type="dxa"/>
          </w:tcPr>
          <w:p w14:paraId="7242A00E">
            <w:pPr>
              <w:pStyle w:val="33"/>
              <w:spacing w:before="213" w:line="239" w:lineRule="auto"/>
              <w:ind w:left="601"/>
              <w:rPr>
                <w:color w:val="auto"/>
                <w:highlight w:val="none"/>
              </w:rPr>
            </w:pPr>
            <w:r>
              <w:rPr>
                <w:color w:val="auto"/>
                <w:spacing w:val="-4"/>
                <w:highlight w:val="none"/>
              </w:rPr>
              <w:t>3.6</w:t>
            </w:r>
          </w:p>
        </w:tc>
        <w:tc>
          <w:tcPr>
            <w:tcW w:w="1672" w:type="dxa"/>
          </w:tcPr>
          <w:p w14:paraId="1225B3D5">
            <w:pPr>
              <w:pStyle w:val="33"/>
              <w:spacing w:before="214" w:line="220" w:lineRule="auto"/>
              <w:ind w:left="114"/>
              <w:rPr>
                <w:color w:val="auto"/>
                <w:highlight w:val="none"/>
              </w:rPr>
            </w:pPr>
            <w:r>
              <w:rPr>
                <w:color w:val="auto"/>
                <w:highlight w:val="none"/>
              </w:rPr>
              <w:t>重新招标的其</w:t>
            </w:r>
          </w:p>
        </w:tc>
        <w:tc>
          <w:tcPr>
            <w:tcW w:w="6533" w:type="dxa"/>
          </w:tcPr>
          <w:p w14:paraId="1D62BC92">
            <w:pPr>
              <w:pStyle w:val="33"/>
              <w:spacing w:before="213" w:line="220" w:lineRule="auto"/>
              <w:ind w:left="128"/>
              <w:rPr>
                <w:color w:val="auto"/>
                <w:highlight w:val="none"/>
                <w:lang w:eastAsia="zh-CN"/>
              </w:rPr>
            </w:pPr>
            <w:r>
              <w:rPr>
                <w:color w:val="auto"/>
                <w:spacing w:val="-4"/>
                <w:highlight w:val="none"/>
                <w:lang w:eastAsia="zh-CN"/>
              </w:rPr>
              <w:t>除投标人须知正文规定的情形外，除非已经产</w:t>
            </w:r>
            <w:r>
              <w:rPr>
                <w:color w:val="auto"/>
                <w:spacing w:val="-5"/>
                <w:highlight w:val="none"/>
                <w:lang w:eastAsia="zh-CN"/>
              </w:rPr>
              <w:t>生中标候选人，</w:t>
            </w:r>
          </w:p>
        </w:tc>
      </w:tr>
    </w:tbl>
    <w:p w14:paraId="423E0CD3">
      <w:pPr>
        <w:spacing w:before="19"/>
        <w:rPr>
          <w:color w:val="auto"/>
          <w:highlight w:val="none"/>
          <w:lang w:eastAsia="zh-CN"/>
        </w:rPr>
      </w:pPr>
      <w:r>
        <w:rPr>
          <w:color w:val="auto"/>
          <w:highlight w:val="none"/>
          <w:lang w:eastAsia="zh-CN"/>
        </w:rPr>
        <w:drawing>
          <wp:anchor distT="0" distB="0" distL="0" distR="0" simplePos="0" relativeHeight="251660288" behindDoc="0" locked="0" layoutInCell="0" allowOverlap="1">
            <wp:simplePos x="0" y="0"/>
            <wp:positionH relativeFrom="page">
              <wp:posOffset>-3175</wp:posOffset>
            </wp:positionH>
            <wp:positionV relativeFrom="page">
              <wp:posOffset>-3175</wp:posOffset>
            </wp:positionV>
            <wp:extent cx="6350" cy="635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8"/>
                    <a:stretch>
                      <a:fillRect/>
                    </a:stretch>
                  </pic:blipFill>
                  <pic:spPr>
                    <a:xfrm>
                      <a:off x="0" y="0"/>
                      <a:ext cx="6350" cy="6350"/>
                    </a:xfrm>
                    <a:prstGeom prst="rect">
                      <a:avLst/>
                    </a:prstGeom>
                  </pic:spPr>
                </pic:pic>
              </a:graphicData>
            </a:graphic>
          </wp:anchor>
        </w:drawing>
      </w:r>
    </w:p>
    <w:p w14:paraId="5DB4E62D">
      <w:pPr>
        <w:spacing w:before="19"/>
        <w:rPr>
          <w:color w:val="auto"/>
          <w:highlight w:val="none"/>
          <w:lang w:eastAsia="zh-CN"/>
        </w:rPr>
      </w:pPr>
    </w:p>
    <w:p w14:paraId="76E7DD12">
      <w:pPr>
        <w:spacing w:before="18"/>
        <w:rPr>
          <w:color w:val="auto"/>
          <w:highlight w:val="none"/>
          <w:lang w:eastAsia="zh-CN"/>
        </w:rPr>
      </w:pPr>
    </w:p>
    <w:p w14:paraId="56B674C1">
      <w:pPr>
        <w:spacing w:before="18"/>
        <w:rPr>
          <w:color w:val="auto"/>
          <w:highlight w:val="none"/>
          <w:lang w:eastAsia="zh-CN"/>
        </w:rPr>
      </w:pPr>
    </w:p>
    <w:tbl>
      <w:tblPr>
        <w:tblStyle w:val="32"/>
        <w:tblW w:w="9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8"/>
        <w:gridCol w:w="1672"/>
        <w:gridCol w:w="6533"/>
      </w:tblGrid>
      <w:tr w14:paraId="56657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1168" w:type="dxa"/>
          </w:tcPr>
          <w:p w14:paraId="66CD68C2">
            <w:pPr>
              <w:rPr>
                <w:color w:val="auto"/>
                <w:highlight w:val="none"/>
                <w:lang w:eastAsia="zh-CN"/>
              </w:rPr>
            </w:pPr>
          </w:p>
        </w:tc>
        <w:tc>
          <w:tcPr>
            <w:tcW w:w="1672" w:type="dxa"/>
          </w:tcPr>
          <w:p w14:paraId="1A0EAF50">
            <w:pPr>
              <w:pStyle w:val="33"/>
              <w:spacing w:before="171" w:line="220" w:lineRule="auto"/>
              <w:ind w:left="113"/>
              <w:rPr>
                <w:color w:val="auto"/>
                <w:highlight w:val="none"/>
              </w:rPr>
            </w:pPr>
            <w:r>
              <w:rPr>
                <w:color w:val="auto"/>
                <w:spacing w:val="-3"/>
                <w:highlight w:val="none"/>
              </w:rPr>
              <w:t>他情形</w:t>
            </w:r>
          </w:p>
        </w:tc>
        <w:tc>
          <w:tcPr>
            <w:tcW w:w="6533" w:type="dxa"/>
          </w:tcPr>
          <w:p w14:paraId="4B22E4CD">
            <w:pPr>
              <w:pStyle w:val="33"/>
              <w:spacing w:before="171" w:line="291" w:lineRule="auto"/>
              <w:ind w:left="113" w:right="168"/>
              <w:rPr>
                <w:color w:val="auto"/>
                <w:highlight w:val="none"/>
                <w:lang w:eastAsia="zh-CN"/>
              </w:rPr>
            </w:pPr>
            <w:r>
              <w:rPr>
                <w:color w:val="auto"/>
                <w:highlight w:val="none"/>
                <w:lang w:eastAsia="zh-CN"/>
              </w:rPr>
              <w:t>在投标有效期内同意延长投标有效期的投标人少于三个的，</w:t>
            </w:r>
            <w:r>
              <w:rPr>
                <w:color w:val="auto"/>
                <w:spacing w:val="-4"/>
                <w:highlight w:val="none"/>
                <w:lang w:eastAsia="zh-CN"/>
              </w:rPr>
              <w:t>采购人应当依法重新招标。</w:t>
            </w:r>
          </w:p>
        </w:tc>
      </w:tr>
      <w:tr w14:paraId="3DC45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9" w:hRule="atLeast"/>
        </w:trPr>
        <w:tc>
          <w:tcPr>
            <w:tcW w:w="1168" w:type="dxa"/>
          </w:tcPr>
          <w:p w14:paraId="4421E0F7">
            <w:pPr>
              <w:spacing w:line="259" w:lineRule="auto"/>
              <w:rPr>
                <w:color w:val="auto"/>
                <w:highlight w:val="none"/>
                <w:lang w:eastAsia="zh-CN"/>
              </w:rPr>
            </w:pPr>
          </w:p>
          <w:p w14:paraId="503DE2D8">
            <w:pPr>
              <w:spacing w:line="260" w:lineRule="auto"/>
              <w:rPr>
                <w:color w:val="auto"/>
                <w:highlight w:val="none"/>
                <w:lang w:eastAsia="zh-CN"/>
              </w:rPr>
            </w:pPr>
          </w:p>
          <w:p w14:paraId="450E7AB0">
            <w:pPr>
              <w:spacing w:line="260" w:lineRule="auto"/>
              <w:rPr>
                <w:color w:val="auto"/>
                <w:highlight w:val="none"/>
                <w:lang w:eastAsia="zh-CN"/>
              </w:rPr>
            </w:pPr>
          </w:p>
          <w:p w14:paraId="633F02BA">
            <w:pPr>
              <w:pStyle w:val="33"/>
              <w:spacing w:before="78" w:line="239" w:lineRule="auto"/>
              <w:ind w:left="601"/>
              <w:rPr>
                <w:color w:val="auto"/>
                <w:highlight w:val="none"/>
              </w:rPr>
            </w:pPr>
            <w:r>
              <w:rPr>
                <w:color w:val="auto"/>
                <w:spacing w:val="-4"/>
                <w:highlight w:val="none"/>
              </w:rPr>
              <w:t>3.7</w:t>
            </w:r>
          </w:p>
        </w:tc>
        <w:tc>
          <w:tcPr>
            <w:tcW w:w="1672" w:type="dxa"/>
          </w:tcPr>
          <w:p w14:paraId="4AF12C14">
            <w:pPr>
              <w:spacing w:line="274" w:lineRule="auto"/>
              <w:rPr>
                <w:color w:val="auto"/>
                <w:highlight w:val="none"/>
              </w:rPr>
            </w:pPr>
          </w:p>
          <w:p w14:paraId="48534EFE">
            <w:pPr>
              <w:spacing w:line="274" w:lineRule="auto"/>
              <w:rPr>
                <w:color w:val="auto"/>
                <w:highlight w:val="none"/>
              </w:rPr>
            </w:pPr>
          </w:p>
          <w:p w14:paraId="45F90D56">
            <w:pPr>
              <w:pStyle w:val="33"/>
              <w:spacing w:before="78" w:line="366" w:lineRule="auto"/>
              <w:ind w:left="112" w:right="110" w:firstLine="1"/>
              <w:rPr>
                <w:color w:val="auto"/>
                <w:highlight w:val="none"/>
              </w:rPr>
            </w:pPr>
            <w:r>
              <w:rPr>
                <w:color w:val="auto"/>
                <w:highlight w:val="none"/>
              </w:rPr>
              <w:t>本项目所属行业</w:t>
            </w:r>
          </w:p>
        </w:tc>
        <w:tc>
          <w:tcPr>
            <w:tcW w:w="6533" w:type="dxa"/>
          </w:tcPr>
          <w:p w14:paraId="6E30F304">
            <w:pPr>
              <w:pStyle w:val="33"/>
              <w:spacing w:before="165" w:line="357" w:lineRule="auto"/>
              <w:ind w:left="115" w:right="22" w:firstLine="238"/>
              <w:jc w:val="both"/>
              <w:rPr>
                <w:color w:val="auto"/>
                <w:highlight w:val="none"/>
                <w:lang w:eastAsia="zh-CN"/>
              </w:rPr>
            </w:pPr>
            <w:r>
              <w:rPr>
                <w:color w:val="auto"/>
                <w:spacing w:val="2"/>
                <w:highlight w:val="none"/>
                <w:lang w:eastAsia="zh-CN"/>
              </w:rPr>
              <w:t>划定标准为：《工业和信息化部、国家统计局、国家发展</w:t>
            </w:r>
            <w:r>
              <w:rPr>
                <w:color w:val="auto"/>
                <w:spacing w:val="-2"/>
                <w:highlight w:val="none"/>
                <w:lang w:eastAsia="zh-CN"/>
              </w:rPr>
              <w:t>和改革委员会、财政部关于印发&lt;中小企业划型标准规定的通</w:t>
            </w:r>
            <w:r>
              <w:rPr>
                <w:color w:val="auto"/>
                <w:spacing w:val="-5"/>
                <w:highlight w:val="none"/>
                <w:lang w:eastAsia="zh-CN"/>
              </w:rPr>
              <w:t>知&gt;（工信部联企业〔2011〕300</w:t>
            </w:r>
            <w:r>
              <w:rPr>
                <w:color w:val="auto"/>
                <w:spacing w:val="-45"/>
                <w:highlight w:val="none"/>
                <w:lang w:eastAsia="zh-CN"/>
              </w:rPr>
              <w:t xml:space="preserve"> </w:t>
            </w:r>
            <w:r>
              <w:rPr>
                <w:color w:val="auto"/>
                <w:spacing w:val="-5"/>
                <w:highlight w:val="none"/>
                <w:lang w:eastAsia="zh-CN"/>
              </w:rPr>
              <w:t>号</w:t>
            </w:r>
            <w:r>
              <w:rPr>
                <w:color w:val="auto"/>
                <w:spacing w:val="-6"/>
                <w:highlight w:val="none"/>
                <w:lang w:eastAsia="zh-CN"/>
              </w:rPr>
              <w:t>）规定的划分标准为依据。</w:t>
            </w:r>
          </w:p>
          <w:p w14:paraId="46C64FF7">
            <w:pPr>
              <w:pStyle w:val="33"/>
              <w:spacing w:before="1" w:line="218" w:lineRule="auto"/>
              <w:ind w:left="355"/>
              <w:rPr>
                <w:color w:val="auto"/>
                <w:highlight w:val="none"/>
                <w:lang w:eastAsia="zh-CN"/>
              </w:rPr>
            </w:pPr>
            <w:r>
              <w:rPr>
                <w:color w:val="auto"/>
                <w:spacing w:val="-2"/>
                <w:highlight w:val="none"/>
                <w:lang w:eastAsia="zh-CN"/>
              </w:rPr>
              <w:t>本项目采购标的属于</w:t>
            </w:r>
            <w:r>
              <w:rPr>
                <w:b/>
                <w:bCs/>
                <w:color w:val="auto"/>
                <w:spacing w:val="-2"/>
                <w:highlight w:val="none"/>
                <w:lang w:eastAsia="zh-CN"/>
              </w:rPr>
              <w:t>农、林、牧、渔业</w:t>
            </w:r>
            <w:r>
              <w:rPr>
                <w:color w:val="auto"/>
                <w:spacing w:val="-2"/>
                <w:highlight w:val="none"/>
                <w:lang w:eastAsia="zh-CN"/>
              </w:rPr>
              <w:t>。</w:t>
            </w:r>
          </w:p>
        </w:tc>
      </w:tr>
      <w:tr w14:paraId="730C1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8" w:hRule="atLeast"/>
        </w:trPr>
        <w:tc>
          <w:tcPr>
            <w:tcW w:w="1168" w:type="dxa"/>
          </w:tcPr>
          <w:p w14:paraId="41293A69">
            <w:pPr>
              <w:spacing w:line="270" w:lineRule="auto"/>
              <w:rPr>
                <w:color w:val="auto"/>
                <w:highlight w:val="none"/>
                <w:lang w:eastAsia="zh-CN"/>
              </w:rPr>
            </w:pPr>
          </w:p>
          <w:p w14:paraId="5E241BA0">
            <w:pPr>
              <w:spacing w:line="270" w:lineRule="auto"/>
              <w:rPr>
                <w:color w:val="auto"/>
                <w:highlight w:val="none"/>
                <w:lang w:eastAsia="zh-CN"/>
              </w:rPr>
            </w:pPr>
          </w:p>
          <w:p w14:paraId="46DB1191">
            <w:pPr>
              <w:spacing w:line="271" w:lineRule="auto"/>
              <w:rPr>
                <w:color w:val="auto"/>
                <w:highlight w:val="none"/>
                <w:lang w:eastAsia="zh-CN"/>
              </w:rPr>
            </w:pPr>
          </w:p>
          <w:p w14:paraId="59B1DCB3">
            <w:pPr>
              <w:spacing w:line="271" w:lineRule="auto"/>
              <w:rPr>
                <w:color w:val="auto"/>
                <w:highlight w:val="none"/>
                <w:lang w:eastAsia="zh-CN"/>
              </w:rPr>
            </w:pPr>
          </w:p>
          <w:p w14:paraId="577A5345">
            <w:pPr>
              <w:spacing w:line="271" w:lineRule="auto"/>
              <w:rPr>
                <w:color w:val="auto"/>
                <w:highlight w:val="none"/>
                <w:lang w:eastAsia="zh-CN"/>
              </w:rPr>
            </w:pPr>
          </w:p>
          <w:p w14:paraId="160A3729">
            <w:pPr>
              <w:pStyle w:val="33"/>
              <w:spacing w:before="78" w:line="239" w:lineRule="auto"/>
              <w:ind w:left="596"/>
              <w:rPr>
                <w:color w:val="auto"/>
                <w:highlight w:val="none"/>
              </w:rPr>
            </w:pPr>
            <w:r>
              <w:rPr>
                <w:color w:val="auto"/>
                <w:spacing w:val="-2"/>
                <w:highlight w:val="none"/>
              </w:rPr>
              <w:t>4.1</w:t>
            </w:r>
          </w:p>
        </w:tc>
        <w:tc>
          <w:tcPr>
            <w:tcW w:w="1672" w:type="dxa"/>
          </w:tcPr>
          <w:p w14:paraId="35A2436C">
            <w:pPr>
              <w:spacing w:line="270" w:lineRule="auto"/>
              <w:rPr>
                <w:color w:val="auto"/>
                <w:highlight w:val="none"/>
              </w:rPr>
            </w:pPr>
          </w:p>
          <w:p w14:paraId="77B182C2">
            <w:pPr>
              <w:spacing w:line="270" w:lineRule="auto"/>
              <w:rPr>
                <w:color w:val="auto"/>
                <w:highlight w:val="none"/>
              </w:rPr>
            </w:pPr>
          </w:p>
          <w:p w14:paraId="168BA7D4">
            <w:pPr>
              <w:spacing w:line="270" w:lineRule="auto"/>
              <w:rPr>
                <w:color w:val="auto"/>
                <w:highlight w:val="none"/>
              </w:rPr>
            </w:pPr>
          </w:p>
          <w:p w14:paraId="3371438A">
            <w:pPr>
              <w:spacing w:line="271" w:lineRule="auto"/>
              <w:rPr>
                <w:color w:val="auto"/>
                <w:highlight w:val="none"/>
              </w:rPr>
            </w:pPr>
          </w:p>
          <w:p w14:paraId="616F58FB">
            <w:pPr>
              <w:spacing w:line="271" w:lineRule="auto"/>
              <w:rPr>
                <w:color w:val="auto"/>
                <w:highlight w:val="none"/>
              </w:rPr>
            </w:pPr>
          </w:p>
          <w:p w14:paraId="67FB4313">
            <w:pPr>
              <w:pStyle w:val="33"/>
              <w:spacing w:before="78" w:line="220" w:lineRule="auto"/>
              <w:ind w:left="592"/>
              <w:rPr>
                <w:color w:val="auto"/>
                <w:highlight w:val="none"/>
              </w:rPr>
            </w:pPr>
            <w:r>
              <w:rPr>
                <w:color w:val="auto"/>
                <w:spacing w:val="-2"/>
                <w:highlight w:val="none"/>
              </w:rPr>
              <w:t>代理费</w:t>
            </w:r>
          </w:p>
        </w:tc>
        <w:tc>
          <w:tcPr>
            <w:tcW w:w="6533" w:type="dxa"/>
          </w:tcPr>
          <w:p w14:paraId="079893B4">
            <w:pPr>
              <w:pStyle w:val="33"/>
              <w:spacing w:before="275" w:line="323" w:lineRule="auto"/>
              <w:ind w:left="115" w:right="106" w:firstLine="16"/>
              <w:rPr>
                <w:color w:val="auto"/>
                <w:highlight w:val="none"/>
                <w:lang w:eastAsia="zh-CN"/>
              </w:rPr>
            </w:pPr>
            <w:r>
              <w:rPr>
                <w:color w:val="auto"/>
                <w:spacing w:val="1"/>
                <w:highlight w:val="none"/>
                <w:lang w:eastAsia="zh-CN"/>
              </w:rPr>
              <w:t>1.招标代理服务收费参照豫招协[2023]002 号河南省招标投</w:t>
            </w:r>
            <w:r>
              <w:rPr>
                <w:color w:val="auto"/>
                <w:spacing w:val="2"/>
                <w:highlight w:val="none"/>
                <w:lang w:eastAsia="zh-CN"/>
              </w:rPr>
              <w:t>标协会关于印发《河南省招标代理服务收费指导意见》规定的收费标准收取中标代理服务费，领取中标通知书时由中标</w:t>
            </w:r>
            <w:r>
              <w:rPr>
                <w:color w:val="auto"/>
                <w:spacing w:val="-2"/>
                <w:highlight w:val="none"/>
                <w:lang w:eastAsia="zh-CN"/>
              </w:rPr>
              <w:t>人一次性支付。</w:t>
            </w:r>
          </w:p>
        </w:tc>
      </w:tr>
      <w:tr w14:paraId="71FED4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6" w:hRule="atLeast"/>
        </w:trPr>
        <w:tc>
          <w:tcPr>
            <w:tcW w:w="1168" w:type="dxa"/>
          </w:tcPr>
          <w:p w14:paraId="100862EA">
            <w:pPr>
              <w:spacing w:line="244" w:lineRule="auto"/>
              <w:rPr>
                <w:color w:val="auto"/>
                <w:highlight w:val="none"/>
                <w:lang w:eastAsia="zh-CN"/>
              </w:rPr>
            </w:pPr>
          </w:p>
          <w:p w14:paraId="555F678A">
            <w:pPr>
              <w:spacing w:line="244" w:lineRule="auto"/>
              <w:rPr>
                <w:color w:val="auto"/>
                <w:highlight w:val="none"/>
                <w:lang w:eastAsia="zh-CN"/>
              </w:rPr>
            </w:pPr>
          </w:p>
          <w:p w14:paraId="505A43B8">
            <w:pPr>
              <w:spacing w:line="244" w:lineRule="auto"/>
              <w:rPr>
                <w:color w:val="auto"/>
                <w:highlight w:val="none"/>
                <w:lang w:eastAsia="zh-CN"/>
              </w:rPr>
            </w:pPr>
          </w:p>
          <w:p w14:paraId="7C3F5076">
            <w:pPr>
              <w:spacing w:line="244" w:lineRule="auto"/>
              <w:rPr>
                <w:color w:val="auto"/>
                <w:highlight w:val="none"/>
                <w:lang w:eastAsia="zh-CN"/>
              </w:rPr>
            </w:pPr>
          </w:p>
          <w:p w14:paraId="01333BA2">
            <w:pPr>
              <w:spacing w:line="244" w:lineRule="auto"/>
              <w:rPr>
                <w:color w:val="auto"/>
                <w:highlight w:val="none"/>
                <w:lang w:eastAsia="zh-CN"/>
              </w:rPr>
            </w:pPr>
          </w:p>
          <w:p w14:paraId="34C92A2A">
            <w:pPr>
              <w:spacing w:line="244" w:lineRule="auto"/>
              <w:rPr>
                <w:color w:val="auto"/>
                <w:highlight w:val="none"/>
                <w:lang w:eastAsia="zh-CN"/>
              </w:rPr>
            </w:pPr>
          </w:p>
          <w:p w14:paraId="2EFD8DAC">
            <w:pPr>
              <w:spacing w:line="244" w:lineRule="auto"/>
              <w:rPr>
                <w:color w:val="auto"/>
                <w:highlight w:val="none"/>
                <w:lang w:eastAsia="zh-CN"/>
              </w:rPr>
            </w:pPr>
          </w:p>
          <w:p w14:paraId="07C2860E">
            <w:pPr>
              <w:spacing w:line="244" w:lineRule="auto"/>
              <w:rPr>
                <w:color w:val="auto"/>
                <w:highlight w:val="none"/>
                <w:lang w:eastAsia="zh-CN"/>
              </w:rPr>
            </w:pPr>
          </w:p>
          <w:p w14:paraId="4292620F">
            <w:pPr>
              <w:spacing w:line="244" w:lineRule="auto"/>
              <w:rPr>
                <w:color w:val="auto"/>
                <w:highlight w:val="none"/>
                <w:lang w:eastAsia="zh-CN"/>
              </w:rPr>
            </w:pPr>
          </w:p>
          <w:p w14:paraId="384ED961">
            <w:pPr>
              <w:spacing w:line="244" w:lineRule="auto"/>
              <w:rPr>
                <w:color w:val="auto"/>
                <w:highlight w:val="none"/>
                <w:lang w:eastAsia="zh-CN"/>
              </w:rPr>
            </w:pPr>
          </w:p>
          <w:p w14:paraId="2E3092D6">
            <w:pPr>
              <w:spacing w:line="244" w:lineRule="auto"/>
              <w:rPr>
                <w:color w:val="auto"/>
                <w:highlight w:val="none"/>
                <w:lang w:eastAsia="zh-CN"/>
              </w:rPr>
            </w:pPr>
          </w:p>
          <w:p w14:paraId="0CFA89DA">
            <w:pPr>
              <w:spacing w:line="245" w:lineRule="auto"/>
              <w:rPr>
                <w:color w:val="auto"/>
                <w:highlight w:val="none"/>
                <w:lang w:eastAsia="zh-CN"/>
              </w:rPr>
            </w:pPr>
          </w:p>
          <w:p w14:paraId="456108E3">
            <w:pPr>
              <w:spacing w:line="245" w:lineRule="auto"/>
              <w:rPr>
                <w:color w:val="auto"/>
                <w:highlight w:val="none"/>
                <w:lang w:eastAsia="zh-CN"/>
              </w:rPr>
            </w:pPr>
          </w:p>
          <w:p w14:paraId="4CE7F931">
            <w:pPr>
              <w:spacing w:line="245" w:lineRule="auto"/>
              <w:rPr>
                <w:color w:val="auto"/>
                <w:highlight w:val="none"/>
                <w:lang w:eastAsia="zh-CN"/>
              </w:rPr>
            </w:pPr>
          </w:p>
          <w:p w14:paraId="28EB0A6D">
            <w:pPr>
              <w:spacing w:line="245" w:lineRule="auto"/>
              <w:rPr>
                <w:color w:val="auto"/>
                <w:highlight w:val="none"/>
                <w:lang w:eastAsia="zh-CN"/>
              </w:rPr>
            </w:pPr>
          </w:p>
          <w:p w14:paraId="117B3651">
            <w:pPr>
              <w:spacing w:line="245" w:lineRule="auto"/>
              <w:rPr>
                <w:color w:val="auto"/>
                <w:highlight w:val="none"/>
                <w:lang w:eastAsia="zh-CN"/>
              </w:rPr>
            </w:pPr>
          </w:p>
          <w:p w14:paraId="68325749">
            <w:pPr>
              <w:spacing w:line="245" w:lineRule="auto"/>
              <w:rPr>
                <w:color w:val="auto"/>
                <w:highlight w:val="none"/>
                <w:lang w:eastAsia="zh-CN"/>
              </w:rPr>
            </w:pPr>
          </w:p>
          <w:p w14:paraId="241D402D">
            <w:pPr>
              <w:spacing w:line="245" w:lineRule="auto"/>
              <w:rPr>
                <w:color w:val="auto"/>
                <w:highlight w:val="none"/>
                <w:lang w:eastAsia="zh-CN"/>
              </w:rPr>
            </w:pPr>
          </w:p>
          <w:p w14:paraId="08B66DE8">
            <w:pPr>
              <w:spacing w:line="245" w:lineRule="auto"/>
              <w:rPr>
                <w:color w:val="auto"/>
                <w:highlight w:val="none"/>
                <w:lang w:eastAsia="zh-CN"/>
              </w:rPr>
            </w:pPr>
          </w:p>
          <w:p w14:paraId="43A373BA">
            <w:pPr>
              <w:spacing w:line="245" w:lineRule="auto"/>
              <w:rPr>
                <w:color w:val="auto"/>
                <w:highlight w:val="none"/>
                <w:lang w:eastAsia="zh-CN"/>
              </w:rPr>
            </w:pPr>
          </w:p>
          <w:p w14:paraId="2A96FB25">
            <w:pPr>
              <w:spacing w:line="245" w:lineRule="auto"/>
              <w:rPr>
                <w:color w:val="auto"/>
                <w:highlight w:val="none"/>
                <w:lang w:eastAsia="zh-CN"/>
              </w:rPr>
            </w:pPr>
          </w:p>
          <w:p w14:paraId="76FF1E3F">
            <w:pPr>
              <w:spacing w:line="245" w:lineRule="auto"/>
              <w:rPr>
                <w:color w:val="auto"/>
                <w:highlight w:val="none"/>
                <w:lang w:eastAsia="zh-CN"/>
              </w:rPr>
            </w:pPr>
          </w:p>
          <w:p w14:paraId="70964BC7">
            <w:pPr>
              <w:spacing w:line="245" w:lineRule="auto"/>
              <w:rPr>
                <w:color w:val="auto"/>
                <w:highlight w:val="none"/>
                <w:lang w:eastAsia="zh-CN"/>
              </w:rPr>
            </w:pPr>
          </w:p>
          <w:p w14:paraId="6915CE18">
            <w:pPr>
              <w:pStyle w:val="33"/>
              <w:spacing w:before="78" w:line="239" w:lineRule="auto"/>
              <w:ind w:left="596"/>
              <w:rPr>
                <w:color w:val="auto"/>
                <w:highlight w:val="none"/>
              </w:rPr>
            </w:pPr>
            <w:r>
              <w:rPr>
                <w:color w:val="auto"/>
                <w:spacing w:val="-2"/>
                <w:highlight w:val="none"/>
              </w:rPr>
              <w:t>4.2</w:t>
            </w:r>
          </w:p>
        </w:tc>
        <w:tc>
          <w:tcPr>
            <w:tcW w:w="1672" w:type="dxa"/>
          </w:tcPr>
          <w:p w14:paraId="0DBB4C60">
            <w:pPr>
              <w:spacing w:line="253" w:lineRule="auto"/>
              <w:rPr>
                <w:color w:val="auto"/>
                <w:highlight w:val="none"/>
              </w:rPr>
            </w:pPr>
          </w:p>
          <w:p w14:paraId="5CBE5EB1">
            <w:pPr>
              <w:spacing w:line="253" w:lineRule="auto"/>
              <w:rPr>
                <w:color w:val="auto"/>
                <w:highlight w:val="none"/>
              </w:rPr>
            </w:pPr>
          </w:p>
          <w:p w14:paraId="74B537A2">
            <w:pPr>
              <w:spacing w:line="253" w:lineRule="auto"/>
              <w:rPr>
                <w:color w:val="auto"/>
                <w:highlight w:val="none"/>
              </w:rPr>
            </w:pPr>
          </w:p>
          <w:p w14:paraId="1CB2B0E0">
            <w:pPr>
              <w:spacing w:line="253" w:lineRule="auto"/>
              <w:rPr>
                <w:color w:val="auto"/>
                <w:highlight w:val="none"/>
              </w:rPr>
            </w:pPr>
          </w:p>
          <w:p w14:paraId="5B4B98F2">
            <w:pPr>
              <w:spacing w:line="253" w:lineRule="auto"/>
              <w:rPr>
                <w:color w:val="auto"/>
                <w:highlight w:val="none"/>
              </w:rPr>
            </w:pPr>
          </w:p>
          <w:p w14:paraId="3349E572">
            <w:pPr>
              <w:spacing w:line="253" w:lineRule="auto"/>
              <w:rPr>
                <w:color w:val="auto"/>
                <w:highlight w:val="none"/>
              </w:rPr>
            </w:pPr>
          </w:p>
          <w:p w14:paraId="5C2A0393">
            <w:pPr>
              <w:spacing w:line="253" w:lineRule="auto"/>
              <w:rPr>
                <w:color w:val="auto"/>
                <w:highlight w:val="none"/>
              </w:rPr>
            </w:pPr>
          </w:p>
          <w:p w14:paraId="1B0177E8">
            <w:pPr>
              <w:spacing w:line="253" w:lineRule="auto"/>
              <w:rPr>
                <w:color w:val="auto"/>
                <w:highlight w:val="none"/>
              </w:rPr>
            </w:pPr>
          </w:p>
          <w:p w14:paraId="715096D6">
            <w:pPr>
              <w:spacing w:line="253" w:lineRule="auto"/>
              <w:rPr>
                <w:color w:val="auto"/>
                <w:highlight w:val="none"/>
              </w:rPr>
            </w:pPr>
          </w:p>
          <w:p w14:paraId="585E4EAC">
            <w:pPr>
              <w:spacing w:line="254" w:lineRule="auto"/>
              <w:rPr>
                <w:color w:val="auto"/>
                <w:highlight w:val="none"/>
              </w:rPr>
            </w:pPr>
          </w:p>
          <w:p w14:paraId="18062CEE">
            <w:pPr>
              <w:spacing w:line="254" w:lineRule="auto"/>
              <w:rPr>
                <w:color w:val="auto"/>
                <w:highlight w:val="none"/>
              </w:rPr>
            </w:pPr>
          </w:p>
          <w:p w14:paraId="5A69EBCF">
            <w:pPr>
              <w:spacing w:line="254" w:lineRule="auto"/>
              <w:rPr>
                <w:color w:val="auto"/>
                <w:highlight w:val="none"/>
              </w:rPr>
            </w:pPr>
          </w:p>
          <w:p w14:paraId="36A152E6">
            <w:pPr>
              <w:spacing w:line="254" w:lineRule="auto"/>
              <w:rPr>
                <w:color w:val="auto"/>
                <w:highlight w:val="none"/>
              </w:rPr>
            </w:pPr>
          </w:p>
          <w:p w14:paraId="18E70E1B">
            <w:pPr>
              <w:spacing w:line="254" w:lineRule="auto"/>
              <w:rPr>
                <w:color w:val="auto"/>
                <w:highlight w:val="none"/>
              </w:rPr>
            </w:pPr>
          </w:p>
          <w:p w14:paraId="23DC805D">
            <w:pPr>
              <w:pStyle w:val="33"/>
              <w:spacing w:before="78" w:line="361" w:lineRule="auto"/>
              <w:ind w:left="119" w:right="110" w:firstLine="21"/>
              <w:rPr>
                <w:color w:val="auto"/>
                <w:highlight w:val="none"/>
              </w:rPr>
            </w:pPr>
            <w:r>
              <w:rPr>
                <w:color w:val="auto"/>
                <w:spacing w:val="-5"/>
                <w:highlight w:val="none"/>
              </w:rPr>
              <w:t>电子化交易注</w:t>
            </w:r>
            <w:r>
              <w:rPr>
                <w:color w:val="auto"/>
                <w:spacing w:val="-4"/>
                <w:highlight w:val="none"/>
              </w:rPr>
              <w:t>意事项</w:t>
            </w:r>
          </w:p>
        </w:tc>
        <w:tc>
          <w:tcPr>
            <w:tcW w:w="6533" w:type="dxa"/>
          </w:tcPr>
          <w:p w14:paraId="1281EBEB">
            <w:pPr>
              <w:pStyle w:val="33"/>
              <w:spacing w:before="169" w:line="314" w:lineRule="auto"/>
              <w:ind w:left="114" w:right="114" w:firstLine="4"/>
              <w:rPr>
                <w:color w:val="auto"/>
                <w:highlight w:val="none"/>
                <w:lang w:eastAsia="zh-CN"/>
              </w:rPr>
            </w:pPr>
            <w:r>
              <w:rPr>
                <w:color w:val="auto"/>
                <w:spacing w:val="2"/>
                <w:highlight w:val="none"/>
                <w:lang w:eastAsia="zh-CN"/>
              </w:rPr>
              <w:t>具体要求：本项目为电子化、无纸化交易项目，响应文件是供应商通过中心响应文件制作系统制作，并经过签章和加密</w:t>
            </w:r>
            <w:r>
              <w:rPr>
                <w:color w:val="auto"/>
                <w:spacing w:val="-4"/>
                <w:highlight w:val="none"/>
                <w:lang w:eastAsia="zh-CN"/>
              </w:rPr>
              <w:t>后生成的电子版响应文件。</w:t>
            </w:r>
          </w:p>
          <w:p w14:paraId="3C12AFF3">
            <w:pPr>
              <w:pStyle w:val="33"/>
              <w:spacing w:line="393" w:lineRule="auto"/>
              <w:ind w:left="112" w:right="105" w:firstLine="30"/>
              <w:rPr>
                <w:color w:val="auto"/>
                <w:highlight w:val="none"/>
              </w:rPr>
            </w:pPr>
            <w:r>
              <w:rPr>
                <w:color w:val="auto"/>
                <w:spacing w:val="1"/>
                <w:highlight w:val="none"/>
              </w:rPr>
              <w:t>电子化响应文件具体制作文件请点击</w:t>
            </w:r>
            <w:r>
              <w:rPr>
                <w:highlight w:val="none"/>
              </w:rPr>
              <w:fldChar w:fldCharType="begin"/>
            </w:r>
            <w:r>
              <w:rPr>
                <w:highlight w:val="none"/>
              </w:rPr>
              <w:instrText xml:space="preserve"> HYPERLINK "http://t.cn/A6ZvtVob" </w:instrText>
            </w:r>
            <w:r>
              <w:rPr>
                <w:highlight w:val="none"/>
              </w:rPr>
              <w:fldChar w:fldCharType="separate"/>
            </w:r>
            <w:r>
              <w:rPr>
                <w:color w:val="auto"/>
                <w:highlight w:val="none"/>
              </w:rPr>
              <w:t>http</w:t>
            </w:r>
            <w:r>
              <w:rPr>
                <w:color w:val="auto"/>
                <w:spacing w:val="1"/>
                <w:highlight w:val="none"/>
              </w:rPr>
              <w:t>://t.</w:t>
            </w:r>
            <w:r>
              <w:rPr>
                <w:color w:val="auto"/>
                <w:highlight w:val="none"/>
              </w:rPr>
              <w:t>cn</w:t>
            </w:r>
            <w:r>
              <w:rPr>
                <w:color w:val="auto"/>
                <w:spacing w:val="1"/>
                <w:highlight w:val="none"/>
              </w:rPr>
              <w:t>/A6</w:t>
            </w:r>
            <w:r>
              <w:rPr>
                <w:color w:val="auto"/>
                <w:highlight w:val="none"/>
              </w:rPr>
              <w:t>ZvtVob</w:t>
            </w:r>
            <w:r>
              <w:rPr>
                <w:color w:val="auto"/>
                <w:highlight w:val="none"/>
              </w:rPr>
              <w:fldChar w:fldCharType="end"/>
            </w:r>
            <w:r>
              <w:rPr>
                <w:color w:val="auto"/>
                <w:spacing w:val="-7"/>
                <w:highlight w:val="none"/>
              </w:rPr>
              <w:t>进行下载。</w:t>
            </w:r>
          </w:p>
          <w:p w14:paraId="0A667C2C">
            <w:pPr>
              <w:pStyle w:val="33"/>
              <w:spacing w:before="73" w:line="357" w:lineRule="auto"/>
              <w:ind w:left="116" w:right="114"/>
              <w:rPr>
                <w:color w:val="auto"/>
                <w:highlight w:val="none"/>
                <w:lang w:eastAsia="zh-CN"/>
              </w:rPr>
            </w:pPr>
            <w:r>
              <w:rPr>
                <w:color w:val="auto"/>
                <w:spacing w:val="2"/>
                <w:highlight w:val="none"/>
                <w:lang w:eastAsia="zh-CN"/>
              </w:rPr>
              <w:t>温馨提示：本项目为电子化、无纸化交易项目，为保证您能</w:t>
            </w:r>
            <w:r>
              <w:rPr>
                <w:color w:val="auto"/>
                <w:spacing w:val="-3"/>
                <w:highlight w:val="none"/>
                <w:lang w:eastAsia="zh-CN"/>
              </w:rPr>
              <w:t>投标成功，请需仔细阅读以下条款。</w:t>
            </w:r>
          </w:p>
          <w:p w14:paraId="339A1C4A">
            <w:pPr>
              <w:pStyle w:val="33"/>
              <w:spacing w:line="220" w:lineRule="auto"/>
              <w:ind w:left="118"/>
              <w:rPr>
                <w:color w:val="auto"/>
                <w:highlight w:val="none"/>
                <w:lang w:eastAsia="zh-CN"/>
              </w:rPr>
            </w:pPr>
            <w:r>
              <w:rPr>
                <w:color w:val="auto"/>
                <w:spacing w:val="-3"/>
                <w:highlight w:val="none"/>
                <w:lang w:eastAsia="zh-CN"/>
              </w:rPr>
              <w:t>一、电子化投标</w:t>
            </w:r>
          </w:p>
          <w:p w14:paraId="554CF1D6">
            <w:pPr>
              <w:pStyle w:val="33"/>
              <w:spacing w:before="175" w:line="288" w:lineRule="auto"/>
              <w:ind w:left="115" w:right="3302" w:firstLine="5"/>
              <w:rPr>
                <w:color w:val="auto"/>
                <w:highlight w:val="none"/>
                <w:lang w:eastAsia="zh-CN"/>
              </w:rPr>
            </w:pPr>
            <w:r>
              <w:rPr>
                <w:color w:val="auto"/>
                <w:spacing w:val="-2"/>
                <w:highlight w:val="none"/>
                <w:lang w:eastAsia="zh-CN"/>
              </w:rPr>
              <w:t>（一）网上投标保证金的缴纳</w:t>
            </w:r>
            <w:r>
              <w:rPr>
                <w:color w:val="auto"/>
                <w:spacing w:val="-4"/>
                <w:highlight w:val="none"/>
                <w:lang w:eastAsia="zh-CN"/>
              </w:rPr>
              <w:t>本项目不收取投标保证金。</w:t>
            </w:r>
          </w:p>
          <w:p w14:paraId="2F586DAC">
            <w:pPr>
              <w:pStyle w:val="33"/>
              <w:spacing w:before="181" w:line="219" w:lineRule="auto"/>
              <w:ind w:left="120"/>
              <w:rPr>
                <w:color w:val="auto"/>
                <w:highlight w:val="none"/>
                <w:lang w:eastAsia="zh-CN"/>
              </w:rPr>
            </w:pPr>
            <w:r>
              <w:rPr>
                <w:color w:val="auto"/>
                <w:spacing w:val="-3"/>
                <w:highlight w:val="none"/>
                <w:lang w:eastAsia="zh-CN"/>
              </w:rPr>
              <w:t>（二）电子化响应文件的签章</w:t>
            </w:r>
          </w:p>
          <w:p w14:paraId="7774C992">
            <w:pPr>
              <w:pStyle w:val="33"/>
              <w:spacing w:before="178" w:line="288" w:lineRule="auto"/>
              <w:ind w:left="118" w:right="115" w:firstLine="13"/>
              <w:rPr>
                <w:color w:val="auto"/>
                <w:highlight w:val="none"/>
                <w:lang w:eastAsia="zh-CN"/>
              </w:rPr>
            </w:pPr>
            <w:r>
              <w:rPr>
                <w:color w:val="auto"/>
                <w:spacing w:val="-7"/>
                <w:highlight w:val="none"/>
                <w:lang w:eastAsia="zh-CN"/>
              </w:rPr>
              <w:t>1、投标人在生成电子化投标文件后， 应对电子化</w:t>
            </w:r>
            <w:r>
              <w:rPr>
                <w:color w:val="auto"/>
                <w:spacing w:val="-8"/>
                <w:highlight w:val="none"/>
                <w:lang w:eastAsia="zh-CN"/>
              </w:rPr>
              <w:t>投标文件进</w:t>
            </w:r>
            <w:r>
              <w:rPr>
                <w:color w:val="auto"/>
                <w:spacing w:val="-3"/>
                <w:highlight w:val="none"/>
                <w:lang w:eastAsia="zh-CN"/>
              </w:rPr>
              <w:t>行签章，未进行签章的视为无效投标。</w:t>
            </w:r>
          </w:p>
          <w:p w14:paraId="6AA9DC13">
            <w:pPr>
              <w:pStyle w:val="33"/>
              <w:spacing w:before="183" w:line="310" w:lineRule="auto"/>
              <w:ind w:left="117" w:right="114"/>
              <w:rPr>
                <w:color w:val="auto"/>
                <w:highlight w:val="none"/>
                <w:lang w:eastAsia="zh-CN"/>
              </w:rPr>
            </w:pPr>
            <w:r>
              <w:rPr>
                <w:color w:val="auto"/>
                <w:spacing w:val="-3"/>
                <w:highlight w:val="none"/>
                <w:lang w:eastAsia="zh-CN"/>
              </w:rPr>
              <w:t>2、招标文件中要求法定代表人或授权委托人签字或盖章的，</w:t>
            </w:r>
            <w:r>
              <w:rPr>
                <w:color w:val="auto"/>
                <w:spacing w:val="2"/>
                <w:highlight w:val="none"/>
                <w:lang w:eastAsia="zh-CN"/>
              </w:rPr>
              <w:t>投标人在进行电子化投标文件签章时，以签盖法定代表人签</w:t>
            </w:r>
            <w:r>
              <w:rPr>
                <w:color w:val="auto"/>
                <w:spacing w:val="-9"/>
                <w:highlight w:val="none"/>
                <w:lang w:eastAsia="zh-CN"/>
              </w:rPr>
              <w:t>章为准。</w:t>
            </w:r>
          </w:p>
          <w:p w14:paraId="7D802D75">
            <w:pPr>
              <w:pStyle w:val="33"/>
              <w:spacing w:before="181" w:line="219" w:lineRule="auto"/>
              <w:ind w:left="120"/>
              <w:rPr>
                <w:color w:val="auto"/>
                <w:highlight w:val="none"/>
                <w:lang w:eastAsia="zh-CN"/>
              </w:rPr>
            </w:pPr>
            <w:r>
              <w:rPr>
                <w:color w:val="auto"/>
                <w:spacing w:val="-2"/>
                <w:highlight w:val="none"/>
                <w:lang w:eastAsia="zh-CN"/>
              </w:rPr>
              <w:t>（三）电子化投标文件的格式及上传投标</w:t>
            </w:r>
          </w:p>
        </w:tc>
      </w:tr>
    </w:tbl>
    <w:p w14:paraId="6634D233">
      <w:pPr>
        <w:spacing w:before="19"/>
        <w:rPr>
          <w:color w:val="auto"/>
          <w:highlight w:val="none"/>
          <w:lang w:eastAsia="zh-CN"/>
        </w:rPr>
      </w:pPr>
      <w:r>
        <w:rPr>
          <w:color w:val="auto"/>
          <w:highlight w:val="none"/>
        </w:rPr>
        <w:pict>
          <v:shape id="_x0000_s1027" o:spid="_x0000_s1027" style="position:absolute;left:0pt;margin-left:88.55pt;margin-top:54.6pt;height:0.75pt;width:444.55pt;mso-position-horizontal-relative:page;mso-position-vertical-relative:page;z-index:251661312;mso-width-relative:page;mso-height-relative:page;" fillcolor="#000000" filled="t" stroked="f" coordsize="8890,15" o:allowincell="f" path="m0,14l8890,14,8890,0,0,0,0,14xe">
            <v:path/>
            <v:fill on="t" focussize="0,0"/>
            <v:stroke on="f"/>
            <v:imagedata o:title=""/>
            <o:lock v:ext="edit"/>
          </v:shape>
        </w:pict>
      </w:r>
    </w:p>
    <w:p w14:paraId="20BA730E">
      <w:pPr>
        <w:spacing w:before="19"/>
        <w:rPr>
          <w:color w:val="auto"/>
          <w:highlight w:val="none"/>
          <w:lang w:eastAsia="zh-CN"/>
        </w:rPr>
      </w:pPr>
    </w:p>
    <w:p w14:paraId="342FD7F6">
      <w:pPr>
        <w:spacing w:before="18"/>
        <w:rPr>
          <w:color w:val="auto"/>
          <w:highlight w:val="none"/>
          <w:lang w:eastAsia="zh-CN"/>
        </w:rPr>
      </w:pPr>
    </w:p>
    <w:p w14:paraId="7DC80FEF">
      <w:pPr>
        <w:spacing w:before="18"/>
        <w:rPr>
          <w:color w:val="auto"/>
          <w:highlight w:val="none"/>
          <w:lang w:eastAsia="zh-CN"/>
        </w:rPr>
      </w:pPr>
    </w:p>
    <w:tbl>
      <w:tblPr>
        <w:tblStyle w:val="32"/>
        <w:tblW w:w="9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8"/>
        <w:gridCol w:w="1672"/>
        <w:gridCol w:w="6533"/>
      </w:tblGrid>
      <w:tr w14:paraId="0CABC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31" w:hRule="atLeast"/>
        </w:trPr>
        <w:tc>
          <w:tcPr>
            <w:tcW w:w="1168" w:type="dxa"/>
          </w:tcPr>
          <w:p w14:paraId="5D2196A8">
            <w:pPr>
              <w:rPr>
                <w:color w:val="auto"/>
                <w:highlight w:val="none"/>
                <w:lang w:eastAsia="zh-CN"/>
              </w:rPr>
            </w:pPr>
          </w:p>
        </w:tc>
        <w:tc>
          <w:tcPr>
            <w:tcW w:w="1672" w:type="dxa"/>
          </w:tcPr>
          <w:p w14:paraId="132638BB">
            <w:pPr>
              <w:rPr>
                <w:color w:val="auto"/>
                <w:highlight w:val="none"/>
                <w:lang w:eastAsia="zh-CN"/>
              </w:rPr>
            </w:pPr>
          </w:p>
        </w:tc>
        <w:tc>
          <w:tcPr>
            <w:tcW w:w="6533" w:type="dxa"/>
          </w:tcPr>
          <w:p w14:paraId="741A57BA">
            <w:pPr>
              <w:pStyle w:val="33"/>
              <w:spacing w:before="167" w:line="340" w:lineRule="auto"/>
              <w:ind w:left="112" w:right="105" w:firstLine="19"/>
              <w:rPr>
                <w:color w:val="auto"/>
                <w:highlight w:val="none"/>
                <w:lang w:eastAsia="zh-CN"/>
              </w:rPr>
            </w:pPr>
            <w:r>
              <w:rPr>
                <w:color w:val="auto"/>
                <w:spacing w:val="-7"/>
                <w:highlight w:val="none"/>
              </w:rPr>
              <w:t>1、投标人所上传的电子化投标文件， 应是通过中心投标文件</w:t>
            </w:r>
            <w:r>
              <w:rPr>
                <w:color w:val="auto"/>
                <w:spacing w:val="-2"/>
                <w:highlight w:val="none"/>
              </w:rPr>
              <w:t>制作系统制作的（投标文件制作工具下载地址：</w:t>
            </w:r>
            <w:r>
              <w:rPr>
                <w:highlight w:val="none"/>
              </w:rPr>
              <w:fldChar w:fldCharType="begin"/>
            </w:r>
            <w:r>
              <w:rPr>
                <w:highlight w:val="none"/>
              </w:rPr>
              <w:instrText xml:space="preserve"> HYPERLINK "http://120.194.249.36:10094/BidOpening/bidopeninghallaction/hall/login" </w:instrText>
            </w:r>
            <w:r>
              <w:rPr>
                <w:highlight w:val="none"/>
              </w:rPr>
              <w:fldChar w:fldCharType="separate"/>
            </w:r>
            <w:r>
              <w:rPr>
                <w:color w:val="auto"/>
                <w:spacing w:val="-2"/>
                <w:highlight w:val="none"/>
              </w:rPr>
              <w:t>https://dow</w:t>
            </w:r>
            <w:r>
              <w:rPr>
                <w:color w:val="auto"/>
                <w:spacing w:val="-2"/>
                <w:highlight w:val="none"/>
              </w:rPr>
              <w:fldChar w:fldCharType="end"/>
            </w:r>
            <w:r>
              <w:rPr>
                <w:color w:val="auto"/>
                <w:spacing w:val="13"/>
                <w:highlight w:val="none"/>
              </w:rPr>
              <w:t xml:space="preserve"> </w:t>
            </w:r>
            <w:r>
              <w:rPr>
                <w:highlight w:val="none"/>
              </w:rPr>
              <w:fldChar w:fldCharType="begin"/>
            </w:r>
            <w:r>
              <w:rPr>
                <w:highlight w:val="none"/>
              </w:rPr>
              <w:instrText xml:space="preserve"> HYPERLINK "http://120.194.249.36:10094/BidOpening/bidopeninghallaction/hall/login" </w:instrText>
            </w:r>
            <w:r>
              <w:rPr>
                <w:highlight w:val="none"/>
              </w:rPr>
              <w:fldChar w:fldCharType="separate"/>
            </w:r>
            <w:r>
              <w:rPr>
                <w:color w:val="auto"/>
                <w:highlight w:val="none"/>
              </w:rPr>
              <w:t>nload</w:t>
            </w:r>
            <w:r>
              <w:rPr>
                <w:color w:val="auto"/>
                <w:spacing w:val="10"/>
                <w:highlight w:val="none"/>
              </w:rPr>
              <w:t>.</w:t>
            </w:r>
            <w:r>
              <w:rPr>
                <w:color w:val="auto"/>
                <w:highlight w:val="none"/>
              </w:rPr>
              <w:t>bqpoint</w:t>
            </w:r>
            <w:r>
              <w:rPr>
                <w:color w:val="auto"/>
                <w:spacing w:val="10"/>
                <w:highlight w:val="none"/>
              </w:rPr>
              <w:t>.</w:t>
            </w:r>
            <w:r>
              <w:rPr>
                <w:color w:val="auto"/>
                <w:highlight w:val="none"/>
              </w:rPr>
              <w:t>com</w:t>
            </w:r>
            <w:r>
              <w:rPr>
                <w:color w:val="auto"/>
                <w:spacing w:val="10"/>
                <w:highlight w:val="none"/>
              </w:rPr>
              <w:t>/</w:t>
            </w:r>
            <w:r>
              <w:rPr>
                <w:color w:val="auto"/>
                <w:highlight w:val="none"/>
              </w:rPr>
              <w:t>download</w:t>
            </w:r>
            <w:r>
              <w:rPr>
                <w:color w:val="auto"/>
                <w:spacing w:val="10"/>
                <w:highlight w:val="none"/>
              </w:rPr>
              <w:t>/</w:t>
            </w:r>
            <w:r>
              <w:rPr>
                <w:color w:val="auto"/>
                <w:highlight w:val="none"/>
              </w:rPr>
              <w:t>downloadlist</w:t>
            </w:r>
            <w:r>
              <w:rPr>
                <w:color w:val="auto"/>
                <w:spacing w:val="10"/>
                <w:highlight w:val="none"/>
              </w:rPr>
              <w:t>.</w:t>
            </w:r>
            <w:r>
              <w:rPr>
                <w:color w:val="auto"/>
                <w:highlight w:val="none"/>
              </w:rPr>
              <w:t>html</w:t>
            </w:r>
            <w:r>
              <w:rPr>
                <w:color w:val="auto"/>
                <w:spacing w:val="10"/>
                <w:highlight w:val="none"/>
              </w:rPr>
              <w:t>?</w:t>
            </w:r>
            <w:r>
              <w:rPr>
                <w:color w:val="auto"/>
                <w:highlight w:val="none"/>
              </w:rPr>
              <w:t>SoftTyp</w:t>
            </w:r>
            <w:r>
              <w:rPr>
                <w:color w:val="auto"/>
                <w:highlight w:val="none"/>
              </w:rPr>
              <w:fldChar w:fldCharType="end"/>
            </w:r>
            <w:r>
              <w:rPr>
                <w:color w:val="auto"/>
                <w:spacing w:val="2"/>
                <w:highlight w:val="none"/>
              </w:rPr>
              <w:t xml:space="preserve"> </w:t>
            </w:r>
            <w:r>
              <w:rPr>
                <w:highlight w:val="none"/>
              </w:rPr>
              <w:fldChar w:fldCharType="begin"/>
            </w:r>
            <w:r>
              <w:rPr>
                <w:highlight w:val="none"/>
              </w:rPr>
              <w:instrText xml:space="preserve"> HYPERLINK "http://120.194.249.36:10094/BidOpening/bidopeninghallaction/hall/login" </w:instrText>
            </w:r>
            <w:r>
              <w:rPr>
                <w:highlight w:val="none"/>
              </w:rPr>
              <w:fldChar w:fldCharType="separate"/>
            </w:r>
            <w:r>
              <w:rPr>
                <w:color w:val="auto"/>
                <w:highlight w:val="none"/>
              </w:rPr>
              <w:t>eCode</w:t>
            </w:r>
            <w:r>
              <w:rPr>
                <w:color w:val="auto"/>
                <w:spacing w:val="3"/>
                <w:highlight w:val="none"/>
              </w:rPr>
              <w:t>=</w:t>
            </w:r>
            <w:r>
              <w:rPr>
                <w:color w:val="auto"/>
                <w:spacing w:val="3"/>
                <w:highlight w:val="none"/>
              </w:rPr>
              <w:fldChar w:fldCharType="end"/>
            </w:r>
            <w:r>
              <w:rPr>
                <w:color w:val="auto"/>
                <w:spacing w:val="-3"/>
                <w:highlight w:val="none"/>
              </w:rPr>
              <w:t>），</w:t>
            </w:r>
            <w:r>
              <w:rPr>
                <w:color w:val="auto"/>
                <w:spacing w:val="3"/>
                <w:highlight w:val="none"/>
              </w:rPr>
              <w:t>经过签章和加密后生成的电子版投标文件。其中</w:t>
            </w:r>
            <w:r>
              <w:rPr>
                <w:color w:val="auto"/>
                <w:spacing w:val="2"/>
                <w:highlight w:val="none"/>
              </w:rPr>
              <w:t>包含用于投标文件上传的主文件（后缀为.</w:t>
            </w:r>
            <w:r>
              <w:rPr>
                <w:color w:val="auto"/>
                <w:highlight w:val="none"/>
              </w:rPr>
              <w:t>smxtf</w:t>
            </w:r>
            <w:r>
              <w:rPr>
                <w:color w:val="auto"/>
                <w:spacing w:val="2"/>
                <w:highlight w:val="none"/>
              </w:rPr>
              <w:t>）和用于应</w:t>
            </w:r>
            <w:r>
              <w:rPr>
                <w:color w:val="auto"/>
                <w:spacing w:val="-2"/>
                <w:highlight w:val="none"/>
              </w:rPr>
              <w:t>急补救的投标文件备份文件（后缀为.nsmxtf）。</w:t>
            </w:r>
            <w:r>
              <w:rPr>
                <w:color w:val="auto"/>
                <w:spacing w:val="-2"/>
                <w:highlight w:val="none"/>
                <w:lang w:eastAsia="zh-CN"/>
              </w:rPr>
              <w:t>备份文件主</w:t>
            </w:r>
            <w:r>
              <w:rPr>
                <w:color w:val="auto"/>
                <w:spacing w:val="2"/>
                <w:highlight w:val="none"/>
                <w:lang w:eastAsia="zh-CN"/>
              </w:rPr>
              <w:t>要用于电子化开标出现技术问题后的补救，请投标人随身携</w:t>
            </w:r>
            <w:r>
              <w:rPr>
                <w:color w:val="auto"/>
                <w:spacing w:val="-11"/>
                <w:highlight w:val="none"/>
                <w:lang w:eastAsia="zh-CN"/>
              </w:rPr>
              <w:t>带。</w:t>
            </w:r>
          </w:p>
          <w:p w14:paraId="5B4BB505">
            <w:pPr>
              <w:pStyle w:val="33"/>
              <w:spacing w:before="179" w:line="311" w:lineRule="auto"/>
              <w:ind w:left="117" w:right="114"/>
              <w:rPr>
                <w:color w:val="auto"/>
                <w:highlight w:val="none"/>
                <w:lang w:eastAsia="zh-CN"/>
              </w:rPr>
            </w:pPr>
            <w:r>
              <w:rPr>
                <w:color w:val="auto"/>
                <w:spacing w:val="-3"/>
                <w:highlight w:val="none"/>
                <w:lang w:eastAsia="zh-CN"/>
              </w:rPr>
              <w:t>2、电子化投标文件应在投标截止时间前成功上传至三门峡市</w:t>
            </w:r>
            <w:r>
              <w:rPr>
                <w:color w:val="auto"/>
                <w:spacing w:val="2"/>
                <w:highlight w:val="none"/>
                <w:lang w:eastAsia="zh-CN"/>
              </w:rPr>
              <w:t>公共资源电子化交易系统。至投标截止时间止，仍未上传成</w:t>
            </w:r>
            <w:r>
              <w:rPr>
                <w:color w:val="auto"/>
                <w:spacing w:val="-3"/>
                <w:highlight w:val="none"/>
                <w:lang w:eastAsia="zh-CN"/>
              </w:rPr>
              <w:t>功的电子化投标文件将不予接收。</w:t>
            </w:r>
          </w:p>
          <w:p w14:paraId="4E105D05">
            <w:pPr>
              <w:pStyle w:val="33"/>
              <w:spacing w:before="178" w:line="357" w:lineRule="auto"/>
              <w:ind w:left="115" w:right="114" w:hanging="1"/>
              <w:rPr>
                <w:color w:val="auto"/>
                <w:highlight w:val="none"/>
                <w:lang w:eastAsia="zh-CN"/>
              </w:rPr>
            </w:pPr>
            <w:r>
              <w:rPr>
                <w:color w:val="auto"/>
                <w:spacing w:val="2"/>
                <w:highlight w:val="none"/>
                <w:lang w:eastAsia="zh-CN"/>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w:t>
            </w:r>
            <w:r>
              <w:rPr>
                <w:color w:val="auto"/>
                <w:spacing w:val="-2"/>
                <w:highlight w:val="none"/>
                <w:lang w:eastAsia="zh-CN"/>
              </w:rPr>
              <w:t>未在投标截止时间前成功上传的，其投标文件不予接收。</w:t>
            </w:r>
          </w:p>
          <w:p w14:paraId="098B3A22">
            <w:pPr>
              <w:pStyle w:val="33"/>
              <w:spacing w:line="219" w:lineRule="auto"/>
              <w:ind w:left="115"/>
              <w:rPr>
                <w:color w:val="auto"/>
                <w:highlight w:val="none"/>
                <w:lang w:eastAsia="zh-CN"/>
              </w:rPr>
            </w:pPr>
            <w:r>
              <w:rPr>
                <w:color w:val="auto"/>
                <w:spacing w:val="-1"/>
                <w:highlight w:val="none"/>
                <w:lang w:eastAsia="zh-CN"/>
              </w:rPr>
              <w:t>技术联系电话： 4009980000</w:t>
            </w:r>
          </w:p>
          <w:p w14:paraId="7C099984">
            <w:pPr>
              <w:pStyle w:val="33"/>
              <w:spacing w:before="180" w:line="220" w:lineRule="auto"/>
              <w:ind w:left="120"/>
              <w:rPr>
                <w:color w:val="auto"/>
                <w:highlight w:val="none"/>
                <w:lang w:eastAsia="zh-CN"/>
              </w:rPr>
            </w:pPr>
            <w:r>
              <w:rPr>
                <w:color w:val="auto"/>
                <w:spacing w:val="-2"/>
                <w:highlight w:val="none"/>
                <w:lang w:eastAsia="zh-CN"/>
              </w:rPr>
              <w:t>（四）电子化项目开标、解密、唱标、评标</w:t>
            </w:r>
          </w:p>
          <w:p w14:paraId="0DD052C0">
            <w:pPr>
              <w:pStyle w:val="33"/>
              <w:spacing w:before="179" w:line="334" w:lineRule="auto"/>
              <w:ind w:left="113" w:right="105" w:firstLine="18"/>
              <w:rPr>
                <w:color w:val="auto"/>
                <w:highlight w:val="none"/>
                <w:lang w:eastAsia="zh-CN"/>
              </w:rPr>
            </w:pPr>
            <w:r>
              <w:rPr>
                <w:color w:val="auto"/>
                <w:spacing w:val="-9"/>
                <w:highlight w:val="none"/>
                <w:lang w:eastAsia="zh-CN"/>
              </w:rPr>
              <w:t>1、本项目采用电子化、无纸化进行招标，开标当日，</w:t>
            </w:r>
            <w:r>
              <w:rPr>
                <w:color w:val="auto"/>
                <w:spacing w:val="-10"/>
                <w:highlight w:val="none"/>
                <w:lang w:eastAsia="zh-CN"/>
              </w:rPr>
              <w:t>投标人</w:t>
            </w:r>
            <w:r>
              <w:rPr>
                <w:color w:val="auto"/>
                <w:spacing w:val="2"/>
                <w:highlight w:val="none"/>
                <w:lang w:eastAsia="zh-CN"/>
              </w:rPr>
              <w:t>无需到开标现场参加开标会议，投标人应当在投标截止时间前，登录不见面开标大厅选择登录三门峡市公共资源电子招</w:t>
            </w:r>
            <w:r>
              <w:rPr>
                <w:color w:val="auto"/>
                <w:spacing w:val="-1"/>
                <w:highlight w:val="none"/>
                <w:lang w:eastAsia="zh-CN"/>
              </w:rPr>
              <w:t xml:space="preserve">投标系统进行登录（网址为  </w:t>
            </w:r>
            <w:r>
              <w:rPr>
                <w:highlight w:val="none"/>
              </w:rPr>
              <w:fldChar w:fldCharType="begin"/>
            </w:r>
            <w:r>
              <w:rPr>
                <w:highlight w:val="none"/>
              </w:rPr>
              <w:instrText xml:space="preserve"> HYPERLINK "http://120.194.249.36:10094/BidOpening/bidopeninghallaction/hall/login" </w:instrText>
            </w:r>
            <w:r>
              <w:rPr>
                <w:highlight w:val="none"/>
              </w:rPr>
              <w:fldChar w:fldCharType="separate"/>
            </w:r>
            <w:r>
              <w:rPr>
                <w:color w:val="auto"/>
                <w:spacing w:val="-1"/>
                <w:highlight w:val="none"/>
                <w:lang w:eastAsia="zh-CN"/>
              </w:rPr>
              <w:t>http://120.194.</w:t>
            </w:r>
            <w:r>
              <w:rPr>
                <w:color w:val="auto"/>
                <w:spacing w:val="-2"/>
                <w:highlight w:val="none"/>
                <w:lang w:eastAsia="zh-CN"/>
              </w:rPr>
              <w:t>249.36:10094</w:t>
            </w:r>
            <w:r>
              <w:rPr>
                <w:color w:val="auto"/>
                <w:spacing w:val="-2"/>
                <w:highlight w:val="none"/>
                <w:lang w:eastAsia="zh-CN"/>
              </w:rPr>
              <w:fldChar w:fldCharType="end"/>
            </w:r>
            <w:r>
              <w:rPr>
                <w:color w:val="auto"/>
                <w:highlight w:val="none"/>
                <w:lang w:eastAsia="zh-CN"/>
              </w:rPr>
              <w:t xml:space="preserve"> </w:t>
            </w:r>
            <w:r>
              <w:rPr>
                <w:highlight w:val="none"/>
              </w:rPr>
              <w:fldChar w:fldCharType="begin"/>
            </w:r>
            <w:r>
              <w:rPr>
                <w:highlight w:val="none"/>
              </w:rPr>
              <w:instrText xml:space="preserve"> HYPERLINK "http://120.194.249.36:10094/BidOpening/bidopeninghallaction/hall/login" </w:instrText>
            </w:r>
            <w:r>
              <w:rPr>
                <w:highlight w:val="none"/>
              </w:rPr>
              <w:fldChar w:fldCharType="separate"/>
            </w:r>
            <w:r>
              <w:rPr>
                <w:color w:val="auto"/>
                <w:spacing w:val="-1"/>
                <w:highlight w:val="none"/>
                <w:lang w:eastAsia="zh-CN"/>
              </w:rPr>
              <w:t>/BidOpening/bidopeninghallaction/hall/login</w:t>
            </w:r>
            <w:r>
              <w:rPr>
                <w:color w:val="auto"/>
                <w:spacing w:val="-1"/>
                <w:highlight w:val="none"/>
                <w:lang w:eastAsia="zh-CN"/>
              </w:rPr>
              <w:fldChar w:fldCharType="end"/>
            </w:r>
            <w:r>
              <w:rPr>
                <w:color w:val="auto"/>
                <w:spacing w:val="-2"/>
                <w:highlight w:val="none"/>
                <w:lang w:eastAsia="zh-CN"/>
              </w:rPr>
              <w:t>，在线准时</w:t>
            </w:r>
            <w:r>
              <w:rPr>
                <w:color w:val="auto"/>
                <w:spacing w:val="-3"/>
                <w:highlight w:val="none"/>
                <w:lang w:eastAsia="zh-CN"/>
              </w:rPr>
              <w:t>参加开标活动并进行投标文件解密等。</w:t>
            </w:r>
          </w:p>
          <w:p w14:paraId="0D382E54">
            <w:pPr>
              <w:pStyle w:val="33"/>
              <w:spacing w:before="175" w:line="323" w:lineRule="auto"/>
              <w:ind w:left="114" w:right="105" w:firstLine="2"/>
              <w:rPr>
                <w:color w:val="auto"/>
                <w:highlight w:val="none"/>
                <w:lang w:eastAsia="zh-CN"/>
              </w:rPr>
            </w:pPr>
            <w:r>
              <w:rPr>
                <w:color w:val="auto"/>
                <w:spacing w:val="-10"/>
                <w:highlight w:val="none"/>
                <w:lang w:eastAsia="zh-CN"/>
              </w:rPr>
              <w:t>2、电子化投标文件采用一次加密方式。开标时，由投标人使</w:t>
            </w:r>
            <w:r>
              <w:rPr>
                <w:color w:val="auto"/>
                <w:spacing w:val="-3"/>
                <w:highlight w:val="none"/>
                <w:lang w:eastAsia="zh-CN"/>
              </w:rPr>
              <w:t>用CA证书，在规定时间内对其电子化投标文件进行解密。每位投标人的解密时间为开标时间起</w:t>
            </w:r>
            <w:r>
              <w:rPr>
                <w:color w:val="auto"/>
                <w:spacing w:val="-45"/>
                <w:highlight w:val="none"/>
                <w:lang w:eastAsia="zh-CN"/>
              </w:rPr>
              <w:t xml:space="preserve"> </w:t>
            </w:r>
            <w:r>
              <w:rPr>
                <w:color w:val="auto"/>
                <w:spacing w:val="-3"/>
                <w:highlight w:val="none"/>
                <w:lang w:eastAsia="zh-CN"/>
              </w:rPr>
              <w:t>30</w:t>
            </w:r>
            <w:r>
              <w:rPr>
                <w:color w:val="auto"/>
                <w:spacing w:val="-48"/>
                <w:highlight w:val="none"/>
                <w:lang w:eastAsia="zh-CN"/>
              </w:rPr>
              <w:t xml:space="preserve"> </w:t>
            </w:r>
            <w:r>
              <w:rPr>
                <w:color w:val="auto"/>
                <w:spacing w:val="-3"/>
                <w:highlight w:val="none"/>
                <w:lang w:eastAsia="zh-CN"/>
              </w:rPr>
              <w:t>分钟内，如在规定时间</w:t>
            </w:r>
            <w:r>
              <w:rPr>
                <w:color w:val="auto"/>
                <w:spacing w:val="-2"/>
                <w:highlight w:val="none"/>
                <w:lang w:eastAsia="zh-CN"/>
              </w:rPr>
              <w:t>内未完成解密的，其投标文件不予开标、唱</w:t>
            </w:r>
            <w:r>
              <w:rPr>
                <w:color w:val="auto"/>
                <w:spacing w:val="-3"/>
                <w:highlight w:val="none"/>
                <w:lang w:eastAsia="zh-CN"/>
              </w:rPr>
              <w:t>标。</w:t>
            </w:r>
          </w:p>
          <w:p w14:paraId="3CCEC0E0">
            <w:pPr>
              <w:pStyle w:val="33"/>
              <w:spacing w:before="178" w:line="220" w:lineRule="auto"/>
              <w:ind w:left="119"/>
              <w:rPr>
                <w:color w:val="auto"/>
                <w:highlight w:val="none"/>
                <w:lang w:eastAsia="zh-CN"/>
              </w:rPr>
            </w:pPr>
            <w:r>
              <w:rPr>
                <w:color w:val="auto"/>
                <w:spacing w:val="-1"/>
                <w:highlight w:val="none"/>
                <w:lang w:eastAsia="zh-CN"/>
              </w:rPr>
              <w:t>3、电子化投标文件解密异常的处理</w:t>
            </w:r>
          </w:p>
          <w:p w14:paraId="70D4D053">
            <w:pPr>
              <w:pStyle w:val="33"/>
              <w:spacing w:before="179" w:line="220" w:lineRule="auto"/>
              <w:ind w:left="118"/>
              <w:rPr>
                <w:color w:val="auto"/>
                <w:highlight w:val="none"/>
                <w:lang w:eastAsia="zh-CN"/>
              </w:rPr>
            </w:pPr>
            <w:r>
              <w:rPr>
                <w:color w:val="auto"/>
                <w:spacing w:val="2"/>
                <w:highlight w:val="none"/>
                <w:lang w:eastAsia="zh-CN"/>
              </w:rPr>
              <w:t>如出现投标人的电子投标文件无法解密等异常情况，投标人</w:t>
            </w:r>
          </w:p>
        </w:tc>
      </w:tr>
    </w:tbl>
    <w:p w14:paraId="6C30FFC2">
      <w:pPr>
        <w:spacing w:before="19"/>
        <w:rPr>
          <w:rFonts w:eastAsiaTheme="minorEastAsia"/>
          <w:highlight w:val="none"/>
          <w:lang w:eastAsia="zh-CN"/>
        </w:rPr>
      </w:pPr>
      <w:r>
        <w:rPr>
          <w:highlight w:val="none"/>
        </w:rPr>
        <w:pict>
          <v:shape id="_x0000_s1028" o:spid="_x0000_s1028" style="position:absolute;left:0pt;margin-left:88.55pt;margin-top:54.6pt;height:0.75pt;width:444.55pt;mso-position-horizontal-relative:page;mso-position-vertical-relative:page;z-index:251662336;mso-width-relative:page;mso-height-relative:page;" fillcolor="#000000" filled="t" stroked="f" coordsize="8890,15" o:allowincell="f" path="m0,14l8890,14,8890,0,0,0,0,14xe">
            <v:path/>
            <v:fill on="t" focussize="0,0"/>
            <v:stroke on="f"/>
            <v:imagedata o:title=""/>
            <o:lock v:ext="edit"/>
          </v:shape>
        </w:pict>
      </w:r>
    </w:p>
    <w:tbl>
      <w:tblPr>
        <w:tblStyle w:val="32"/>
        <w:tblW w:w="9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8"/>
        <w:gridCol w:w="1672"/>
        <w:gridCol w:w="6533"/>
      </w:tblGrid>
      <w:tr w14:paraId="58D76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31" w:hRule="atLeast"/>
        </w:trPr>
        <w:tc>
          <w:tcPr>
            <w:tcW w:w="1168" w:type="dxa"/>
          </w:tcPr>
          <w:p w14:paraId="665FBE67">
            <w:pPr>
              <w:rPr>
                <w:highlight w:val="none"/>
                <w:lang w:eastAsia="zh-CN"/>
              </w:rPr>
            </w:pPr>
          </w:p>
        </w:tc>
        <w:tc>
          <w:tcPr>
            <w:tcW w:w="1672" w:type="dxa"/>
          </w:tcPr>
          <w:p w14:paraId="7F45B4D5">
            <w:pPr>
              <w:rPr>
                <w:highlight w:val="none"/>
                <w:lang w:eastAsia="zh-CN"/>
              </w:rPr>
            </w:pPr>
          </w:p>
        </w:tc>
        <w:tc>
          <w:tcPr>
            <w:tcW w:w="6533" w:type="dxa"/>
          </w:tcPr>
          <w:p w14:paraId="604ABFC5">
            <w:pPr>
              <w:pStyle w:val="33"/>
              <w:spacing w:before="171" w:line="357" w:lineRule="auto"/>
              <w:ind w:left="112" w:right="114" w:firstLine="1"/>
              <w:rPr>
                <w:highlight w:val="none"/>
                <w:lang w:eastAsia="zh-CN"/>
              </w:rPr>
            </w:pPr>
            <w:r>
              <w:rPr>
                <w:spacing w:val="2"/>
                <w:highlight w:val="none"/>
                <w:lang w:eastAsia="zh-CN"/>
              </w:rPr>
              <w:t>应及时致电中介服务机构说明。投标文件异常，按以下步骤</w:t>
            </w:r>
            <w:r>
              <w:rPr>
                <w:spacing w:val="-11"/>
                <w:highlight w:val="none"/>
                <w:lang w:eastAsia="zh-CN"/>
              </w:rPr>
              <w:t>进行处理：</w:t>
            </w:r>
          </w:p>
          <w:p w14:paraId="2A22A76C">
            <w:pPr>
              <w:pStyle w:val="33"/>
              <w:spacing w:line="219" w:lineRule="auto"/>
              <w:ind w:left="120"/>
              <w:rPr>
                <w:highlight w:val="none"/>
                <w:lang w:eastAsia="zh-CN"/>
              </w:rPr>
            </w:pPr>
            <w:r>
              <w:rPr>
                <w:spacing w:val="-3"/>
                <w:highlight w:val="none"/>
                <w:lang w:eastAsia="zh-CN"/>
              </w:rPr>
              <w:t>（1）首先由技术人员进行问题排查。</w:t>
            </w:r>
          </w:p>
          <w:p w14:paraId="0D353D80">
            <w:pPr>
              <w:pStyle w:val="33"/>
              <w:spacing w:before="178" w:line="311" w:lineRule="auto"/>
              <w:ind w:left="113" w:right="114" w:firstLine="7"/>
              <w:rPr>
                <w:highlight w:val="none"/>
                <w:lang w:eastAsia="zh-CN"/>
              </w:rPr>
            </w:pPr>
            <w:r>
              <w:rPr>
                <w:spacing w:val="-3"/>
                <w:highlight w:val="none"/>
                <w:lang w:eastAsia="zh-CN"/>
              </w:rPr>
              <w:t>（2）经技术人员排查后，是投标人文件自身问题导致投标文</w:t>
            </w:r>
            <w:r>
              <w:rPr>
                <w:spacing w:val="2"/>
                <w:highlight w:val="none"/>
                <w:lang w:eastAsia="zh-CN"/>
              </w:rPr>
              <w:t>件无法解密的，该投标文件将不予接收、解密和唱标。开标</w:t>
            </w:r>
            <w:r>
              <w:rPr>
                <w:spacing w:val="-6"/>
                <w:highlight w:val="none"/>
                <w:lang w:eastAsia="zh-CN"/>
              </w:rPr>
              <w:t>会议继续进行。</w:t>
            </w:r>
          </w:p>
          <w:p w14:paraId="02A64B7E">
            <w:pPr>
              <w:pStyle w:val="33"/>
              <w:spacing w:before="176" w:line="323" w:lineRule="auto"/>
              <w:ind w:left="115" w:right="20" w:firstLine="5"/>
              <w:rPr>
                <w:highlight w:val="none"/>
                <w:lang w:eastAsia="zh-CN"/>
              </w:rPr>
            </w:pPr>
            <w:r>
              <w:rPr>
                <w:spacing w:val="-2"/>
                <w:highlight w:val="none"/>
                <w:lang w:eastAsia="zh-CN"/>
              </w:rPr>
              <w:t>（3）经技术人员排查后，如果是电子化交易</w:t>
            </w:r>
            <w:r>
              <w:rPr>
                <w:spacing w:val="-3"/>
                <w:highlight w:val="none"/>
                <w:lang w:eastAsia="zh-CN"/>
              </w:rPr>
              <w:t>系统问题造成投</w:t>
            </w:r>
            <w:r>
              <w:rPr>
                <w:spacing w:val="2"/>
                <w:highlight w:val="none"/>
                <w:lang w:eastAsia="zh-CN"/>
              </w:rPr>
              <w:t>标文件无法解密的，将由技术人员对问题进行处理。如短时间内问题无法解决的，将由中介服务机构向监督部门申请，</w:t>
            </w:r>
            <w:r>
              <w:rPr>
                <w:spacing w:val="-4"/>
                <w:highlight w:val="none"/>
                <w:lang w:eastAsia="zh-CN"/>
              </w:rPr>
              <w:t>经监督部门同意后，暂停开标会议，待问题解决后继续开标。</w:t>
            </w:r>
          </w:p>
          <w:p w14:paraId="2A00BD12">
            <w:pPr>
              <w:pStyle w:val="33"/>
              <w:spacing w:before="179" w:line="357" w:lineRule="auto"/>
              <w:ind w:left="113" w:right="39"/>
              <w:rPr>
                <w:highlight w:val="none"/>
                <w:lang w:eastAsia="zh-CN"/>
              </w:rPr>
            </w:pPr>
            <w:r>
              <w:rPr>
                <w:spacing w:val="-8"/>
                <w:highlight w:val="none"/>
                <w:lang w:eastAsia="zh-CN"/>
              </w:rPr>
              <w:t>4、待所有投标人投标文件解密完成后，由中介服务机构</w:t>
            </w:r>
            <w:r>
              <w:rPr>
                <w:spacing w:val="-9"/>
                <w:highlight w:val="none"/>
                <w:lang w:eastAsia="zh-CN"/>
              </w:rPr>
              <w:t>操作，</w:t>
            </w:r>
            <w:r>
              <w:rPr>
                <w:spacing w:val="-3"/>
                <w:highlight w:val="none"/>
                <w:lang w:eastAsia="zh-CN"/>
              </w:rPr>
              <w:t>对所有已解密投标文件进行唱标。</w:t>
            </w:r>
          </w:p>
          <w:p w14:paraId="35B7A1B2">
            <w:pPr>
              <w:pStyle w:val="33"/>
              <w:spacing w:before="4" w:line="356" w:lineRule="auto"/>
              <w:ind w:left="115" w:right="114" w:firstLine="1"/>
              <w:rPr>
                <w:highlight w:val="none"/>
                <w:lang w:eastAsia="zh-CN"/>
              </w:rPr>
            </w:pPr>
            <w:r>
              <w:rPr>
                <w:spacing w:val="2"/>
                <w:highlight w:val="none"/>
                <w:lang w:eastAsia="zh-CN"/>
              </w:rPr>
              <w:t>投标人应保证在开标期间电话、电脑、网络能够正常工作，投标人因停电、电脑病毒、网络堵塞等原因，未在规定的解密时间内对投标文件进行解密的，其投标文件不予接收、唱</w:t>
            </w:r>
            <w:r>
              <w:rPr>
                <w:spacing w:val="-12"/>
                <w:highlight w:val="none"/>
                <w:lang w:eastAsia="zh-CN"/>
              </w:rPr>
              <w:t>标。</w:t>
            </w:r>
          </w:p>
          <w:p w14:paraId="2EF4DE1B">
            <w:pPr>
              <w:pStyle w:val="33"/>
              <w:spacing w:before="7" w:line="356" w:lineRule="auto"/>
              <w:ind w:left="114" w:right="20"/>
              <w:rPr>
                <w:highlight w:val="none"/>
                <w:lang w:eastAsia="zh-CN"/>
              </w:rPr>
            </w:pPr>
            <w:r>
              <w:rPr>
                <w:rFonts w:hint="eastAsia"/>
                <w:spacing w:val="-1"/>
                <w:highlight w:val="none"/>
                <w:lang w:eastAsia="zh-CN"/>
              </w:rPr>
              <w:t>5、</w:t>
            </w:r>
            <w:r>
              <w:rPr>
                <w:spacing w:val="-1"/>
                <w:highlight w:val="none"/>
                <w:lang w:eastAsia="zh-CN"/>
              </w:rPr>
              <w:t>开标时投标人可登录到交易系统中在开标解密栏中点击报价</w:t>
            </w:r>
            <w:r>
              <w:rPr>
                <w:spacing w:val="-4"/>
                <w:highlight w:val="none"/>
                <w:lang w:eastAsia="zh-CN"/>
              </w:rPr>
              <w:t>一览表查看自己的投标报价。如对自己的唱标内容有异议的，</w:t>
            </w:r>
            <w:r>
              <w:rPr>
                <w:spacing w:val="-2"/>
                <w:highlight w:val="none"/>
                <w:lang w:eastAsia="zh-CN"/>
              </w:rPr>
              <w:t>应在投标人解密成功后10</w:t>
            </w:r>
            <w:r>
              <w:rPr>
                <w:spacing w:val="-70"/>
                <w:highlight w:val="none"/>
                <w:lang w:eastAsia="zh-CN"/>
              </w:rPr>
              <w:t xml:space="preserve"> </w:t>
            </w:r>
            <w:r>
              <w:rPr>
                <w:spacing w:val="-2"/>
                <w:highlight w:val="none"/>
                <w:lang w:eastAsia="zh-CN"/>
              </w:rPr>
              <w:t>分钟内向中介服务机构通过开标大</w:t>
            </w:r>
            <w:r>
              <w:rPr>
                <w:spacing w:val="-1"/>
                <w:highlight w:val="none"/>
                <w:lang w:eastAsia="zh-CN"/>
              </w:rPr>
              <w:t>厅对话框提出质疑。中介服务机构应在监督人员的监督下接受投标人的质疑通过开标大厅对话框进行答复并做好书面记</w:t>
            </w:r>
            <w:r>
              <w:rPr>
                <w:spacing w:val="-8"/>
                <w:highlight w:val="none"/>
                <w:lang w:eastAsia="zh-CN"/>
              </w:rPr>
              <w:t>录。供应商未在规定时间内提出质疑的，视为认可唱标内容</w:t>
            </w:r>
          </w:p>
          <w:p w14:paraId="59011A04">
            <w:pPr>
              <w:pStyle w:val="33"/>
              <w:spacing w:before="3" w:line="322" w:lineRule="auto"/>
              <w:ind w:left="115" w:right="115"/>
              <w:rPr>
                <w:highlight w:val="none"/>
                <w:lang w:eastAsia="zh-CN"/>
              </w:rPr>
            </w:pPr>
            <w:r>
              <w:rPr>
                <w:spacing w:val="-9"/>
                <w:highlight w:val="none"/>
                <w:lang w:eastAsia="zh-CN"/>
              </w:rPr>
              <w:t>6、评标时，评标委员会对电子化投标文件有质疑的，将通过</w:t>
            </w:r>
            <w:r>
              <w:rPr>
                <w:spacing w:val="-1"/>
                <w:highlight w:val="none"/>
                <w:lang w:eastAsia="zh-CN"/>
              </w:rPr>
              <w:t>电子化交易系统向供应商发起质疑。供应商的回复文件必须以经过供应商和其法定代表人签章的</w:t>
            </w:r>
            <w:r>
              <w:rPr>
                <w:spacing w:val="-54"/>
                <w:highlight w:val="none"/>
                <w:lang w:eastAsia="zh-CN"/>
              </w:rPr>
              <w:t xml:space="preserve"> </w:t>
            </w:r>
            <w:r>
              <w:rPr>
                <w:spacing w:val="-1"/>
                <w:highlight w:val="none"/>
                <w:lang w:eastAsia="zh-CN"/>
              </w:rPr>
              <w:t>PDF</w:t>
            </w:r>
            <w:r>
              <w:rPr>
                <w:spacing w:val="-45"/>
                <w:highlight w:val="none"/>
                <w:lang w:eastAsia="zh-CN"/>
              </w:rPr>
              <w:t xml:space="preserve"> </w:t>
            </w:r>
            <w:r>
              <w:rPr>
                <w:spacing w:val="-1"/>
                <w:highlight w:val="none"/>
                <w:lang w:eastAsia="zh-CN"/>
              </w:rPr>
              <w:t>式文件</w:t>
            </w:r>
            <w:r>
              <w:rPr>
                <w:spacing w:val="-2"/>
                <w:highlight w:val="none"/>
                <w:lang w:eastAsia="zh-CN"/>
              </w:rPr>
              <w:t>为准，并通</w:t>
            </w:r>
            <w:r>
              <w:rPr>
                <w:spacing w:val="-1"/>
                <w:highlight w:val="none"/>
                <w:lang w:eastAsia="zh-CN"/>
              </w:rPr>
              <w:t>过电子化交易系统提交至评标委员会。</w:t>
            </w:r>
          </w:p>
          <w:p w14:paraId="0EC88CE3">
            <w:pPr>
              <w:pStyle w:val="33"/>
              <w:spacing w:before="183" w:line="310" w:lineRule="auto"/>
              <w:ind w:left="120" w:right="107"/>
              <w:rPr>
                <w:highlight w:val="none"/>
                <w:lang w:eastAsia="zh-CN"/>
              </w:rPr>
            </w:pPr>
            <w:r>
              <w:rPr>
                <w:spacing w:val="-5"/>
                <w:highlight w:val="none"/>
                <w:lang w:eastAsia="zh-CN"/>
              </w:rPr>
              <w:t>7、如评标委员会对需要回复的供应商在规定时间内（30</w:t>
            </w:r>
            <w:r>
              <w:rPr>
                <w:spacing w:val="-41"/>
                <w:highlight w:val="none"/>
                <w:lang w:eastAsia="zh-CN"/>
              </w:rPr>
              <w:t xml:space="preserve"> </w:t>
            </w:r>
            <w:r>
              <w:rPr>
                <w:spacing w:val="-5"/>
                <w:highlight w:val="none"/>
                <w:lang w:eastAsia="zh-CN"/>
              </w:rPr>
              <w:t>分钟</w:t>
            </w:r>
            <w:r>
              <w:rPr>
                <w:spacing w:val="-1"/>
                <w:highlight w:val="none"/>
                <w:lang w:eastAsia="zh-CN"/>
              </w:rPr>
              <w:t>内）通过电子化交易系统未收到回复的，视为投标人放弃回</w:t>
            </w:r>
            <w:r>
              <w:rPr>
                <w:spacing w:val="-2"/>
                <w:highlight w:val="none"/>
                <w:lang w:eastAsia="zh-CN"/>
              </w:rPr>
              <w:t>复，评标委员会将自行对需要回复的内容进</w:t>
            </w:r>
            <w:r>
              <w:rPr>
                <w:spacing w:val="-3"/>
                <w:highlight w:val="none"/>
                <w:lang w:eastAsia="zh-CN"/>
              </w:rPr>
              <w:t>行认定。</w:t>
            </w:r>
          </w:p>
          <w:p w14:paraId="24860435">
            <w:pPr>
              <w:pStyle w:val="33"/>
              <w:spacing w:before="180" w:line="219" w:lineRule="auto"/>
              <w:ind w:left="118"/>
              <w:rPr>
                <w:highlight w:val="none"/>
                <w:lang w:eastAsia="zh-CN"/>
              </w:rPr>
            </w:pPr>
            <w:r>
              <w:rPr>
                <w:spacing w:val="-2"/>
                <w:highlight w:val="none"/>
                <w:lang w:eastAsia="zh-CN"/>
              </w:rPr>
              <w:t>二、相关证书原件的提交</w:t>
            </w:r>
          </w:p>
        </w:tc>
      </w:tr>
    </w:tbl>
    <w:p w14:paraId="381D7853">
      <w:pPr>
        <w:spacing w:before="19"/>
        <w:rPr>
          <w:rFonts w:eastAsiaTheme="minorEastAsia"/>
          <w:highlight w:val="none"/>
          <w:lang w:eastAsia="zh-CN"/>
        </w:rPr>
      </w:pPr>
      <w:r>
        <w:rPr>
          <w:highlight w:val="none"/>
        </w:rPr>
        <w:pict>
          <v:shape id="_x0000_s1029" o:spid="_x0000_s1029" style="position:absolute;left:0pt;margin-left:88.55pt;margin-top:54.6pt;height:0.75pt;width:444.55pt;mso-position-horizontal-relative:page;mso-position-vertical-relative:page;z-index:251663360;mso-width-relative:page;mso-height-relative:page;" fillcolor="#000000" filled="t" stroked="f" coordsize="8890,15" o:allowincell="f" path="m0,14l8890,14,8890,0,0,0,0,14xe">
            <v:path/>
            <v:fill on="t" focussize="0,0"/>
            <v:stroke on="f"/>
            <v:imagedata o:title=""/>
            <o:lock v:ext="edit"/>
          </v:shape>
        </w:pict>
      </w:r>
    </w:p>
    <w:tbl>
      <w:tblPr>
        <w:tblStyle w:val="32"/>
        <w:tblW w:w="93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8"/>
        <w:gridCol w:w="1672"/>
        <w:gridCol w:w="6533"/>
      </w:tblGrid>
      <w:tr w14:paraId="1BECA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30" w:hRule="atLeast"/>
        </w:trPr>
        <w:tc>
          <w:tcPr>
            <w:tcW w:w="1168" w:type="dxa"/>
          </w:tcPr>
          <w:p w14:paraId="156801EE">
            <w:pPr>
              <w:rPr>
                <w:highlight w:val="none"/>
                <w:lang w:eastAsia="zh-CN"/>
              </w:rPr>
            </w:pPr>
          </w:p>
        </w:tc>
        <w:tc>
          <w:tcPr>
            <w:tcW w:w="1672" w:type="dxa"/>
          </w:tcPr>
          <w:p w14:paraId="1580CFAC">
            <w:pPr>
              <w:rPr>
                <w:highlight w:val="none"/>
                <w:lang w:eastAsia="zh-CN"/>
              </w:rPr>
            </w:pPr>
          </w:p>
        </w:tc>
        <w:tc>
          <w:tcPr>
            <w:tcW w:w="6533" w:type="dxa"/>
          </w:tcPr>
          <w:p w14:paraId="278706D0">
            <w:pPr>
              <w:pStyle w:val="33"/>
              <w:spacing w:before="170" w:line="357" w:lineRule="auto"/>
              <w:ind w:left="114" w:right="182" w:firstLine="6"/>
              <w:jc w:val="both"/>
              <w:rPr>
                <w:highlight w:val="none"/>
                <w:lang w:eastAsia="zh-CN"/>
              </w:rPr>
            </w:pPr>
            <w:r>
              <w:rPr>
                <w:spacing w:val="-1"/>
                <w:highlight w:val="none"/>
                <w:lang w:eastAsia="zh-CN"/>
              </w:rPr>
              <w:t>（一）投标人应保证上传内容齐全，真实有效，原件扫</w:t>
            </w:r>
            <w:r>
              <w:rPr>
                <w:spacing w:val="-2"/>
                <w:highlight w:val="none"/>
                <w:lang w:eastAsia="zh-CN"/>
              </w:rPr>
              <w:t>描件</w:t>
            </w:r>
            <w:r>
              <w:rPr>
                <w:spacing w:val="-1"/>
                <w:highlight w:val="none"/>
                <w:lang w:eastAsia="zh-CN"/>
              </w:rPr>
              <w:t>清晰可辨。因投标人上传原因导致应得分项而未得分或资格</w:t>
            </w:r>
            <w:r>
              <w:rPr>
                <w:spacing w:val="-2"/>
                <w:highlight w:val="none"/>
                <w:lang w:eastAsia="zh-CN"/>
              </w:rPr>
              <w:t>审查不合格等情况的，由投标人自行承担责</w:t>
            </w:r>
            <w:r>
              <w:rPr>
                <w:spacing w:val="-3"/>
                <w:highlight w:val="none"/>
                <w:lang w:eastAsia="zh-CN"/>
              </w:rPr>
              <w:t>任。</w:t>
            </w:r>
          </w:p>
          <w:p w14:paraId="3309AECE">
            <w:pPr>
              <w:pStyle w:val="33"/>
              <w:spacing w:line="291" w:lineRule="auto"/>
              <w:ind w:left="115" w:right="182"/>
              <w:jc w:val="both"/>
              <w:rPr>
                <w:b/>
                <w:highlight w:val="none"/>
                <w:lang w:eastAsia="zh-CN"/>
              </w:rPr>
            </w:pPr>
            <w:r>
              <w:rPr>
                <w:b/>
                <w:spacing w:val="-1"/>
                <w:highlight w:val="none"/>
                <w:lang w:eastAsia="zh-CN"/>
              </w:rPr>
              <w:t>提示：本项目为电子化、无纸化交易项目，为保证您能投标</w:t>
            </w:r>
            <w:r>
              <w:rPr>
                <w:b/>
                <w:spacing w:val="-4"/>
                <w:highlight w:val="none"/>
                <w:lang w:eastAsia="zh-CN"/>
              </w:rPr>
              <w:t>成功，请需仔细阅读以上条款。</w:t>
            </w:r>
          </w:p>
        </w:tc>
      </w:tr>
    </w:tbl>
    <w:p w14:paraId="1869FE1A">
      <w:pPr>
        <w:pStyle w:val="4"/>
        <w:spacing w:line="252" w:lineRule="auto"/>
        <w:rPr>
          <w:highlight w:val="none"/>
          <w:lang w:eastAsia="zh-CN"/>
        </w:rPr>
      </w:pPr>
    </w:p>
    <w:p w14:paraId="2F4343B4">
      <w:pPr>
        <w:pStyle w:val="4"/>
        <w:spacing w:line="252" w:lineRule="auto"/>
        <w:rPr>
          <w:highlight w:val="none"/>
          <w:lang w:eastAsia="zh-CN"/>
        </w:rPr>
      </w:pPr>
    </w:p>
    <w:p w14:paraId="5AC71277">
      <w:pPr>
        <w:pStyle w:val="4"/>
        <w:spacing w:line="253" w:lineRule="auto"/>
        <w:rPr>
          <w:highlight w:val="none"/>
          <w:lang w:eastAsia="zh-CN"/>
        </w:rPr>
      </w:pPr>
    </w:p>
    <w:p w14:paraId="65932645">
      <w:pPr>
        <w:pStyle w:val="4"/>
        <w:spacing w:line="253" w:lineRule="auto"/>
        <w:rPr>
          <w:highlight w:val="none"/>
          <w:lang w:eastAsia="zh-CN"/>
        </w:rPr>
      </w:pPr>
    </w:p>
    <w:p w14:paraId="6F3BE7EE">
      <w:pPr>
        <w:spacing w:before="78" w:line="220" w:lineRule="auto"/>
        <w:ind w:left="4220"/>
        <w:rPr>
          <w:rFonts w:ascii="宋体" w:hAnsi="宋体" w:eastAsia="宋体" w:cs="宋体"/>
          <w:sz w:val="24"/>
          <w:szCs w:val="24"/>
          <w:highlight w:val="none"/>
          <w:lang w:eastAsia="zh-CN"/>
        </w:rPr>
      </w:pPr>
      <w:r>
        <w:rPr>
          <w:rFonts w:ascii="宋体" w:hAnsi="宋体" w:eastAsia="宋体" w:cs="宋体"/>
          <w:b/>
          <w:bCs/>
          <w:spacing w:val="-11"/>
          <w:sz w:val="24"/>
          <w:szCs w:val="24"/>
          <w:highlight w:val="none"/>
          <w:lang w:eastAsia="zh-CN"/>
        </w:rPr>
        <w:t>一、总则</w:t>
      </w:r>
    </w:p>
    <w:p w14:paraId="43CC5C06">
      <w:pPr>
        <w:spacing w:before="177" w:line="219" w:lineRule="auto"/>
        <w:ind w:left="780"/>
        <w:rPr>
          <w:rFonts w:ascii="宋体" w:hAnsi="宋体" w:eastAsia="宋体" w:cs="宋体"/>
          <w:sz w:val="24"/>
          <w:szCs w:val="24"/>
          <w:highlight w:val="none"/>
          <w:lang w:eastAsia="zh-CN"/>
        </w:rPr>
      </w:pPr>
      <w:r>
        <w:rPr>
          <w:rFonts w:ascii="宋体" w:hAnsi="宋体" w:eastAsia="宋体" w:cs="宋体"/>
          <w:spacing w:val="-5"/>
          <w:sz w:val="24"/>
          <w:szCs w:val="24"/>
          <w:highlight w:val="none"/>
          <w:lang w:eastAsia="zh-CN"/>
        </w:rPr>
        <w:t>1、项目概况：见供应商须知前附表；</w:t>
      </w:r>
    </w:p>
    <w:p w14:paraId="520B7D6F">
      <w:pPr>
        <w:spacing w:before="179" w:line="220" w:lineRule="auto"/>
        <w:ind w:left="765"/>
        <w:rPr>
          <w:rFonts w:ascii="宋体" w:hAnsi="宋体" w:eastAsia="宋体" w:cs="宋体"/>
          <w:sz w:val="24"/>
          <w:szCs w:val="24"/>
          <w:highlight w:val="none"/>
          <w:lang w:eastAsia="zh-CN"/>
        </w:rPr>
      </w:pPr>
      <w:r>
        <w:rPr>
          <w:rFonts w:ascii="宋体" w:hAnsi="宋体" w:eastAsia="宋体" w:cs="宋体"/>
          <w:spacing w:val="-6"/>
          <w:sz w:val="24"/>
          <w:szCs w:val="24"/>
          <w:highlight w:val="none"/>
          <w:lang w:eastAsia="zh-CN"/>
        </w:rPr>
        <w:t>2、投标费用</w:t>
      </w:r>
    </w:p>
    <w:p w14:paraId="45B2D609">
      <w:pPr>
        <w:spacing w:before="180" w:line="356" w:lineRule="auto"/>
        <w:ind w:left="284" w:right="272" w:firstLine="480"/>
        <w:rPr>
          <w:rFonts w:ascii="宋体" w:hAnsi="宋体" w:eastAsia="宋体" w:cs="宋体"/>
          <w:sz w:val="24"/>
          <w:szCs w:val="24"/>
          <w:highlight w:val="none"/>
          <w:lang w:eastAsia="zh-CN"/>
        </w:rPr>
      </w:pPr>
      <w:r>
        <w:rPr>
          <w:rFonts w:ascii="宋体" w:hAnsi="宋体" w:eastAsia="宋体" w:cs="宋体"/>
          <w:spacing w:val="-1"/>
          <w:sz w:val="24"/>
          <w:szCs w:val="24"/>
          <w:highlight w:val="none"/>
          <w:lang w:eastAsia="zh-CN"/>
        </w:rPr>
        <w:t>2.1</w:t>
      </w:r>
      <w:r>
        <w:rPr>
          <w:rFonts w:ascii="宋体" w:hAnsi="宋体" w:eastAsia="宋体" w:cs="宋体"/>
          <w:spacing w:val="-26"/>
          <w:sz w:val="24"/>
          <w:szCs w:val="24"/>
          <w:highlight w:val="none"/>
          <w:lang w:eastAsia="zh-CN"/>
        </w:rPr>
        <w:t xml:space="preserve"> </w:t>
      </w:r>
      <w:r>
        <w:rPr>
          <w:rFonts w:ascii="宋体" w:hAnsi="宋体" w:eastAsia="宋体" w:cs="宋体"/>
          <w:spacing w:val="-1"/>
          <w:sz w:val="24"/>
          <w:szCs w:val="24"/>
          <w:highlight w:val="none"/>
          <w:lang w:eastAsia="zh-CN"/>
        </w:rPr>
        <w:t>投标供应商承担其电子化投标文件编制与递交所涉及的一切费用。在任何情</w:t>
      </w:r>
      <w:r>
        <w:rPr>
          <w:rFonts w:ascii="宋体" w:hAnsi="宋体" w:eastAsia="宋体" w:cs="宋体"/>
          <w:spacing w:val="-2"/>
          <w:sz w:val="24"/>
          <w:szCs w:val="24"/>
          <w:highlight w:val="none"/>
          <w:lang w:eastAsia="zh-CN"/>
        </w:rPr>
        <w:t>况下采购人和采购代理机构对上述费用均不承担任何责任。</w:t>
      </w:r>
    </w:p>
    <w:p w14:paraId="6640125C">
      <w:pPr>
        <w:spacing w:line="219" w:lineRule="auto"/>
        <w:ind w:left="767"/>
        <w:rPr>
          <w:rFonts w:ascii="宋体" w:hAnsi="宋体" w:eastAsia="宋体" w:cs="宋体"/>
          <w:sz w:val="24"/>
          <w:szCs w:val="24"/>
          <w:highlight w:val="none"/>
          <w:lang w:eastAsia="zh-CN"/>
        </w:rPr>
      </w:pPr>
      <w:r>
        <w:rPr>
          <w:rFonts w:ascii="宋体" w:hAnsi="宋体" w:eastAsia="宋体" w:cs="宋体"/>
          <w:spacing w:val="-4"/>
          <w:sz w:val="24"/>
          <w:szCs w:val="24"/>
          <w:highlight w:val="none"/>
          <w:lang w:eastAsia="zh-CN"/>
        </w:rPr>
        <w:t>3、定义及解释</w:t>
      </w:r>
    </w:p>
    <w:p w14:paraId="4E092F52">
      <w:pPr>
        <w:spacing w:before="178" w:line="219" w:lineRule="auto"/>
        <w:ind w:left="767"/>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4"/>
          <w:sz w:val="24"/>
          <w:szCs w:val="24"/>
          <w:highlight w:val="none"/>
          <w:lang w:eastAsia="zh-CN"/>
          <w14:textFill>
            <w14:solidFill>
              <w14:schemeClr w14:val="tx1"/>
            </w14:solidFill>
          </w14:textFill>
        </w:rPr>
        <w:t>3.</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1</w:t>
      </w:r>
      <w:r>
        <w:rPr>
          <w:rFonts w:ascii="宋体" w:hAnsi="宋体" w:eastAsia="宋体" w:cs="宋体"/>
          <w:color w:val="000000" w:themeColor="text1"/>
          <w:spacing w:val="-4"/>
          <w:sz w:val="24"/>
          <w:szCs w:val="24"/>
          <w:highlight w:val="none"/>
          <w:lang w:eastAsia="zh-CN"/>
          <w14:textFill>
            <w14:solidFill>
              <w14:schemeClr w14:val="tx1"/>
            </w14:solidFill>
          </w14:textFill>
        </w:rPr>
        <w:t>采购人：见投标人须知前附表。</w:t>
      </w:r>
    </w:p>
    <w:p w14:paraId="67171E56">
      <w:pPr>
        <w:spacing w:before="178" w:line="219" w:lineRule="auto"/>
        <w:ind w:left="767"/>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2"/>
          <w:sz w:val="24"/>
          <w:szCs w:val="24"/>
          <w:highlight w:val="none"/>
          <w:lang w:eastAsia="zh-CN"/>
          <w14:textFill>
            <w14:solidFill>
              <w14:schemeClr w14:val="tx1"/>
            </w14:solidFill>
          </w14:textFill>
        </w:rPr>
        <w:t>3.</w:t>
      </w:r>
      <w:r>
        <w:rPr>
          <w:rFonts w:hint="eastAsia" w:ascii="宋体" w:hAnsi="宋体" w:eastAsia="宋体" w:cs="宋体"/>
          <w:color w:val="000000" w:themeColor="text1"/>
          <w:spacing w:val="-2"/>
          <w:sz w:val="24"/>
          <w:szCs w:val="24"/>
          <w:highlight w:val="none"/>
          <w:lang w:eastAsia="zh-CN"/>
          <w14:textFill>
            <w14:solidFill>
              <w14:schemeClr w14:val="tx1"/>
            </w14:solidFill>
          </w14:textFill>
        </w:rPr>
        <w:t>2</w:t>
      </w:r>
      <w:r>
        <w:rPr>
          <w:rFonts w:ascii="宋体" w:hAnsi="宋体" w:eastAsia="宋体" w:cs="宋体"/>
          <w:color w:val="000000" w:themeColor="text1"/>
          <w:spacing w:val="-47"/>
          <w:sz w:val="24"/>
          <w:szCs w:val="24"/>
          <w:highlight w:val="none"/>
          <w:lang w:eastAsia="zh-CN"/>
          <w14:textFill>
            <w14:solidFill>
              <w14:schemeClr w14:val="tx1"/>
            </w14:solidFill>
          </w14:textFill>
        </w:rPr>
        <w:t xml:space="preserve"> </w:t>
      </w:r>
      <w:r>
        <w:rPr>
          <w:rFonts w:ascii="宋体" w:hAnsi="宋体" w:eastAsia="宋体" w:cs="宋体"/>
          <w:color w:val="000000" w:themeColor="text1"/>
          <w:spacing w:val="-2"/>
          <w:sz w:val="24"/>
          <w:szCs w:val="24"/>
          <w:highlight w:val="none"/>
          <w:lang w:eastAsia="zh-CN"/>
          <w14:textFill>
            <w14:solidFill>
              <w14:schemeClr w14:val="tx1"/>
            </w14:solidFill>
          </w14:textFill>
        </w:rPr>
        <w:t>采购代理机构：指受招标人委托组织本次招标的采购代理机构。</w:t>
      </w:r>
    </w:p>
    <w:p w14:paraId="775EA8F8">
      <w:pPr>
        <w:spacing w:before="180" w:line="288" w:lineRule="auto"/>
        <w:ind w:left="284" w:right="272" w:firstLine="482"/>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1"/>
          <w:sz w:val="24"/>
          <w:szCs w:val="24"/>
          <w:highlight w:val="none"/>
          <w:lang w:eastAsia="zh-CN"/>
          <w14:textFill>
            <w14:solidFill>
              <w14:schemeClr w14:val="tx1"/>
            </w14:solidFill>
          </w14:textFill>
        </w:rPr>
        <w:t>3.</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3</w:t>
      </w:r>
      <w:r>
        <w:rPr>
          <w:rFonts w:ascii="宋体" w:hAnsi="宋体" w:eastAsia="宋体" w:cs="宋体"/>
          <w:color w:val="000000" w:themeColor="text1"/>
          <w:spacing w:val="-1"/>
          <w:sz w:val="24"/>
          <w:szCs w:val="24"/>
          <w:highlight w:val="none"/>
          <w:lang w:eastAsia="zh-CN"/>
          <w14:textFill>
            <w14:solidFill>
              <w14:schemeClr w14:val="tx1"/>
            </w14:solidFill>
          </w14:textFill>
        </w:rPr>
        <w:t>投标人：指响应招标、参加投标竞争，并向招标人、采购代理机构提交投标</w:t>
      </w:r>
      <w:r>
        <w:rPr>
          <w:rFonts w:ascii="宋体" w:hAnsi="宋体" w:eastAsia="宋体" w:cs="宋体"/>
          <w:color w:val="000000" w:themeColor="text1"/>
          <w:spacing w:val="-6"/>
          <w:sz w:val="24"/>
          <w:szCs w:val="24"/>
          <w:highlight w:val="none"/>
          <w:lang w:eastAsia="zh-CN"/>
          <w14:textFill>
            <w14:solidFill>
              <w14:schemeClr w14:val="tx1"/>
            </w14:solidFill>
          </w14:textFill>
        </w:rPr>
        <w:t>文件的供应商。</w:t>
      </w:r>
    </w:p>
    <w:p w14:paraId="55D2E06C">
      <w:pPr>
        <w:spacing w:before="180" w:line="288" w:lineRule="auto"/>
        <w:ind w:left="285" w:right="272" w:firstLine="481"/>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1"/>
          <w:sz w:val="24"/>
          <w:szCs w:val="24"/>
          <w:highlight w:val="none"/>
          <w:lang w:eastAsia="zh-CN"/>
          <w14:textFill>
            <w14:solidFill>
              <w14:schemeClr w14:val="tx1"/>
            </w14:solidFill>
          </w14:textFill>
        </w:rPr>
        <w:t>3.</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4</w:t>
      </w:r>
      <w:r>
        <w:rPr>
          <w:rFonts w:ascii="宋体" w:hAnsi="宋体" w:eastAsia="宋体" w:cs="宋体"/>
          <w:color w:val="000000" w:themeColor="text1"/>
          <w:spacing w:val="-1"/>
          <w:sz w:val="24"/>
          <w:szCs w:val="24"/>
          <w:highlight w:val="none"/>
          <w:lang w:eastAsia="zh-CN"/>
          <w14:textFill>
            <w14:solidFill>
              <w14:schemeClr w14:val="tx1"/>
            </w14:solidFill>
          </w14:textFill>
        </w:rPr>
        <w:t>公章——指投标人的行政章，招标人、采购代理机构不接受加盖其他印鉴的</w:t>
      </w:r>
      <w:r>
        <w:rPr>
          <w:rFonts w:ascii="宋体" w:hAnsi="宋体" w:eastAsia="宋体" w:cs="宋体"/>
          <w:color w:val="000000" w:themeColor="text1"/>
          <w:spacing w:val="-2"/>
          <w:sz w:val="24"/>
          <w:szCs w:val="24"/>
          <w:highlight w:val="none"/>
          <w:lang w:eastAsia="zh-CN"/>
          <w14:textFill>
            <w14:solidFill>
              <w14:schemeClr w14:val="tx1"/>
            </w14:solidFill>
          </w14:textFill>
        </w:rPr>
        <w:t>投标文件（如合同章、投标专用章、有序号的章等印鉴）。</w:t>
      </w:r>
    </w:p>
    <w:p w14:paraId="27CEC1BC">
      <w:pPr>
        <w:spacing w:before="179" w:line="220" w:lineRule="auto"/>
        <w:ind w:left="767"/>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3"/>
          <w:sz w:val="24"/>
          <w:szCs w:val="24"/>
          <w:highlight w:val="none"/>
          <w:lang w:eastAsia="zh-CN"/>
          <w14:textFill>
            <w14:solidFill>
              <w14:schemeClr w14:val="tx1"/>
            </w14:solidFill>
          </w14:textFill>
        </w:rPr>
        <w:t>3.</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5</w:t>
      </w:r>
      <w:r>
        <w:rPr>
          <w:rFonts w:ascii="宋体" w:hAnsi="宋体" w:eastAsia="宋体" w:cs="宋体"/>
          <w:color w:val="000000" w:themeColor="text1"/>
          <w:spacing w:val="-3"/>
          <w:sz w:val="24"/>
          <w:szCs w:val="24"/>
          <w:highlight w:val="none"/>
          <w:lang w:eastAsia="zh-CN"/>
          <w14:textFill>
            <w14:solidFill>
              <w14:schemeClr w14:val="tx1"/>
            </w14:solidFill>
          </w14:textFill>
        </w:rPr>
        <w:t>天（日）——除特别指明外，指日历天。</w:t>
      </w:r>
    </w:p>
    <w:p w14:paraId="6363ABB9">
      <w:pPr>
        <w:spacing w:before="177" w:line="289" w:lineRule="auto"/>
        <w:ind w:left="283" w:right="272" w:firstLine="483"/>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1"/>
          <w:sz w:val="24"/>
          <w:szCs w:val="24"/>
          <w:highlight w:val="none"/>
          <w:lang w:eastAsia="zh-CN"/>
          <w14:textFill>
            <w14:solidFill>
              <w14:schemeClr w14:val="tx1"/>
            </w14:solidFill>
          </w14:textFill>
        </w:rPr>
        <w:t>3.</w:t>
      </w:r>
      <w:r>
        <w:rPr>
          <w:rFonts w:hint="eastAsia" w:ascii="宋体" w:hAnsi="宋体" w:eastAsia="宋体" w:cs="宋体"/>
          <w:color w:val="000000" w:themeColor="text1"/>
          <w:spacing w:val="-1"/>
          <w:sz w:val="24"/>
          <w:szCs w:val="24"/>
          <w:highlight w:val="none"/>
          <w:lang w:eastAsia="zh-CN"/>
          <w14:textFill>
            <w14:solidFill>
              <w14:schemeClr w14:val="tx1"/>
            </w14:solidFill>
          </w14:textFill>
        </w:rPr>
        <w:t>6</w:t>
      </w:r>
      <w:r>
        <w:rPr>
          <w:rFonts w:ascii="宋体" w:hAnsi="宋体" w:eastAsia="宋体" w:cs="宋体"/>
          <w:color w:val="000000" w:themeColor="text1"/>
          <w:spacing w:val="-38"/>
          <w:sz w:val="24"/>
          <w:szCs w:val="24"/>
          <w:highlight w:val="none"/>
          <w:lang w:eastAsia="zh-CN"/>
          <w14:textFill>
            <w14:solidFill>
              <w14:schemeClr w14:val="tx1"/>
            </w14:solidFill>
          </w14:textFill>
        </w:rPr>
        <w:t xml:space="preserve"> </w:t>
      </w:r>
      <w:r>
        <w:rPr>
          <w:rFonts w:ascii="宋体" w:hAnsi="宋体" w:eastAsia="宋体" w:cs="宋体"/>
          <w:color w:val="000000" w:themeColor="text1"/>
          <w:spacing w:val="-1"/>
          <w:sz w:val="24"/>
          <w:szCs w:val="24"/>
          <w:highlight w:val="none"/>
          <w:lang w:eastAsia="zh-CN"/>
          <w14:textFill>
            <w14:solidFill>
              <w14:schemeClr w14:val="tx1"/>
            </w14:solidFill>
          </w14:textFill>
        </w:rPr>
        <w:t>偏离（或偏差</w:t>
      </w:r>
      <w:r>
        <w:rPr>
          <w:rFonts w:ascii="宋体" w:hAnsi="宋体" w:eastAsia="宋体" w:cs="宋体"/>
          <w:color w:val="000000" w:themeColor="text1"/>
          <w:spacing w:val="4"/>
          <w:sz w:val="24"/>
          <w:szCs w:val="24"/>
          <w:highlight w:val="none"/>
          <w:lang w:eastAsia="zh-CN"/>
          <w14:textFill>
            <w14:solidFill>
              <w14:schemeClr w14:val="tx1"/>
            </w14:solidFill>
          </w14:textFill>
        </w:rPr>
        <w:t>）：</w:t>
      </w:r>
      <w:r>
        <w:rPr>
          <w:rFonts w:ascii="宋体" w:hAnsi="宋体" w:eastAsia="宋体" w:cs="宋体"/>
          <w:color w:val="000000" w:themeColor="text1"/>
          <w:spacing w:val="-1"/>
          <w:sz w:val="24"/>
          <w:szCs w:val="24"/>
          <w:highlight w:val="none"/>
          <w:lang w:eastAsia="zh-CN"/>
          <w14:textFill>
            <w14:solidFill>
              <w14:schemeClr w14:val="tx1"/>
            </w14:solidFill>
          </w14:textFill>
        </w:rPr>
        <w:t>投标文件的响应相对于招标文件要求的偏差，该偏差优于</w:t>
      </w:r>
      <w:r>
        <w:rPr>
          <w:rFonts w:ascii="宋体" w:hAnsi="宋体" w:eastAsia="宋体" w:cs="宋体"/>
          <w:color w:val="000000" w:themeColor="text1"/>
          <w:spacing w:val="-2"/>
          <w:sz w:val="24"/>
          <w:szCs w:val="24"/>
          <w:highlight w:val="none"/>
          <w:lang w:eastAsia="zh-CN"/>
          <w14:textFill>
            <w14:solidFill>
              <w14:schemeClr w14:val="tx1"/>
            </w14:solidFill>
          </w14:textFill>
        </w:rPr>
        <w:t>招标文件要求的为正偏离；劣于的，为负偏</w:t>
      </w:r>
      <w:r>
        <w:rPr>
          <w:rFonts w:ascii="宋体" w:hAnsi="宋体" w:eastAsia="宋体" w:cs="宋体"/>
          <w:color w:val="000000" w:themeColor="text1"/>
          <w:spacing w:val="-3"/>
          <w:sz w:val="24"/>
          <w:szCs w:val="24"/>
          <w:highlight w:val="none"/>
          <w:lang w:eastAsia="zh-CN"/>
          <w14:textFill>
            <w14:solidFill>
              <w14:schemeClr w14:val="tx1"/>
            </w14:solidFill>
          </w14:textFill>
        </w:rPr>
        <w:t>离。</w:t>
      </w:r>
    </w:p>
    <w:p w14:paraId="0AD5C6A0">
      <w:pPr>
        <w:spacing w:before="178" w:line="219" w:lineRule="auto"/>
        <w:ind w:left="761"/>
        <w:rPr>
          <w:rFonts w:ascii="宋体" w:hAnsi="宋体" w:eastAsia="宋体" w:cs="宋体"/>
          <w:sz w:val="24"/>
          <w:szCs w:val="24"/>
          <w:highlight w:val="none"/>
          <w:lang w:eastAsia="zh-CN"/>
        </w:rPr>
      </w:pPr>
      <w:r>
        <w:rPr>
          <w:rFonts w:ascii="宋体" w:hAnsi="宋体" w:eastAsia="宋体" w:cs="宋体"/>
          <w:spacing w:val="-3"/>
          <w:sz w:val="24"/>
          <w:szCs w:val="24"/>
          <w:highlight w:val="none"/>
          <w:lang w:eastAsia="zh-CN"/>
        </w:rPr>
        <w:t>4、合格的投标供应商：见供应商须知前附表；</w:t>
      </w:r>
    </w:p>
    <w:p w14:paraId="7E66F00B">
      <w:pPr>
        <w:spacing w:before="179" w:line="220" w:lineRule="auto"/>
        <w:ind w:left="767"/>
        <w:rPr>
          <w:rFonts w:ascii="宋体" w:hAnsi="宋体" w:eastAsia="宋体" w:cs="宋体"/>
          <w:sz w:val="24"/>
          <w:szCs w:val="24"/>
          <w:highlight w:val="none"/>
          <w:lang w:eastAsia="zh-CN"/>
        </w:rPr>
      </w:pPr>
      <w:r>
        <w:rPr>
          <w:rFonts w:ascii="宋体" w:hAnsi="宋体" w:eastAsia="宋体" w:cs="宋体"/>
          <w:spacing w:val="-6"/>
          <w:sz w:val="24"/>
          <w:szCs w:val="24"/>
          <w:highlight w:val="none"/>
          <w:lang w:eastAsia="zh-CN"/>
        </w:rPr>
        <w:t>5、保证</w:t>
      </w:r>
    </w:p>
    <w:p w14:paraId="21EEA5A2">
      <w:pPr>
        <w:spacing w:before="179" w:line="219" w:lineRule="auto"/>
        <w:ind w:left="767"/>
        <w:rPr>
          <w:rFonts w:ascii="宋体" w:hAnsi="宋体" w:eastAsia="宋体" w:cs="宋体"/>
          <w:sz w:val="24"/>
          <w:szCs w:val="24"/>
          <w:highlight w:val="none"/>
          <w:lang w:eastAsia="zh-CN"/>
        </w:rPr>
      </w:pPr>
      <w:r>
        <w:rPr>
          <w:rFonts w:ascii="宋体" w:hAnsi="宋体" w:eastAsia="宋体" w:cs="宋体"/>
          <w:spacing w:val="-2"/>
          <w:sz w:val="24"/>
          <w:szCs w:val="24"/>
          <w:highlight w:val="none"/>
          <w:lang w:eastAsia="zh-CN"/>
        </w:rPr>
        <w:t>5.1</w:t>
      </w:r>
      <w:r>
        <w:rPr>
          <w:rFonts w:ascii="宋体" w:hAnsi="宋体" w:eastAsia="宋体" w:cs="宋体"/>
          <w:spacing w:val="-41"/>
          <w:sz w:val="24"/>
          <w:szCs w:val="24"/>
          <w:highlight w:val="none"/>
          <w:lang w:eastAsia="zh-CN"/>
        </w:rPr>
        <w:t xml:space="preserve"> </w:t>
      </w:r>
      <w:r>
        <w:rPr>
          <w:rFonts w:ascii="宋体" w:hAnsi="宋体" w:eastAsia="宋体" w:cs="宋体"/>
          <w:spacing w:val="-2"/>
          <w:sz w:val="24"/>
          <w:szCs w:val="24"/>
          <w:highlight w:val="none"/>
          <w:lang w:eastAsia="zh-CN"/>
        </w:rPr>
        <w:t>投标供应商应保证在电子化投标文件中所提交的资料和数据是真实的。</w:t>
      </w:r>
    </w:p>
    <w:p w14:paraId="74DD8BC7">
      <w:pPr>
        <w:spacing w:before="178" w:line="220" w:lineRule="auto"/>
        <w:ind w:left="4040"/>
        <w:rPr>
          <w:rFonts w:ascii="宋体" w:hAnsi="宋体" w:eastAsia="宋体" w:cs="宋体"/>
          <w:sz w:val="24"/>
          <w:szCs w:val="24"/>
          <w:highlight w:val="none"/>
          <w:lang w:eastAsia="zh-CN"/>
        </w:rPr>
      </w:pPr>
      <w:r>
        <w:rPr>
          <w:rFonts w:ascii="宋体" w:hAnsi="宋体" w:eastAsia="宋体" w:cs="宋体"/>
          <w:b/>
          <w:bCs/>
          <w:spacing w:val="-12"/>
          <w:sz w:val="24"/>
          <w:szCs w:val="24"/>
          <w:highlight w:val="none"/>
          <w:lang w:eastAsia="zh-CN"/>
        </w:rPr>
        <w:t>二、招</w:t>
      </w:r>
      <w:r>
        <w:rPr>
          <w:rFonts w:ascii="宋体" w:hAnsi="宋体" w:eastAsia="宋体" w:cs="宋体"/>
          <w:spacing w:val="36"/>
          <w:sz w:val="24"/>
          <w:szCs w:val="24"/>
          <w:highlight w:val="none"/>
          <w:lang w:eastAsia="zh-CN"/>
        </w:rPr>
        <w:t xml:space="preserve"> </w:t>
      </w:r>
      <w:r>
        <w:rPr>
          <w:rFonts w:ascii="宋体" w:hAnsi="宋体" w:eastAsia="宋体" w:cs="宋体"/>
          <w:b/>
          <w:bCs/>
          <w:spacing w:val="-12"/>
          <w:sz w:val="24"/>
          <w:szCs w:val="24"/>
          <w:highlight w:val="none"/>
          <w:lang w:eastAsia="zh-CN"/>
        </w:rPr>
        <w:t>标</w:t>
      </w:r>
      <w:r>
        <w:rPr>
          <w:rFonts w:ascii="宋体" w:hAnsi="宋体" w:eastAsia="宋体" w:cs="宋体"/>
          <w:spacing w:val="11"/>
          <w:sz w:val="24"/>
          <w:szCs w:val="24"/>
          <w:highlight w:val="none"/>
          <w:lang w:eastAsia="zh-CN"/>
        </w:rPr>
        <w:t xml:space="preserve"> </w:t>
      </w:r>
      <w:r>
        <w:rPr>
          <w:rFonts w:ascii="宋体" w:hAnsi="宋体" w:eastAsia="宋体" w:cs="宋体"/>
          <w:b/>
          <w:bCs/>
          <w:spacing w:val="-12"/>
          <w:sz w:val="24"/>
          <w:szCs w:val="24"/>
          <w:highlight w:val="none"/>
          <w:lang w:eastAsia="zh-CN"/>
        </w:rPr>
        <w:t>文</w:t>
      </w:r>
      <w:r>
        <w:rPr>
          <w:rFonts w:ascii="宋体" w:hAnsi="宋体" w:eastAsia="宋体" w:cs="宋体"/>
          <w:spacing w:val="11"/>
          <w:sz w:val="24"/>
          <w:szCs w:val="24"/>
          <w:highlight w:val="none"/>
          <w:lang w:eastAsia="zh-CN"/>
        </w:rPr>
        <w:t xml:space="preserve"> </w:t>
      </w:r>
      <w:r>
        <w:rPr>
          <w:rFonts w:ascii="宋体" w:hAnsi="宋体" w:eastAsia="宋体" w:cs="宋体"/>
          <w:b/>
          <w:bCs/>
          <w:spacing w:val="-12"/>
          <w:sz w:val="24"/>
          <w:szCs w:val="24"/>
          <w:highlight w:val="none"/>
          <w:lang w:eastAsia="zh-CN"/>
        </w:rPr>
        <w:t>件</w:t>
      </w:r>
    </w:p>
    <w:p w14:paraId="3D283DD6">
      <w:pPr>
        <w:spacing w:before="78" w:line="220" w:lineRule="auto"/>
        <w:ind w:left="520"/>
        <w:rPr>
          <w:rFonts w:ascii="宋体" w:hAnsi="宋体" w:eastAsia="宋体" w:cs="宋体"/>
          <w:sz w:val="24"/>
          <w:szCs w:val="24"/>
          <w:highlight w:val="none"/>
          <w:lang w:eastAsia="zh-CN"/>
        </w:rPr>
      </w:pPr>
      <w:r>
        <w:rPr>
          <w:rFonts w:ascii="宋体" w:hAnsi="宋体" w:eastAsia="宋体" w:cs="宋体"/>
          <w:spacing w:val="-3"/>
          <w:sz w:val="24"/>
          <w:szCs w:val="24"/>
          <w:highlight w:val="none"/>
          <w:lang w:eastAsia="zh-CN"/>
        </w:rPr>
        <w:t>6、招标文件的组成</w:t>
      </w:r>
    </w:p>
    <w:p w14:paraId="6AE24096">
      <w:pPr>
        <w:spacing w:before="179" w:line="288" w:lineRule="auto"/>
        <w:ind w:left="39" w:right="85" w:firstLine="480"/>
        <w:rPr>
          <w:rFonts w:ascii="宋体" w:hAnsi="宋体" w:eastAsia="宋体" w:cs="宋体"/>
          <w:sz w:val="24"/>
          <w:szCs w:val="24"/>
          <w:highlight w:val="none"/>
          <w:lang w:eastAsia="zh-CN"/>
        </w:rPr>
      </w:pPr>
      <w:r>
        <w:rPr>
          <w:rFonts w:ascii="宋体" w:hAnsi="宋体" w:eastAsia="宋体" w:cs="宋体"/>
          <w:spacing w:val="-1"/>
          <w:sz w:val="24"/>
          <w:szCs w:val="24"/>
          <w:highlight w:val="none"/>
          <w:lang w:eastAsia="zh-CN"/>
        </w:rPr>
        <w:t>6.1</w:t>
      </w:r>
      <w:r>
        <w:rPr>
          <w:rFonts w:ascii="宋体" w:hAnsi="宋体" w:eastAsia="宋体" w:cs="宋体"/>
          <w:spacing w:val="-25"/>
          <w:sz w:val="24"/>
          <w:szCs w:val="24"/>
          <w:highlight w:val="none"/>
          <w:lang w:eastAsia="zh-CN"/>
        </w:rPr>
        <w:t xml:space="preserve"> </w:t>
      </w:r>
      <w:r>
        <w:rPr>
          <w:rFonts w:ascii="宋体" w:hAnsi="宋体" w:eastAsia="宋体" w:cs="宋体"/>
          <w:spacing w:val="-1"/>
          <w:sz w:val="24"/>
          <w:szCs w:val="24"/>
          <w:highlight w:val="none"/>
          <w:lang w:eastAsia="zh-CN"/>
        </w:rPr>
        <w:t>招标文件包括招标公告、投标人须知前附表、采购内容、采购项目要求、评</w:t>
      </w:r>
      <w:r>
        <w:rPr>
          <w:rFonts w:ascii="宋体" w:hAnsi="宋体" w:eastAsia="宋体" w:cs="宋体"/>
          <w:spacing w:val="-2"/>
          <w:sz w:val="24"/>
          <w:szCs w:val="24"/>
          <w:highlight w:val="none"/>
          <w:lang w:eastAsia="zh-CN"/>
        </w:rPr>
        <w:t>标及定标、合同样本、投标文件格式及发出的补充性文件。</w:t>
      </w:r>
    </w:p>
    <w:p w14:paraId="0BE554A1">
      <w:pPr>
        <w:spacing w:before="180" w:line="322" w:lineRule="auto"/>
        <w:ind w:left="38" w:right="85" w:firstLine="481"/>
        <w:rPr>
          <w:rFonts w:ascii="宋体" w:hAnsi="宋体" w:eastAsia="宋体" w:cs="宋体"/>
          <w:sz w:val="24"/>
          <w:szCs w:val="24"/>
          <w:highlight w:val="none"/>
          <w:lang w:eastAsia="zh-CN"/>
        </w:rPr>
      </w:pPr>
      <w:r>
        <w:rPr>
          <w:rFonts w:ascii="宋体" w:hAnsi="宋体" w:eastAsia="宋体" w:cs="宋体"/>
          <w:spacing w:val="-1"/>
          <w:sz w:val="24"/>
          <w:szCs w:val="24"/>
          <w:highlight w:val="none"/>
          <w:lang w:eastAsia="zh-CN"/>
        </w:rPr>
        <w:t>6.2</w:t>
      </w:r>
      <w:r>
        <w:rPr>
          <w:rFonts w:ascii="宋体" w:hAnsi="宋体" w:eastAsia="宋体" w:cs="宋体"/>
          <w:spacing w:val="-25"/>
          <w:sz w:val="24"/>
          <w:szCs w:val="24"/>
          <w:highlight w:val="none"/>
          <w:lang w:eastAsia="zh-CN"/>
        </w:rPr>
        <w:t xml:space="preserve"> </w:t>
      </w:r>
      <w:r>
        <w:rPr>
          <w:rFonts w:ascii="宋体" w:hAnsi="宋体" w:eastAsia="宋体" w:cs="宋体"/>
          <w:spacing w:val="-1"/>
          <w:sz w:val="24"/>
          <w:szCs w:val="24"/>
          <w:highlight w:val="none"/>
          <w:lang w:eastAsia="zh-CN"/>
        </w:rPr>
        <w:t>投标供应商应详细阅读招标文件中的所有条款内容、格式、表格和所涉及的</w:t>
      </w:r>
      <w:r>
        <w:rPr>
          <w:rFonts w:ascii="宋体" w:hAnsi="宋体" w:eastAsia="宋体" w:cs="宋体"/>
          <w:spacing w:val="-5"/>
          <w:sz w:val="24"/>
          <w:szCs w:val="24"/>
          <w:highlight w:val="none"/>
          <w:lang w:eastAsia="zh-CN"/>
        </w:rPr>
        <w:t>相关规范。如果投标供应商不按招标文件的要求提交电子化投标文件和资料的，或者</w:t>
      </w:r>
      <w:r>
        <w:rPr>
          <w:rFonts w:ascii="宋体" w:hAnsi="宋体" w:eastAsia="宋体" w:cs="宋体"/>
          <w:spacing w:val="-2"/>
          <w:sz w:val="24"/>
          <w:szCs w:val="24"/>
          <w:highlight w:val="none"/>
          <w:lang w:eastAsia="zh-CN"/>
        </w:rPr>
        <w:t>电子化投标文件没有对招标文件提出的实质性要求和条件作出响应，将导致电子化投标文件不被接受，其后果由投标供应商自己负责。</w:t>
      </w:r>
    </w:p>
    <w:p w14:paraId="58109E0A">
      <w:pPr>
        <w:spacing w:before="178" w:line="220" w:lineRule="auto"/>
        <w:ind w:left="523"/>
        <w:rPr>
          <w:rFonts w:ascii="宋体" w:hAnsi="宋体" w:eastAsia="宋体" w:cs="宋体"/>
          <w:sz w:val="24"/>
          <w:szCs w:val="24"/>
          <w:highlight w:val="none"/>
          <w:lang w:eastAsia="zh-CN"/>
        </w:rPr>
      </w:pPr>
      <w:r>
        <w:rPr>
          <w:rFonts w:ascii="宋体" w:hAnsi="宋体" w:eastAsia="宋体" w:cs="宋体"/>
          <w:spacing w:val="-3"/>
          <w:sz w:val="24"/>
          <w:szCs w:val="24"/>
          <w:highlight w:val="none"/>
          <w:lang w:eastAsia="zh-CN"/>
        </w:rPr>
        <w:t>7、招标文件的澄清</w:t>
      </w:r>
    </w:p>
    <w:p w14:paraId="4279FF64">
      <w:pPr>
        <w:spacing w:before="180" w:line="357" w:lineRule="auto"/>
        <w:ind w:left="36" w:right="83" w:firstLine="484"/>
        <w:rPr>
          <w:rFonts w:ascii="宋体" w:hAnsi="宋体" w:eastAsia="宋体" w:cs="宋体"/>
          <w:sz w:val="24"/>
          <w:szCs w:val="24"/>
          <w:highlight w:val="none"/>
          <w:lang w:eastAsia="zh-CN"/>
        </w:rPr>
      </w:pPr>
      <w:r>
        <w:rPr>
          <w:rFonts w:ascii="宋体" w:hAnsi="宋体" w:eastAsia="宋体" w:cs="宋体"/>
          <w:spacing w:val="-2"/>
          <w:sz w:val="24"/>
          <w:szCs w:val="24"/>
          <w:highlight w:val="none"/>
          <w:lang w:eastAsia="zh-CN"/>
        </w:rPr>
        <w:t>投标供应商如对招标文件有异议的，请于招标文件规定的投标截止时间15天前</w:t>
      </w:r>
      <w:r>
        <w:rPr>
          <w:rFonts w:ascii="宋体" w:hAnsi="宋体" w:eastAsia="宋体" w:cs="宋体"/>
          <w:spacing w:val="-1"/>
          <w:sz w:val="24"/>
          <w:szCs w:val="24"/>
          <w:highlight w:val="none"/>
          <w:lang w:eastAsia="zh-CN"/>
        </w:rPr>
        <w:t>将问题以书面形式提交招标代理机构（加盖单位公章和法定代表人签字</w:t>
      </w:r>
      <w:r>
        <w:rPr>
          <w:rFonts w:ascii="宋体" w:hAnsi="宋体" w:eastAsia="宋体" w:cs="宋体"/>
          <w:spacing w:val="-11"/>
          <w:sz w:val="24"/>
          <w:szCs w:val="24"/>
          <w:highlight w:val="none"/>
          <w:lang w:eastAsia="zh-CN"/>
        </w:rPr>
        <w:t>），</w:t>
      </w:r>
      <w:r>
        <w:rPr>
          <w:rFonts w:ascii="宋体" w:hAnsi="宋体" w:eastAsia="宋体" w:cs="宋体"/>
          <w:spacing w:val="-1"/>
          <w:sz w:val="24"/>
          <w:szCs w:val="24"/>
          <w:highlight w:val="none"/>
          <w:lang w:eastAsia="zh-CN"/>
        </w:rPr>
        <w:t>否则，将</w:t>
      </w:r>
      <w:r>
        <w:rPr>
          <w:rFonts w:ascii="宋体" w:hAnsi="宋体" w:eastAsia="宋体" w:cs="宋体"/>
          <w:spacing w:val="-3"/>
          <w:sz w:val="24"/>
          <w:szCs w:val="24"/>
          <w:highlight w:val="none"/>
          <w:lang w:eastAsia="zh-CN"/>
        </w:rPr>
        <w:t>被视为认可本招标文件所有内容。</w:t>
      </w:r>
    </w:p>
    <w:p w14:paraId="456C91F7">
      <w:pPr>
        <w:spacing w:line="219" w:lineRule="auto"/>
        <w:ind w:left="519"/>
        <w:rPr>
          <w:rFonts w:ascii="宋体" w:hAnsi="宋体" w:eastAsia="宋体" w:cs="宋体"/>
          <w:sz w:val="24"/>
          <w:szCs w:val="24"/>
          <w:highlight w:val="none"/>
          <w:lang w:eastAsia="zh-CN"/>
        </w:rPr>
      </w:pPr>
      <w:r>
        <w:rPr>
          <w:rFonts w:ascii="宋体" w:hAnsi="宋体" w:eastAsia="宋体" w:cs="宋体"/>
          <w:spacing w:val="-2"/>
          <w:sz w:val="24"/>
          <w:szCs w:val="24"/>
          <w:highlight w:val="none"/>
          <w:lang w:eastAsia="zh-CN"/>
        </w:rPr>
        <w:t>8、招标文件的澄清及修改</w:t>
      </w:r>
    </w:p>
    <w:p w14:paraId="3EF8B9A7">
      <w:pPr>
        <w:spacing w:before="181" w:line="329" w:lineRule="auto"/>
        <w:ind w:left="37" w:right="85" w:firstLine="481"/>
        <w:rPr>
          <w:rFonts w:ascii="宋体" w:hAnsi="宋体" w:eastAsia="宋体" w:cs="宋体"/>
          <w:sz w:val="24"/>
          <w:szCs w:val="24"/>
          <w:highlight w:val="none"/>
          <w:lang w:eastAsia="zh-CN"/>
        </w:rPr>
      </w:pPr>
      <w:r>
        <w:rPr>
          <w:rFonts w:ascii="宋体" w:hAnsi="宋体" w:eastAsia="宋体" w:cs="宋体"/>
          <w:spacing w:val="-1"/>
          <w:sz w:val="24"/>
          <w:szCs w:val="24"/>
          <w:highlight w:val="none"/>
          <w:lang w:eastAsia="zh-CN"/>
        </w:rPr>
        <w:t>8.1</w:t>
      </w:r>
      <w:r>
        <w:rPr>
          <w:rFonts w:ascii="宋体" w:hAnsi="宋体" w:eastAsia="宋体" w:cs="宋体"/>
          <w:spacing w:val="-24"/>
          <w:sz w:val="24"/>
          <w:szCs w:val="24"/>
          <w:highlight w:val="none"/>
          <w:lang w:eastAsia="zh-CN"/>
        </w:rPr>
        <w:t xml:space="preserve"> </w:t>
      </w:r>
      <w:r>
        <w:rPr>
          <w:rFonts w:ascii="宋体" w:hAnsi="宋体" w:eastAsia="宋体" w:cs="宋体"/>
          <w:spacing w:val="-1"/>
          <w:sz w:val="24"/>
          <w:szCs w:val="24"/>
          <w:highlight w:val="none"/>
          <w:lang w:eastAsia="zh-CN"/>
        </w:rPr>
        <w:t>投标人对招标文件任何部分若有任何疑问，请以书面形式在投标人须知前附</w:t>
      </w:r>
      <w:r>
        <w:rPr>
          <w:rFonts w:ascii="宋体" w:hAnsi="宋体" w:eastAsia="宋体" w:cs="宋体"/>
          <w:spacing w:val="-2"/>
          <w:sz w:val="24"/>
          <w:szCs w:val="24"/>
          <w:highlight w:val="none"/>
          <w:lang w:eastAsia="zh-CN"/>
        </w:rPr>
        <w:t>表所规定的时间前向采购人、采购代理机构提交。采购人、采购代理机构根据需要可以主动对招标文件进行必要的澄清或修改，或是根据投标人的要求对招标文件做出澄清或修改，澄清或修改内容都将在发布招标公告的网址上公布。澄清或修改内容作为招标文件的组成部分，对所有投标人均具有约束力。</w:t>
      </w:r>
    </w:p>
    <w:p w14:paraId="37E61662">
      <w:pPr>
        <w:spacing w:before="180" w:line="288" w:lineRule="auto"/>
        <w:ind w:left="41" w:right="85" w:firstLine="478"/>
        <w:rPr>
          <w:rFonts w:ascii="宋体" w:hAnsi="宋体" w:eastAsia="宋体" w:cs="宋体"/>
          <w:sz w:val="24"/>
          <w:szCs w:val="24"/>
          <w:highlight w:val="none"/>
          <w:lang w:eastAsia="zh-CN"/>
        </w:rPr>
      </w:pPr>
      <w:r>
        <w:rPr>
          <w:rFonts w:ascii="宋体" w:hAnsi="宋体" w:eastAsia="宋体" w:cs="宋体"/>
          <w:spacing w:val="-1"/>
          <w:sz w:val="24"/>
          <w:szCs w:val="24"/>
          <w:highlight w:val="none"/>
          <w:lang w:eastAsia="zh-CN"/>
        </w:rPr>
        <w:t>8.2</w:t>
      </w:r>
      <w:r>
        <w:rPr>
          <w:rFonts w:ascii="宋体" w:hAnsi="宋体" w:eastAsia="宋体" w:cs="宋体"/>
          <w:spacing w:val="-24"/>
          <w:sz w:val="24"/>
          <w:szCs w:val="24"/>
          <w:highlight w:val="none"/>
          <w:lang w:eastAsia="zh-CN"/>
        </w:rPr>
        <w:t xml:space="preserve"> </w:t>
      </w:r>
      <w:r>
        <w:rPr>
          <w:rFonts w:ascii="宋体" w:hAnsi="宋体" w:eastAsia="宋体" w:cs="宋体"/>
          <w:spacing w:val="-1"/>
          <w:sz w:val="24"/>
          <w:szCs w:val="24"/>
          <w:highlight w:val="none"/>
          <w:lang w:eastAsia="zh-CN"/>
        </w:rPr>
        <w:t>当招标文件、修改补充通知、澄清文件内容相互矛盾时，以最后发出的通知</w:t>
      </w:r>
      <w:r>
        <w:rPr>
          <w:rFonts w:ascii="宋体" w:hAnsi="宋体" w:eastAsia="宋体" w:cs="宋体"/>
          <w:spacing w:val="-6"/>
          <w:sz w:val="24"/>
          <w:szCs w:val="24"/>
          <w:highlight w:val="none"/>
          <w:lang w:eastAsia="zh-CN"/>
        </w:rPr>
        <w:t>或修改文件为准。</w:t>
      </w:r>
    </w:p>
    <w:p w14:paraId="7A84F8E5">
      <w:pPr>
        <w:spacing w:before="175" w:line="335" w:lineRule="auto"/>
        <w:ind w:left="37" w:firstLine="481"/>
        <w:rPr>
          <w:rFonts w:ascii="宋体" w:hAnsi="宋体" w:eastAsia="宋体" w:cs="宋体"/>
          <w:sz w:val="24"/>
          <w:szCs w:val="24"/>
          <w:highlight w:val="none"/>
          <w:lang w:eastAsia="zh-CN"/>
        </w:rPr>
      </w:pPr>
      <w:r>
        <w:rPr>
          <w:rFonts w:ascii="宋体" w:hAnsi="宋体" w:eastAsia="宋体" w:cs="宋体"/>
          <w:spacing w:val="-2"/>
          <w:sz w:val="24"/>
          <w:szCs w:val="24"/>
          <w:highlight w:val="none"/>
          <w:lang w:eastAsia="zh-CN"/>
        </w:rPr>
        <w:t>8.3</w:t>
      </w:r>
      <w:r>
        <w:rPr>
          <w:rFonts w:ascii="宋体" w:hAnsi="宋体" w:eastAsia="宋体" w:cs="宋体"/>
          <w:spacing w:val="-21"/>
          <w:sz w:val="24"/>
          <w:szCs w:val="24"/>
          <w:highlight w:val="none"/>
          <w:lang w:eastAsia="zh-CN"/>
        </w:rPr>
        <w:t xml:space="preserve"> </w:t>
      </w:r>
      <w:r>
        <w:rPr>
          <w:rFonts w:ascii="宋体" w:hAnsi="宋体" w:eastAsia="宋体" w:cs="宋体"/>
          <w:spacing w:val="-2"/>
          <w:sz w:val="24"/>
          <w:szCs w:val="24"/>
          <w:highlight w:val="none"/>
          <w:lang w:eastAsia="zh-CN"/>
        </w:rPr>
        <w:t>为使投标人在编写投标文件时有充分时间对招标文件的修改部分进行研究，</w:t>
      </w:r>
      <w:r>
        <w:rPr>
          <w:rFonts w:ascii="宋体" w:hAnsi="宋体" w:eastAsia="宋体" w:cs="宋体"/>
          <w:spacing w:val="1"/>
          <w:sz w:val="24"/>
          <w:szCs w:val="24"/>
          <w:highlight w:val="none"/>
          <w:lang w:eastAsia="zh-CN"/>
        </w:rPr>
        <w:t>招标人可以酌情延长递交投标文件的截止日期，具体时间将在</w:t>
      </w:r>
      <w:r>
        <w:rPr>
          <w:rFonts w:ascii="宋体" w:hAnsi="宋体" w:eastAsia="宋体" w:cs="宋体"/>
          <w:sz w:val="24"/>
          <w:szCs w:val="24"/>
          <w:highlight w:val="none"/>
          <w:lang w:eastAsia="zh-CN"/>
        </w:rPr>
        <w:t>修改补充通知中明确。</w:t>
      </w:r>
      <w:r>
        <w:rPr>
          <w:rFonts w:ascii="宋体" w:hAnsi="宋体" w:eastAsia="宋体" w:cs="宋体"/>
          <w:spacing w:val="-2"/>
          <w:sz w:val="24"/>
          <w:szCs w:val="24"/>
          <w:highlight w:val="none"/>
          <w:lang w:eastAsia="zh-CN"/>
        </w:rPr>
        <w:t>澄清或者修改的内容可能影响投标文件编制的，招标人或者采购代理机构应当在投标</w:t>
      </w:r>
      <w:r>
        <w:rPr>
          <w:rFonts w:ascii="宋体" w:hAnsi="宋体" w:eastAsia="宋体" w:cs="宋体"/>
          <w:spacing w:val="-1"/>
          <w:sz w:val="24"/>
          <w:szCs w:val="24"/>
          <w:highlight w:val="none"/>
          <w:lang w:eastAsia="zh-CN"/>
        </w:rPr>
        <w:t>截止时间至少15日前，以在发布招标公</w:t>
      </w:r>
      <w:r>
        <w:rPr>
          <w:rFonts w:ascii="宋体" w:hAnsi="宋体" w:eastAsia="宋体" w:cs="宋体"/>
          <w:spacing w:val="-2"/>
          <w:sz w:val="24"/>
          <w:szCs w:val="24"/>
          <w:highlight w:val="none"/>
          <w:lang w:eastAsia="zh-CN"/>
        </w:rPr>
        <w:t>告的网址上公布通知所有获取招标文件的潜</w:t>
      </w:r>
      <w:r>
        <w:rPr>
          <w:rFonts w:ascii="宋体" w:hAnsi="宋体" w:eastAsia="宋体" w:cs="宋体"/>
          <w:spacing w:val="-1"/>
          <w:sz w:val="24"/>
          <w:szCs w:val="24"/>
          <w:highlight w:val="none"/>
          <w:lang w:eastAsia="zh-CN"/>
        </w:rPr>
        <w:t>在投标人；不足15日的，招标人或者采购</w:t>
      </w:r>
      <w:r>
        <w:rPr>
          <w:rFonts w:ascii="宋体" w:hAnsi="宋体" w:eastAsia="宋体" w:cs="宋体"/>
          <w:spacing w:val="-2"/>
          <w:sz w:val="24"/>
          <w:szCs w:val="24"/>
          <w:highlight w:val="none"/>
          <w:lang w:eastAsia="zh-CN"/>
        </w:rPr>
        <w:t>代理机构应当顺延提交投标文件的截止时</w:t>
      </w:r>
      <w:r>
        <w:rPr>
          <w:rFonts w:ascii="宋体" w:hAnsi="宋体" w:eastAsia="宋体" w:cs="宋体"/>
          <w:spacing w:val="-11"/>
          <w:sz w:val="24"/>
          <w:szCs w:val="24"/>
          <w:highlight w:val="none"/>
          <w:lang w:eastAsia="zh-CN"/>
        </w:rPr>
        <w:t>间。</w:t>
      </w:r>
    </w:p>
    <w:p w14:paraId="0BFFD5B2">
      <w:pPr>
        <w:spacing w:before="173" w:line="220" w:lineRule="auto"/>
        <w:ind w:left="3249"/>
        <w:rPr>
          <w:rFonts w:ascii="宋体" w:hAnsi="宋体" w:eastAsia="宋体" w:cs="宋体"/>
          <w:sz w:val="24"/>
          <w:szCs w:val="24"/>
          <w:highlight w:val="none"/>
          <w:lang w:eastAsia="zh-CN"/>
        </w:rPr>
      </w:pPr>
      <w:r>
        <w:rPr>
          <w:rFonts w:ascii="宋体" w:hAnsi="宋体" w:eastAsia="宋体" w:cs="宋体"/>
          <w:b/>
          <w:bCs/>
          <w:spacing w:val="-3"/>
          <w:sz w:val="24"/>
          <w:szCs w:val="24"/>
          <w:highlight w:val="none"/>
          <w:lang w:eastAsia="zh-CN"/>
        </w:rPr>
        <w:t>三、电子化投标文件的编制</w:t>
      </w:r>
    </w:p>
    <w:p w14:paraId="32E987A5">
      <w:pPr>
        <w:spacing w:before="180" w:line="220" w:lineRule="auto"/>
        <w:ind w:left="519"/>
        <w:rPr>
          <w:rFonts w:ascii="宋体" w:hAnsi="宋体" w:eastAsia="宋体" w:cs="宋体"/>
          <w:sz w:val="24"/>
          <w:szCs w:val="24"/>
          <w:highlight w:val="none"/>
          <w:lang w:eastAsia="zh-CN"/>
        </w:rPr>
      </w:pPr>
      <w:r>
        <w:rPr>
          <w:rFonts w:ascii="宋体" w:hAnsi="宋体" w:eastAsia="宋体" w:cs="宋体"/>
          <w:spacing w:val="-6"/>
          <w:sz w:val="24"/>
          <w:szCs w:val="24"/>
          <w:highlight w:val="none"/>
          <w:lang w:eastAsia="zh-CN"/>
        </w:rPr>
        <w:t>9、特别说明</w:t>
      </w:r>
    </w:p>
    <w:p w14:paraId="3E6AC9D7">
      <w:pPr>
        <w:spacing w:before="178" w:line="220" w:lineRule="auto"/>
        <w:ind w:left="519"/>
        <w:rPr>
          <w:rFonts w:ascii="宋体" w:hAnsi="宋体" w:eastAsia="宋体" w:cs="宋体"/>
          <w:sz w:val="24"/>
          <w:szCs w:val="24"/>
          <w:highlight w:val="none"/>
          <w:lang w:eastAsia="zh-CN"/>
        </w:rPr>
      </w:pPr>
      <w:r>
        <w:rPr>
          <w:rFonts w:ascii="宋体" w:hAnsi="宋体" w:eastAsia="宋体" w:cs="宋体"/>
          <w:spacing w:val="-3"/>
          <w:sz w:val="24"/>
          <w:szCs w:val="24"/>
          <w:highlight w:val="none"/>
          <w:lang w:eastAsia="zh-CN"/>
        </w:rPr>
        <w:t>9.1</w:t>
      </w:r>
      <w:r>
        <w:rPr>
          <w:rFonts w:ascii="宋体" w:hAnsi="宋体" w:eastAsia="宋体" w:cs="宋体"/>
          <w:spacing w:val="12"/>
          <w:sz w:val="24"/>
          <w:szCs w:val="24"/>
          <w:highlight w:val="none"/>
          <w:lang w:eastAsia="zh-CN"/>
        </w:rPr>
        <w:t xml:space="preserve"> </w:t>
      </w:r>
      <w:r>
        <w:rPr>
          <w:rFonts w:ascii="宋体" w:hAnsi="宋体" w:eastAsia="宋体" w:cs="宋体"/>
          <w:spacing w:val="-3"/>
          <w:sz w:val="24"/>
          <w:szCs w:val="24"/>
          <w:highlight w:val="none"/>
          <w:lang w:eastAsia="zh-CN"/>
        </w:rPr>
        <w:t>投标语言</w:t>
      </w:r>
    </w:p>
    <w:p w14:paraId="0721A5D7">
      <w:pPr>
        <w:spacing w:before="176" w:line="322" w:lineRule="auto"/>
        <w:ind w:left="37" w:right="85" w:firstLine="483"/>
        <w:rPr>
          <w:rFonts w:ascii="宋体" w:hAnsi="宋体" w:eastAsia="宋体" w:cs="宋体"/>
          <w:spacing w:val="-2"/>
          <w:sz w:val="24"/>
          <w:szCs w:val="24"/>
          <w:highlight w:val="none"/>
          <w:lang w:eastAsia="zh-CN"/>
        </w:rPr>
      </w:pPr>
      <w:r>
        <w:rPr>
          <w:rFonts w:ascii="宋体" w:hAnsi="宋体" w:eastAsia="宋体" w:cs="宋体"/>
          <w:spacing w:val="5"/>
          <w:sz w:val="24"/>
          <w:szCs w:val="24"/>
          <w:highlight w:val="none"/>
          <w:lang w:eastAsia="zh-CN"/>
        </w:rPr>
        <w:t>投</w:t>
      </w:r>
      <w:r>
        <w:rPr>
          <w:rFonts w:ascii="宋体" w:hAnsi="宋体" w:eastAsia="宋体" w:cs="宋体"/>
          <w:spacing w:val="-2"/>
          <w:sz w:val="24"/>
          <w:szCs w:val="24"/>
          <w:highlight w:val="none"/>
          <w:lang w:eastAsia="zh-CN"/>
        </w:rPr>
        <w:t>标供应商提交的投标文件以及投标供应商与采购代理机构就有关投标的所有往来函电均应使用中文。投标供应商提供的文件可以用英文，但相应内容应附有中文翻译本，在解释时以中文翻译本为准。</w:t>
      </w:r>
    </w:p>
    <w:p w14:paraId="6022C5A3">
      <w:pPr>
        <w:spacing w:before="178" w:line="221" w:lineRule="auto"/>
        <w:ind w:left="519"/>
        <w:rPr>
          <w:rFonts w:ascii="宋体" w:hAnsi="宋体" w:eastAsia="宋体" w:cs="宋体"/>
          <w:sz w:val="24"/>
          <w:szCs w:val="24"/>
          <w:highlight w:val="none"/>
          <w:lang w:eastAsia="zh-CN"/>
        </w:rPr>
      </w:pPr>
      <w:r>
        <w:rPr>
          <w:rFonts w:ascii="宋体" w:hAnsi="宋体" w:eastAsia="宋体" w:cs="宋体"/>
          <w:spacing w:val="-4"/>
          <w:sz w:val="24"/>
          <w:szCs w:val="24"/>
          <w:highlight w:val="none"/>
          <w:lang w:eastAsia="zh-CN"/>
        </w:rPr>
        <w:t>9.2</w:t>
      </w:r>
      <w:r>
        <w:rPr>
          <w:rFonts w:ascii="宋体" w:hAnsi="宋体" w:eastAsia="宋体" w:cs="宋体"/>
          <w:spacing w:val="13"/>
          <w:sz w:val="24"/>
          <w:szCs w:val="24"/>
          <w:highlight w:val="none"/>
          <w:lang w:eastAsia="zh-CN"/>
        </w:rPr>
        <w:t xml:space="preserve"> </w:t>
      </w:r>
      <w:r>
        <w:rPr>
          <w:rFonts w:ascii="宋体" w:hAnsi="宋体" w:eastAsia="宋体" w:cs="宋体"/>
          <w:spacing w:val="-4"/>
          <w:sz w:val="24"/>
          <w:szCs w:val="24"/>
          <w:highlight w:val="none"/>
          <w:lang w:eastAsia="zh-CN"/>
        </w:rPr>
        <w:t>计量</w:t>
      </w:r>
    </w:p>
    <w:p w14:paraId="03AAE856">
      <w:pPr>
        <w:spacing w:before="178" w:line="219" w:lineRule="auto"/>
        <w:ind w:left="517"/>
        <w:rPr>
          <w:rFonts w:ascii="宋体" w:hAnsi="宋体" w:eastAsia="宋体" w:cs="宋体"/>
          <w:sz w:val="24"/>
          <w:szCs w:val="24"/>
          <w:highlight w:val="none"/>
          <w:lang w:eastAsia="zh-CN"/>
        </w:rPr>
      </w:pPr>
      <w:r>
        <w:rPr>
          <w:rFonts w:ascii="宋体" w:hAnsi="宋体" w:eastAsia="宋体" w:cs="宋体"/>
          <w:spacing w:val="-1"/>
          <w:sz w:val="24"/>
          <w:szCs w:val="24"/>
          <w:highlight w:val="none"/>
          <w:lang w:eastAsia="zh-CN"/>
        </w:rPr>
        <w:t>在电子化投标文件所有计量单位均采用中华</w:t>
      </w:r>
      <w:r>
        <w:rPr>
          <w:rFonts w:ascii="宋体" w:hAnsi="宋体" w:eastAsia="宋体" w:cs="宋体"/>
          <w:spacing w:val="-2"/>
          <w:sz w:val="24"/>
          <w:szCs w:val="24"/>
          <w:highlight w:val="none"/>
          <w:lang w:eastAsia="zh-CN"/>
        </w:rPr>
        <w:t>人民共和国法定计量单位。</w:t>
      </w:r>
    </w:p>
    <w:p w14:paraId="69FD8B12">
      <w:pPr>
        <w:spacing w:before="176" w:line="323" w:lineRule="auto"/>
        <w:ind w:left="38" w:right="16" w:firstLine="480"/>
        <w:rPr>
          <w:rFonts w:ascii="宋体" w:hAnsi="宋体" w:eastAsia="宋体" w:cs="宋体"/>
          <w:sz w:val="24"/>
          <w:szCs w:val="24"/>
          <w:highlight w:val="none"/>
          <w:lang w:eastAsia="zh-CN"/>
        </w:rPr>
      </w:pPr>
      <w:r>
        <w:rPr>
          <w:rFonts w:ascii="宋体" w:hAnsi="宋体" w:eastAsia="宋体" w:cs="宋体"/>
          <w:sz w:val="24"/>
          <w:szCs w:val="24"/>
          <w:highlight w:val="none"/>
          <w:lang w:eastAsia="zh-CN"/>
        </w:rPr>
        <w:t>9.3</w:t>
      </w:r>
      <w:r>
        <w:rPr>
          <w:rFonts w:ascii="宋体" w:hAnsi="宋体" w:eastAsia="宋体" w:cs="宋体"/>
          <w:spacing w:val="-36"/>
          <w:sz w:val="24"/>
          <w:szCs w:val="24"/>
          <w:highlight w:val="none"/>
          <w:lang w:eastAsia="zh-CN"/>
        </w:rPr>
        <w:t xml:space="preserve"> </w:t>
      </w:r>
      <w:r>
        <w:rPr>
          <w:rFonts w:ascii="宋体" w:hAnsi="宋体" w:eastAsia="宋体" w:cs="宋体"/>
          <w:sz w:val="24"/>
          <w:szCs w:val="24"/>
          <w:highlight w:val="none"/>
          <w:lang w:eastAsia="zh-CN"/>
        </w:rPr>
        <w:t>投标供应商在投标文件中所提交的所有资料和文</w:t>
      </w:r>
      <w:r>
        <w:rPr>
          <w:rFonts w:ascii="宋体" w:hAnsi="宋体" w:eastAsia="宋体" w:cs="宋体"/>
          <w:spacing w:val="-1"/>
          <w:sz w:val="24"/>
          <w:szCs w:val="24"/>
          <w:highlight w:val="none"/>
          <w:lang w:eastAsia="zh-CN"/>
        </w:rPr>
        <w:t>件均应是真实的和有效的，</w:t>
      </w:r>
      <w:r>
        <w:rPr>
          <w:rFonts w:ascii="宋体" w:hAnsi="宋体" w:eastAsia="宋体" w:cs="宋体"/>
          <w:sz w:val="24"/>
          <w:szCs w:val="24"/>
          <w:highlight w:val="none"/>
          <w:lang w:eastAsia="zh-CN"/>
        </w:rPr>
        <w:t>如有作假，则将该投标供应商的投标作无效标处理，若中标后被发现有上述行为的，</w:t>
      </w:r>
      <w:r>
        <w:rPr>
          <w:rFonts w:ascii="宋体" w:hAnsi="宋体" w:eastAsia="宋体" w:cs="宋体"/>
          <w:spacing w:val="-2"/>
          <w:sz w:val="24"/>
          <w:szCs w:val="24"/>
          <w:highlight w:val="none"/>
          <w:lang w:eastAsia="zh-CN"/>
        </w:rPr>
        <w:t>则采购人有权取消其中标资格，并且该投标供应商应承担由此而造成的一切损失（包</w:t>
      </w:r>
      <w:r>
        <w:rPr>
          <w:rFonts w:ascii="宋体" w:hAnsi="宋体" w:eastAsia="宋体" w:cs="宋体"/>
          <w:spacing w:val="-1"/>
          <w:sz w:val="24"/>
          <w:szCs w:val="24"/>
          <w:highlight w:val="none"/>
          <w:lang w:eastAsia="zh-CN"/>
        </w:rPr>
        <w:t>括经济损失和法律责任）。</w:t>
      </w:r>
    </w:p>
    <w:p w14:paraId="152FE866">
      <w:pPr>
        <w:spacing w:before="179" w:line="311" w:lineRule="auto"/>
        <w:ind w:left="36" w:right="82" w:firstLine="482"/>
        <w:rPr>
          <w:rFonts w:ascii="宋体" w:hAnsi="宋体" w:eastAsia="宋体" w:cs="宋体"/>
          <w:sz w:val="24"/>
          <w:szCs w:val="24"/>
          <w:highlight w:val="none"/>
          <w:lang w:eastAsia="zh-CN"/>
        </w:rPr>
      </w:pPr>
      <w:r>
        <w:rPr>
          <w:rFonts w:ascii="宋体" w:hAnsi="宋体" w:eastAsia="宋体" w:cs="宋体"/>
          <w:spacing w:val="-1"/>
          <w:sz w:val="24"/>
          <w:szCs w:val="24"/>
          <w:highlight w:val="none"/>
          <w:lang w:eastAsia="zh-CN"/>
        </w:rPr>
        <w:t>9.4</w:t>
      </w:r>
      <w:r>
        <w:rPr>
          <w:rFonts w:ascii="宋体" w:hAnsi="宋体" w:eastAsia="宋体" w:cs="宋体"/>
          <w:spacing w:val="-24"/>
          <w:sz w:val="24"/>
          <w:szCs w:val="24"/>
          <w:highlight w:val="none"/>
          <w:lang w:eastAsia="zh-CN"/>
        </w:rPr>
        <w:t xml:space="preserve"> </w:t>
      </w:r>
      <w:r>
        <w:rPr>
          <w:rFonts w:ascii="宋体" w:hAnsi="宋体" w:eastAsia="宋体" w:cs="宋体"/>
          <w:spacing w:val="-1"/>
          <w:sz w:val="24"/>
          <w:szCs w:val="24"/>
          <w:highlight w:val="none"/>
          <w:lang w:eastAsia="zh-CN"/>
        </w:rPr>
        <w:t>投标供应商应当按照招标文件和电子招标投标交易平台的要求编制并加密电</w:t>
      </w:r>
      <w:r>
        <w:rPr>
          <w:rFonts w:ascii="宋体" w:hAnsi="宋体" w:eastAsia="宋体" w:cs="宋体"/>
          <w:spacing w:val="-5"/>
          <w:sz w:val="24"/>
          <w:szCs w:val="24"/>
          <w:highlight w:val="none"/>
          <w:lang w:eastAsia="zh-CN"/>
        </w:rPr>
        <w:t>子化投标文件。投标供应商未按规定加密的电子化投标文件，电子招标投标交易平台</w:t>
      </w:r>
      <w:r>
        <w:rPr>
          <w:rFonts w:ascii="宋体" w:hAnsi="宋体" w:eastAsia="宋体" w:cs="宋体"/>
          <w:spacing w:val="-6"/>
          <w:sz w:val="24"/>
          <w:szCs w:val="24"/>
          <w:highlight w:val="none"/>
          <w:lang w:eastAsia="zh-CN"/>
        </w:rPr>
        <w:t>将拒收并提示。</w:t>
      </w:r>
    </w:p>
    <w:p w14:paraId="1A7072C2">
      <w:pPr>
        <w:spacing w:before="175" w:line="323" w:lineRule="auto"/>
        <w:ind w:left="37" w:right="16" w:firstLine="481"/>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spacing w:val="-1"/>
          <w:sz w:val="24"/>
          <w:szCs w:val="24"/>
          <w:highlight w:val="none"/>
          <w:lang w:eastAsia="zh-CN"/>
        </w:rPr>
        <w:t>9.5</w:t>
      </w:r>
      <w:r>
        <w:rPr>
          <w:rFonts w:ascii="宋体" w:hAnsi="宋体" w:eastAsia="宋体" w:cs="宋体"/>
          <w:spacing w:val="-24"/>
          <w:sz w:val="24"/>
          <w:szCs w:val="24"/>
          <w:highlight w:val="none"/>
          <w:lang w:eastAsia="zh-CN"/>
        </w:rPr>
        <w:t xml:space="preserve"> </w:t>
      </w:r>
      <w:r>
        <w:rPr>
          <w:rFonts w:ascii="宋体" w:hAnsi="宋体" w:eastAsia="宋体" w:cs="宋体"/>
          <w:spacing w:val="-1"/>
          <w:sz w:val="24"/>
          <w:szCs w:val="24"/>
          <w:highlight w:val="none"/>
          <w:lang w:eastAsia="zh-CN"/>
        </w:rPr>
        <w:t>投标供应商应当在投标截止时间前完成投标文件电子版的传输递交，并可以</w:t>
      </w:r>
      <w:r>
        <w:rPr>
          <w:rFonts w:ascii="宋体" w:hAnsi="宋体" w:eastAsia="宋体" w:cs="宋体"/>
          <w:spacing w:val="-6"/>
          <w:sz w:val="24"/>
          <w:szCs w:val="24"/>
          <w:highlight w:val="none"/>
          <w:lang w:eastAsia="zh-CN"/>
        </w:rPr>
        <w:t>补充、修改或者撤回电子化投标文件。投标截止时间前未完成电子化投标文件传</w:t>
      </w:r>
      <w:r>
        <w:rPr>
          <w:rFonts w:ascii="宋体" w:hAnsi="宋体" w:eastAsia="宋体" w:cs="宋体"/>
          <w:spacing w:val="-7"/>
          <w:sz w:val="24"/>
          <w:szCs w:val="24"/>
          <w:highlight w:val="none"/>
          <w:lang w:eastAsia="zh-CN"/>
        </w:rPr>
        <w:t>输的，</w:t>
      </w:r>
      <w:r>
        <w:rPr>
          <w:rFonts w:ascii="宋体" w:hAnsi="宋体" w:eastAsia="宋体" w:cs="宋体"/>
          <w:spacing w:val="-5"/>
          <w:sz w:val="24"/>
          <w:szCs w:val="24"/>
          <w:highlight w:val="none"/>
          <w:lang w:eastAsia="zh-CN"/>
        </w:rPr>
        <w:t>视为撤回电</w:t>
      </w:r>
      <w:r>
        <w:rPr>
          <w:rFonts w:ascii="宋体" w:hAnsi="宋体" w:eastAsia="宋体" w:cs="宋体"/>
          <w:color w:val="000000" w:themeColor="text1"/>
          <w:spacing w:val="-5"/>
          <w:sz w:val="24"/>
          <w:szCs w:val="24"/>
          <w:highlight w:val="none"/>
          <w:lang w:eastAsia="zh-CN"/>
          <w14:textFill>
            <w14:solidFill>
              <w14:schemeClr w14:val="tx1"/>
            </w14:solidFill>
          </w14:textFill>
        </w:rPr>
        <w:t>子化投标文件。投标截止时间后送达的电子化投标文件， 电子招标投标交</w:t>
      </w:r>
      <w:r>
        <w:rPr>
          <w:rFonts w:ascii="宋体" w:hAnsi="宋体" w:eastAsia="宋体" w:cs="宋体"/>
          <w:color w:val="000000" w:themeColor="text1"/>
          <w:spacing w:val="-6"/>
          <w:sz w:val="24"/>
          <w:szCs w:val="24"/>
          <w:highlight w:val="none"/>
          <w:lang w:eastAsia="zh-CN"/>
          <w14:textFill>
            <w14:solidFill>
              <w14:schemeClr w14:val="tx1"/>
            </w14:solidFill>
          </w14:textFill>
        </w:rPr>
        <w:t>易平台将拒收。</w:t>
      </w:r>
    </w:p>
    <w:p w14:paraId="6DAE23FC">
      <w:pPr>
        <w:spacing w:before="175" w:line="323" w:lineRule="auto"/>
        <w:ind w:left="37" w:right="16" w:firstLine="481"/>
        <w:rPr>
          <w:rFonts w:ascii="宋体" w:hAnsi="宋体" w:eastAsia="宋体" w:cs="宋体"/>
          <w:color w:val="000000" w:themeColor="text1"/>
          <w:spacing w:val="-1"/>
          <w:sz w:val="24"/>
          <w:szCs w:val="24"/>
          <w:highlight w:val="none"/>
          <w:lang w:eastAsia="zh-CN"/>
          <w14:textFill>
            <w14:solidFill>
              <w14:schemeClr w14:val="tx1"/>
            </w14:solidFill>
          </w14:textFill>
        </w:rPr>
      </w:pPr>
      <w:r>
        <w:rPr>
          <w:rFonts w:ascii="宋体" w:hAnsi="宋体" w:eastAsia="宋体" w:cs="宋体"/>
          <w:color w:val="000000" w:themeColor="text1"/>
          <w:spacing w:val="-1"/>
          <w:sz w:val="24"/>
          <w:szCs w:val="24"/>
          <w:highlight w:val="none"/>
          <w:lang w:eastAsia="zh-CN"/>
          <w14:textFill>
            <w14:solidFill>
              <w14:schemeClr w14:val="tx1"/>
            </w14:solidFill>
          </w14:textFill>
        </w:rPr>
        <w:t>10、投标货物和服务的文件</w:t>
      </w:r>
    </w:p>
    <w:p w14:paraId="53366895">
      <w:pPr>
        <w:spacing w:before="175" w:line="323" w:lineRule="auto"/>
        <w:ind w:left="37" w:right="16" w:firstLine="481"/>
        <w:rPr>
          <w:rFonts w:ascii="宋体" w:hAnsi="宋体" w:eastAsia="宋体" w:cs="宋体"/>
          <w:color w:val="000000" w:themeColor="text1"/>
          <w:spacing w:val="-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10.1投标合格文件：</w:t>
      </w:r>
    </w:p>
    <w:p w14:paraId="026A997A">
      <w:pPr>
        <w:spacing w:before="175" w:line="323" w:lineRule="auto"/>
        <w:ind w:left="37" w:right="16" w:firstLine="481"/>
        <w:rPr>
          <w:rFonts w:ascii="宋体" w:hAnsi="宋体" w:eastAsia="宋体" w:cs="宋体"/>
          <w:color w:val="000000" w:themeColor="text1"/>
          <w:spacing w:val="-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10.1.1供应商提供有关符合招标文件要求的证明文件，这些文件可以是说明书、样本和资料等。</w:t>
      </w:r>
    </w:p>
    <w:p w14:paraId="7A15099E">
      <w:pPr>
        <w:spacing w:before="175" w:line="323" w:lineRule="auto"/>
        <w:ind w:left="37" w:right="16" w:firstLine="481"/>
        <w:rPr>
          <w:rFonts w:ascii="宋体" w:hAnsi="宋体" w:eastAsia="宋体" w:cs="宋体"/>
          <w:color w:val="000000" w:themeColor="text1"/>
          <w:spacing w:val="-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10.2各供应商必须按文件中的内容、要求进行投标，只投其中部分内容则投标文件无效。</w:t>
      </w:r>
    </w:p>
    <w:p w14:paraId="383E8803">
      <w:pPr>
        <w:spacing w:before="175" w:line="323" w:lineRule="auto"/>
        <w:ind w:left="37" w:right="16" w:firstLine="481"/>
        <w:rPr>
          <w:rFonts w:ascii="宋体" w:hAnsi="宋体" w:eastAsia="宋体" w:cs="宋体"/>
          <w:color w:val="000000" w:themeColor="text1"/>
          <w:spacing w:val="-1"/>
          <w:sz w:val="24"/>
          <w:szCs w:val="24"/>
          <w:highlight w:val="none"/>
          <w:lang w:eastAsia="zh-CN"/>
          <w14:textFill>
            <w14:solidFill>
              <w14:schemeClr w14:val="tx1"/>
            </w14:solidFill>
          </w14:textFill>
        </w:rPr>
      </w:pPr>
      <w:r>
        <w:rPr>
          <w:rFonts w:hint="eastAsia" w:ascii="宋体" w:hAnsi="宋体" w:eastAsia="宋体" w:cs="宋体"/>
          <w:color w:val="000000" w:themeColor="text1"/>
          <w:spacing w:val="-1"/>
          <w:sz w:val="24"/>
          <w:szCs w:val="24"/>
          <w:highlight w:val="none"/>
          <w:lang w:eastAsia="zh-CN"/>
          <w14:textFill>
            <w14:solidFill>
              <w14:schemeClr w14:val="tx1"/>
            </w14:solidFill>
          </w14:textFill>
        </w:rPr>
        <w:t>10.3供应商所投资料的所有内容均保证真实有效。</w:t>
      </w:r>
    </w:p>
    <w:p w14:paraId="04F8DFF7">
      <w:pPr>
        <w:spacing w:line="220" w:lineRule="auto"/>
        <w:ind w:left="535"/>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color w:val="000000" w:themeColor="text1"/>
          <w:spacing w:val="-6"/>
          <w:sz w:val="24"/>
          <w:szCs w:val="24"/>
          <w:highlight w:val="none"/>
          <w:lang w:eastAsia="zh-CN"/>
          <w14:textFill>
            <w14:solidFill>
              <w14:schemeClr w14:val="tx1"/>
            </w14:solidFill>
          </w14:textFill>
        </w:rPr>
        <w:t>11、投标有效期</w:t>
      </w:r>
    </w:p>
    <w:p w14:paraId="0505DC11">
      <w:pPr>
        <w:spacing w:before="177" w:line="220" w:lineRule="auto"/>
        <w:ind w:left="535"/>
        <w:rPr>
          <w:rFonts w:ascii="宋体" w:hAnsi="宋体" w:eastAsia="宋体" w:cs="宋体"/>
          <w:spacing w:val="-4"/>
          <w:sz w:val="24"/>
          <w:szCs w:val="24"/>
          <w:highlight w:val="none"/>
          <w:lang w:eastAsia="zh-CN"/>
        </w:rPr>
      </w:pPr>
      <w:r>
        <w:rPr>
          <w:rFonts w:ascii="宋体" w:hAnsi="宋体" w:eastAsia="宋体" w:cs="宋体"/>
          <w:color w:val="000000" w:themeColor="text1"/>
          <w:spacing w:val="-3"/>
          <w:sz w:val="24"/>
          <w:szCs w:val="24"/>
          <w:highlight w:val="none"/>
          <w:lang w:eastAsia="zh-CN"/>
          <w14:textFill>
            <w14:solidFill>
              <w14:schemeClr w14:val="tx1"/>
            </w14:solidFill>
          </w14:textFill>
        </w:rPr>
        <w:t>11.1</w:t>
      </w:r>
      <w:r>
        <w:rPr>
          <w:rFonts w:ascii="宋体" w:hAnsi="宋体" w:eastAsia="宋体" w:cs="宋体"/>
          <w:color w:val="000000" w:themeColor="text1"/>
          <w:spacing w:val="-22"/>
          <w:sz w:val="24"/>
          <w:szCs w:val="24"/>
          <w:highlight w:val="none"/>
          <w:lang w:eastAsia="zh-CN"/>
          <w14:textFill>
            <w14:solidFill>
              <w14:schemeClr w14:val="tx1"/>
            </w14:solidFill>
          </w14:textFill>
        </w:rPr>
        <w:t xml:space="preserve"> </w:t>
      </w:r>
      <w:r>
        <w:rPr>
          <w:rFonts w:ascii="宋体" w:hAnsi="宋体" w:eastAsia="宋体" w:cs="宋体"/>
          <w:color w:val="000000" w:themeColor="text1"/>
          <w:spacing w:val="-3"/>
          <w:sz w:val="24"/>
          <w:szCs w:val="24"/>
          <w:highlight w:val="none"/>
          <w:lang w:eastAsia="zh-CN"/>
          <w14:textFill>
            <w14:solidFill>
              <w14:schemeClr w14:val="tx1"/>
            </w14:solidFill>
          </w14:textFill>
        </w:rPr>
        <w:t>电子化投标文件从开标之时起开始生效，投标有效</w:t>
      </w:r>
      <w:r>
        <w:rPr>
          <w:rFonts w:ascii="宋体" w:hAnsi="宋体" w:eastAsia="宋体" w:cs="宋体"/>
          <w:color w:val="000000" w:themeColor="text1"/>
          <w:spacing w:val="-4"/>
          <w:sz w:val="24"/>
          <w:szCs w:val="24"/>
          <w:highlight w:val="none"/>
          <w:lang w:eastAsia="zh-CN"/>
          <w14:textFill>
            <w14:solidFill>
              <w14:schemeClr w14:val="tx1"/>
            </w14:solidFill>
          </w14:textFill>
        </w:rPr>
        <w:t>期为6</w:t>
      </w:r>
      <w:r>
        <w:rPr>
          <w:rFonts w:ascii="宋体" w:hAnsi="宋体" w:eastAsia="宋体" w:cs="宋体"/>
          <w:spacing w:val="-4"/>
          <w:sz w:val="24"/>
          <w:szCs w:val="24"/>
          <w:highlight w:val="none"/>
          <w:lang w:eastAsia="zh-CN"/>
        </w:rPr>
        <w:t>0日历天（自投标截止之日起）。</w:t>
      </w:r>
    </w:p>
    <w:p w14:paraId="4A6849FD">
      <w:pPr>
        <w:spacing w:before="178" w:line="311" w:lineRule="auto"/>
        <w:ind w:left="38" w:right="80" w:firstLine="497"/>
        <w:rPr>
          <w:rFonts w:ascii="宋体" w:hAnsi="宋体" w:eastAsia="宋体" w:cs="宋体"/>
          <w:sz w:val="24"/>
          <w:szCs w:val="24"/>
          <w:highlight w:val="none"/>
          <w:lang w:eastAsia="zh-CN"/>
        </w:rPr>
      </w:pPr>
      <w:r>
        <w:rPr>
          <w:rFonts w:ascii="宋体" w:hAnsi="宋体" w:eastAsia="宋体" w:cs="宋体"/>
          <w:spacing w:val="-4"/>
          <w:sz w:val="24"/>
          <w:szCs w:val="24"/>
          <w:highlight w:val="none"/>
          <w:lang w:eastAsia="zh-CN"/>
        </w:rPr>
        <w:t>11.2</w:t>
      </w:r>
      <w:r>
        <w:rPr>
          <w:rFonts w:ascii="宋体" w:hAnsi="宋体" w:eastAsia="宋体" w:cs="宋体"/>
          <w:spacing w:val="-46"/>
          <w:sz w:val="24"/>
          <w:szCs w:val="24"/>
          <w:highlight w:val="none"/>
          <w:lang w:eastAsia="zh-CN"/>
        </w:rPr>
        <w:t xml:space="preserve"> </w:t>
      </w:r>
      <w:r>
        <w:rPr>
          <w:rFonts w:ascii="宋体" w:hAnsi="宋体" w:eastAsia="宋体" w:cs="宋体"/>
          <w:spacing w:val="-4"/>
          <w:sz w:val="24"/>
          <w:szCs w:val="24"/>
          <w:highlight w:val="none"/>
          <w:lang w:eastAsia="zh-CN"/>
        </w:rPr>
        <w:t>在特殊情况下，采购人可征求投标供应商同意延长投标有效期，这种要求和</w:t>
      </w:r>
      <w:r>
        <w:rPr>
          <w:rFonts w:ascii="宋体" w:hAnsi="宋体" w:eastAsia="宋体" w:cs="宋体"/>
          <w:spacing w:val="-6"/>
          <w:sz w:val="24"/>
          <w:szCs w:val="24"/>
          <w:highlight w:val="none"/>
          <w:lang w:eastAsia="zh-CN"/>
        </w:rPr>
        <w:t>答复均应以信函、传真等书面形式提交。投标供应商可以拒绝采购人的这</w:t>
      </w:r>
      <w:r>
        <w:rPr>
          <w:rFonts w:ascii="宋体" w:hAnsi="宋体" w:eastAsia="宋体" w:cs="宋体"/>
          <w:spacing w:val="-7"/>
          <w:sz w:val="24"/>
          <w:szCs w:val="24"/>
          <w:highlight w:val="none"/>
          <w:lang w:eastAsia="zh-CN"/>
        </w:rPr>
        <w:t>种要求，且</w:t>
      </w:r>
      <w:r>
        <w:rPr>
          <w:rFonts w:ascii="宋体" w:hAnsi="宋体" w:eastAsia="宋体" w:cs="宋体"/>
          <w:spacing w:val="-1"/>
          <w:sz w:val="24"/>
          <w:szCs w:val="24"/>
          <w:highlight w:val="none"/>
          <w:lang w:eastAsia="zh-CN"/>
        </w:rPr>
        <w:t>同意延长投标有效期的投标供应商不需要也不允许</w:t>
      </w:r>
      <w:r>
        <w:rPr>
          <w:rFonts w:ascii="宋体" w:hAnsi="宋体" w:eastAsia="宋体" w:cs="宋体"/>
          <w:spacing w:val="-2"/>
          <w:sz w:val="24"/>
          <w:szCs w:val="24"/>
          <w:highlight w:val="none"/>
          <w:lang w:eastAsia="zh-CN"/>
        </w:rPr>
        <w:t>修改其电子化投标文件。</w:t>
      </w:r>
    </w:p>
    <w:p w14:paraId="4A4818F8">
      <w:pPr>
        <w:spacing w:before="179" w:line="220" w:lineRule="auto"/>
        <w:ind w:left="535"/>
        <w:rPr>
          <w:rFonts w:ascii="宋体" w:hAnsi="宋体" w:eastAsia="宋体" w:cs="宋体"/>
          <w:sz w:val="24"/>
          <w:szCs w:val="24"/>
          <w:highlight w:val="none"/>
          <w:lang w:eastAsia="zh-CN"/>
        </w:rPr>
      </w:pPr>
      <w:r>
        <w:rPr>
          <w:rFonts w:ascii="宋体" w:hAnsi="宋体" w:eastAsia="宋体" w:cs="宋体"/>
          <w:spacing w:val="-3"/>
          <w:sz w:val="24"/>
          <w:szCs w:val="24"/>
          <w:highlight w:val="none"/>
          <w:lang w:eastAsia="zh-CN"/>
        </w:rPr>
        <w:t>12、电子化投标文件的组成</w:t>
      </w:r>
    </w:p>
    <w:p w14:paraId="7104D39A">
      <w:pPr>
        <w:spacing w:before="181" w:line="356" w:lineRule="auto"/>
        <w:ind w:left="41" w:firstLine="479"/>
        <w:rPr>
          <w:rFonts w:ascii="宋体" w:hAnsi="宋体" w:eastAsia="宋体" w:cs="宋体"/>
          <w:sz w:val="24"/>
          <w:szCs w:val="24"/>
          <w:highlight w:val="none"/>
          <w:lang w:eastAsia="zh-CN"/>
        </w:rPr>
      </w:pPr>
      <w:r>
        <w:rPr>
          <w:rFonts w:ascii="宋体" w:hAnsi="宋体" w:eastAsia="宋体" w:cs="宋体"/>
          <w:spacing w:val="-1"/>
          <w:sz w:val="24"/>
          <w:szCs w:val="24"/>
          <w:highlight w:val="none"/>
          <w:lang w:eastAsia="zh-CN"/>
        </w:rPr>
        <w:t>详见第六章投标文件格式要求</w:t>
      </w:r>
    </w:p>
    <w:p w14:paraId="7188FF7E">
      <w:pPr>
        <w:spacing w:line="219" w:lineRule="auto"/>
        <w:ind w:left="535"/>
        <w:rPr>
          <w:rFonts w:ascii="宋体" w:hAnsi="宋体" w:eastAsia="宋体" w:cs="宋体"/>
          <w:sz w:val="24"/>
          <w:szCs w:val="24"/>
          <w:highlight w:val="none"/>
          <w:lang w:eastAsia="zh-CN"/>
        </w:rPr>
      </w:pPr>
      <w:r>
        <w:rPr>
          <w:rFonts w:ascii="宋体" w:hAnsi="宋体" w:eastAsia="宋体" w:cs="宋体"/>
          <w:spacing w:val="-3"/>
          <w:sz w:val="24"/>
          <w:szCs w:val="24"/>
          <w:highlight w:val="none"/>
          <w:lang w:eastAsia="zh-CN"/>
        </w:rPr>
        <w:t>13、电子化投标文件的格式</w:t>
      </w:r>
    </w:p>
    <w:p w14:paraId="6D176254">
      <w:pPr>
        <w:spacing w:before="180" w:line="219" w:lineRule="auto"/>
        <w:ind w:left="535"/>
        <w:rPr>
          <w:rFonts w:ascii="宋体" w:hAnsi="宋体" w:eastAsia="宋体" w:cs="宋体"/>
          <w:spacing w:val="-4"/>
          <w:sz w:val="24"/>
          <w:szCs w:val="24"/>
          <w:highlight w:val="none"/>
          <w:lang w:eastAsia="zh-CN"/>
        </w:rPr>
      </w:pPr>
      <w:r>
        <w:rPr>
          <w:rFonts w:ascii="宋体" w:hAnsi="宋体" w:eastAsia="宋体" w:cs="宋体"/>
          <w:spacing w:val="-4"/>
          <w:sz w:val="24"/>
          <w:szCs w:val="24"/>
          <w:highlight w:val="none"/>
          <w:lang w:eastAsia="zh-CN"/>
        </w:rPr>
        <w:t>13.1</w:t>
      </w:r>
      <w:r>
        <w:rPr>
          <w:rFonts w:ascii="宋体" w:hAnsi="宋体" w:eastAsia="宋体" w:cs="宋体"/>
          <w:spacing w:val="-48"/>
          <w:sz w:val="24"/>
          <w:szCs w:val="24"/>
          <w:highlight w:val="none"/>
          <w:lang w:eastAsia="zh-CN"/>
        </w:rPr>
        <w:t xml:space="preserve"> </w:t>
      </w:r>
      <w:r>
        <w:rPr>
          <w:rFonts w:ascii="宋体" w:hAnsi="宋体" w:eastAsia="宋体" w:cs="宋体"/>
          <w:spacing w:val="-4"/>
          <w:sz w:val="24"/>
          <w:szCs w:val="24"/>
          <w:highlight w:val="none"/>
          <w:lang w:eastAsia="zh-CN"/>
        </w:rPr>
        <w:t>投标供应商所上传的电子化投标文件，应是通过中心投标文件制作系统制作</w:t>
      </w:r>
    </w:p>
    <w:p w14:paraId="2C3ED9A9">
      <w:pPr>
        <w:spacing w:before="78" w:line="357" w:lineRule="auto"/>
        <w:ind w:left="37" w:right="30" w:firstLine="20"/>
        <w:jc w:val="both"/>
        <w:rPr>
          <w:rFonts w:ascii="宋体" w:hAnsi="宋体" w:eastAsia="宋体" w:cs="宋体"/>
          <w:sz w:val="24"/>
          <w:szCs w:val="24"/>
          <w:highlight w:val="none"/>
          <w:lang w:eastAsia="zh-CN"/>
        </w:rPr>
      </w:pPr>
      <w:r>
        <w:rPr>
          <w:rFonts w:ascii="宋体" w:hAnsi="宋体" w:eastAsia="宋体" w:cs="宋体"/>
          <w:spacing w:val="-2"/>
          <w:sz w:val="24"/>
          <w:szCs w:val="24"/>
          <w:highlight w:val="none"/>
          <w:lang w:eastAsia="zh-CN"/>
        </w:rPr>
        <w:t>的，经过签章和加密后生成的电子版投标文件。生成的电子版投标文件包</w:t>
      </w:r>
      <w:r>
        <w:rPr>
          <w:rFonts w:ascii="宋体" w:hAnsi="宋体" w:eastAsia="宋体" w:cs="宋体"/>
          <w:spacing w:val="-3"/>
          <w:sz w:val="24"/>
          <w:szCs w:val="24"/>
          <w:highlight w:val="none"/>
          <w:lang w:eastAsia="zh-CN"/>
        </w:rPr>
        <w:t>含用于投标</w:t>
      </w:r>
      <w:r>
        <w:rPr>
          <w:rFonts w:ascii="宋体" w:hAnsi="宋体" w:eastAsia="宋体" w:cs="宋体"/>
          <w:spacing w:val="-1"/>
          <w:sz w:val="24"/>
          <w:szCs w:val="24"/>
          <w:highlight w:val="none"/>
          <w:lang w:eastAsia="zh-CN"/>
        </w:rPr>
        <w:t>文件上传的主文件（政府采购项目文件格式后缀为</w:t>
      </w:r>
      <w:r>
        <w:rPr>
          <w:rFonts w:ascii="宋体" w:hAnsi="宋体" w:eastAsia="宋体" w:cs="宋体"/>
          <w:spacing w:val="-2"/>
          <w:sz w:val="24"/>
          <w:szCs w:val="24"/>
          <w:highlight w:val="none"/>
          <w:lang w:eastAsia="zh-CN"/>
        </w:rPr>
        <w:t>.smxtf）和用于应急补救的投标文</w:t>
      </w:r>
      <w:r>
        <w:rPr>
          <w:rFonts w:ascii="宋体" w:hAnsi="宋体" w:eastAsia="宋体" w:cs="宋体"/>
          <w:spacing w:val="1"/>
          <w:sz w:val="24"/>
          <w:szCs w:val="24"/>
          <w:highlight w:val="none"/>
          <w:lang w:eastAsia="zh-CN"/>
        </w:rPr>
        <w:t>件备份文件（政府采购项目文件格式后缀为.</w:t>
      </w:r>
      <w:r>
        <w:rPr>
          <w:rFonts w:ascii="宋体" w:hAnsi="宋体" w:eastAsia="宋体" w:cs="宋体"/>
          <w:sz w:val="24"/>
          <w:szCs w:val="24"/>
          <w:highlight w:val="none"/>
          <w:lang w:eastAsia="zh-CN"/>
        </w:rPr>
        <w:t>nsmxtf</w:t>
      </w:r>
      <w:r>
        <w:rPr>
          <w:rFonts w:ascii="宋体" w:hAnsi="宋体" w:eastAsia="宋体" w:cs="宋体"/>
          <w:spacing w:val="15"/>
          <w:sz w:val="24"/>
          <w:szCs w:val="24"/>
          <w:highlight w:val="none"/>
          <w:lang w:eastAsia="zh-CN"/>
        </w:rPr>
        <w:t>），</w:t>
      </w:r>
      <w:r>
        <w:rPr>
          <w:rFonts w:ascii="宋体" w:hAnsi="宋体" w:eastAsia="宋体" w:cs="宋体"/>
          <w:spacing w:val="1"/>
          <w:sz w:val="24"/>
          <w:szCs w:val="24"/>
          <w:highlight w:val="none"/>
          <w:lang w:eastAsia="zh-CN"/>
        </w:rPr>
        <w:t>备份文件主要用于电子化开</w:t>
      </w:r>
      <w:r>
        <w:rPr>
          <w:rFonts w:ascii="宋体" w:hAnsi="宋体" w:eastAsia="宋体" w:cs="宋体"/>
          <w:spacing w:val="-2"/>
          <w:sz w:val="24"/>
          <w:szCs w:val="24"/>
          <w:highlight w:val="none"/>
          <w:lang w:eastAsia="zh-CN"/>
        </w:rPr>
        <w:t>标出现技术问题后的补救，请投标供应商随身携带。</w:t>
      </w:r>
    </w:p>
    <w:p w14:paraId="54AC0067">
      <w:pPr>
        <w:spacing w:line="219" w:lineRule="auto"/>
        <w:ind w:left="535"/>
        <w:rPr>
          <w:rFonts w:ascii="宋体" w:hAnsi="宋体" w:eastAsia="宋体" w:cs="宋体"/>
          <w:sz w:val="24"/>
          <w:szCs w:val="24"/>
          <w:highlight w:val="none"/>
          <w:lang w:eastAsia="zh-CN"/>
        </w:rPr>
      </w:pPr>
      <w:r>
        <w:rPr>
          <w:rFonts w:ascii="宋体" w:hAnsi="宋体" w:eastAsia="宋体" w:cs="宋体"/>
          <w:spacing w:val="-3"/>
          <w:sz w:val="24"/>
          <w:szCs w:val="24"/>
          <w:highlight w:val="none"/>
          <w:lang w:eastAsia="zh-CN"/>
        </w:rPr>
        <w:t>14、电子化投标文件的签署</w:t>
      </w:r>
    </w:p>
    <w:p w14:paraId="12823754">
      <w:pPr>
        <w:spacing w:before="179" w:line="357" w:lineRule="auto"/>
        <w:ind w:left="36" w:right="29" w:firstLine="499"/>
        <w:jc w:val="both"/>
        <w:rPr>
          <w:rFonts w:ascii="宋体" w:hAnsi="宋体" w:eastAsia="宋体" w:cs="宋体"/>
          <w:sz w:val="24"/>
          <w:szCs w:val="24"/>
          <w:highlight w:val="none"/>
          <w:lang w:eastAsia="zh-CN"/>
        </w:rPr>
      </w:pPr>
      <w:r>
        <w:rPr>
          <w:rFonts w:ascii="宋体" w:hAnsi="宋体" w:eastAsia="宋体" w:cs="宋体"/>
          <w:spacing w:val="-4"/>
          <w:sz w:val="24"/>
          <w:szCs w:val="24"/>
          <w:highlight w:val="none"/>
          <w:lang w:eastAsia="zh-CN"/>
        </w:rPr>
        <w:t>14.1</w:t>
      </w:r>
      <w:r>
        <w:rPr>
          <w:rFonts w:ascii="宋体" w:hAnsi="宋体" w:eastAsia="宋体" w:cs="宋体"/>
          <w:spacing w:val="-49"/>
          <w:sz w:val="24"/>
          <w:szCs w:val="24"/>
          <w:highlight w:val="none"/>
          <w:lang w:eastAsia="zh-CN"/>
        </w:rPr>
        <w:t xml:space="preserve"> </w:t>
      </w:r>
      <w:r>
        <w:rPr>
          <w:rFonts w:ascii="宋体" w:hAnsi="宋体" w:eastAsia="宋体" w:cs="宋体"/>
          <w:spacing w:val="-4"/>
          <w:sz w:val="24"/>
          <w:szCs w:val="24"/>
          <w:highlight w:val="none"/>
          <w:lang w:eastAsia="zh-CN"/>
        </w:rPr>
        <w:t>招标文件中要求法定代表人或授权委托人签字或盖章的，投标供应商在进行</w:t>
      </w:r>
      <w:r>
        <w:rPr>
          <w:rFonts w:ascii="宋体" w:hAnsi="宋体" w:eastAsia="宋体" w:cs="宋体"/>
          <w:spacing w:val="-2"/>
          <w:sz w:val="24"/>
          <w:szCs w:val="24"/>
          <w:highlight w:val="none"/>
          <w:lang w:eastAsia="zh-CN"/>
        </w:rPr>
        <w:t>电子化投标文件签章时，以签盖法定代表人签章为准。电子化投标文件具体制作教材</w:t>
      </w:r>
      <w:r>
        <w:rPr>
          <w:rFonts w:ascii="宋体" w:hAnsi="宋体" w:eastAsia="宋体" w:cs="宋体"/>
          <w:spacing w:val="-1"/>
          <w:sz w:val="24"/>
          <w:szCs w:val="24"/>
          <w:highlight w:val="none"/>
          <w:lang w:eastAsia="zh-CN"/>
        </w:rPr>
        <w:t>请投标供应商通过 CA 证书登录三门峡市公共</w:t>
      </w:r>
      <w:r>
        <w:rPr>
          <w:rFonts w:ascii="宋体" w:hAnsi="宋体" w:eastAsia="宋体" w:cs="宋体"/>
          <w:spacing w:val="-2"/>
          <w:sz w:val="24"/>
          <w:szCs w:val="24"/>
          <w:highlight w:val="none"/>
          <w:lang w:eastAsia="zh-CN"/>
        </w:rPr>
        <w:t>资源电子化交易系统在右上角“组件下</w:t>
      </w:r>
      <w:r>
        <w:rPr>
          <w:rFonts w:ascii="宋体" w:hAnsi="宋体" w:eastAsia="宋体" w:cs="宋体"/>
          <w:spacing w:val="-6"/>
          <w:sz w:val="24"/>
          <w:szCs w:val="24"/>
          <w:highlight w:val="none"/>
          <w:lang w:eastAsia="zh-CN"/>
        </w:rPr>
        <w:t>载”中查看。</w:t>
      </w:r>
    </w:p>
    <w:p w14:paraId="25CBE05A">
      <w:pPr>
        <w:spacing w:before="1" w:line="218" w:lineRule="auto"/>
        <w:ind w:left="3272"/>
        <w:rPr>
          <w:rFonts w:ascii="宋体" w:hAnsi="宋体" w:eastAsia="宋体" w:cs="宋体"/>
          <w:sz w:val="24"/>
          <w:szCs w:val="24"/>
          <w:highlight w:val="none"/>
          <w:lang w:eastAsia="zh-CN"/>
        </w:rPr>
      </w:pPr>
      <w:r>
        <w:rPr>
          <w:rFonts w:ascii="宋体" w:hAnsi="宋体" w:eastAsia="宋体" w:cs="宋体"/>
          <w:b/>
          <w:bCs/>
          <w:spacing w:val="-5"/>
          <w:sz w:val="24"/>
          <w:szCs w:val="24"/>
          <w:highlight w:val="none"/>
          <w:lang w:eastAsia="zh-CN"/>
        </w:rPr>
        <w:t>四、电子化投标文件的上传</w:t>
      </w:r>
    </w:p>
    <w:p w14:paraId="4A4264C5">
      <w:pPr>
        <w:spacing w:before="178" w:line="219" w:lineRule="auto"/>
        <w:ind w:left="535"/>
        <w:rPr>
          <w:rFonts w:ascii="宋体" w:hAnsi="宋体" w:eastAsia="宋体" w:cs="宋体"/>
          <w:sz w:val="24"/>
          <w:szCs w:val="24"/>
          <w:highlight w:val="none"/>
          <w:lang w:eastAsia="zh-CN"/>
        </w:rPr>
      </w:pPr>
      <w:r>
        <w:rPr>
          <w:rFonts w:ascii="宋体" w:hAnsi="宋体" w:eastAsia="宋体" w:cs="宋体"/>
          <w:spacing w:val="-5"/>
          <w:sz w:val="24"/>
          <w:szCs w:val="24"/>
          <w:highlight w:val="none"/>
          <w:lang w:eastAsia="zh-CN"/>
        </w:rPr>
        <w:t>15、投标文件上传</w:t>
      </w:r>
    </w:p>
    <w:p w14:paraId="3EA5EAD8">
      <w:pPr>
        <w:spacing w:before="181" w:line="356" w:lineRule="auto"/>
        <w:ind w:left="42" w:right="38" w:firstLine="503"/>
        <w:rPr>
          <w:rFonts w:ascii="宋体" w:hAnsi="宋体" w:eastAsia="宋体" w:cs="宋体"/>
          <w:sz w:val="24"/>
          <w:szCs w:val="24"/>
          <w:highlight w:val="none"/>
          <w:lang w:eastAsia="zh-CN"/>
        </w:rPr>
      </w:pPr>
      <w:r>
        <w:rPr>
          <w:rFonts w:ascii="宋体" w:hAnsi="宋体" w:eastAsia="宋体" w:cs="宋体"/>
          <w:spacing w:val="4"/>
          <w:sz w:val="24"/>
          <w:szCs w:val="24"/>
          <w:highlight w:val="none"/>
          <w:lang w:eastAsia="zh-CN"/>
        </w:rPr>
        <w:t>电子化投标文件应在投标截止时间前成功上传至三门峡市公共资源电子化交易</w:t>
      </w:r>
      <w:r>
        <w:rPr>
          <w:rFonts w:ascii="宋体" w:hAnsi="宋体" w:eastAsia="宋体" w:cs="宋体"/>
          <w:spacing w:val="-2"/>
          <w:sz w:val="24"/>
          <w:szCs w:val="24"/>
          <w:highlight w:val="none"/>
          <w:lang w:eastAsia="zh-CN"/>
        </w:rPr>
        <w:t>系统。至投标截止时间止，仍未上传成功的电子化投标文件将不予接收。</w:t>
      </w:r>
    </w:p>
    <w:p w14:paraId="10695552">
      <w:pPr>
        <w:spacing w:before="2" w:line="357" w:lineRule="auto"/>
        <w:ind w:left="38" w:right="30" w:firstLine="479"/>
        <w:jc w:val="both"/>
        <w:rPr>
          <w:rFonts w:ascii="宋体" w:hAnsi="宋体" w:eastAsia="宋体" w:cs="宋体"/>
          <w:sz w:val="24"/>
          <w:szCs w:val="24"/>
          <w:highlight w:val="none"/>
          <w:lang w:eastAsia="zh-CN"/>
        </w:rPr>
      </w:pPr>
      <w:r>
        <w:rPr>
          <w:rFonts w:ascii="宋体" w:hAnsi="宋体" w:eastAsia="宋体" w:cs="宋体"/>
          <w:spacing w:val="-2"/>
          <w:sz w:val="24"/>
          <w:szCs w:val="24"/>
          <w:highlight w:val="none"/>
          <w:lang w:eastAsia="zh-CN"/>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电子化投标文件未在投标截止时间前成功上传的，其投标文件不予接收。</w:t>
      </w:r>
    </w:p>
    <w:p w14:paraId="7D63F325">
      <w:pPr>
        <w:spacing w:line="220" w:lineRule="auto"/>
        <w:ind w:left="535"/>
        <w:rPr>
          <w:rFonts w:ascii="宋体" w:hAnsi="宋体" w:eastAsia="宋体" w:cs="宋体"/>
          <w:sz w:val="24"/>
          <w:szCs w:val="24"/>
          <w:highlight w:val="none"/>
          <w:lang w:eastAsia="zh-CN"/>
        </w:rPr>
      </w:pPr>
      <w:r>
        <w:rPr>
          <w:rFonts w:ascii="宋体" w:hAnsi="宋体" w:eastAsia="宋体" w:cs="宋体"/>
          <w:spacing w:val="-6"/>
          <w:sz w:val="24"/>
          <w:szCs w:val="24"/>
          <w:highlight w:val="none"/>
          <w:lang w:eastAsia="zh-CN"/>
        </w:rPr>
        <w:t>16、投标截止时间</w:t>
      </w:r>
    </w:p>
    <w:p w14:paraId="7CF8A133">
      <w:pPr>
        <w:spacing w:before="177" w:line="219" w:lineRule="auto"/>
        <w:ind w:left="535"/>
        <w:rPr>
          <w:rFonts w:ascii="宋体" w:hAnsi="宋体" w:eastAsia="宋体" w:cs="宋体"/>
          <w:sz w:val="24"/>
          <w:szCs w:val="24"/>
          <w:highlight w:val="none"/>
          <w:lang w:eastAsia="zh-CN"/>
        </w:rPr>
      </w:pPr>
      <w:r>
        <w:rPr>
          <w:rFonts w:ascii="宋体" w:hAnsi="宋体" w:eastAsia="宋体" w:cs="宋体"/>
          <w:spacing w:val="-4"/>
          <w:sz w:val="24"/>
          <w:szCs w:val="24"/>
          <w:highlight w:val="none"/>
          <w:lang w:eastAsia="zh-CN"/>
        </w:rPr>
        <w:t>16.1</w:t>
      </w:r>
      <w:r>
        <w:rPr>
          <w:rFonts w:ascii="宋体" w:hAnsi="宋体" w:eastAsia="宋体" w:cs="宋体"/>
          <w:spacing w:val="-16"/>
          <w:sz w:val="24"/>
          <w:szCs w:val="24"/>
          <w:highlight w:val="none"/>
          <w:lang w:eastAsia="zh-CN"/>
        </w:rPr>
        <w:t xml:space="preserve"> </w:t>
      </w:r>
      <w:r>
        <w:rPr>
          <w:rFonts w:ascii="宋体" w:hAnsi="宋体" w:eastAsia="宋体" w:cs="宋体"/>
          <w:spacing w:val="-4"/>
          <w:sz w:val="24"/>
          <w:szCs w:val="24"/>
          <w:highlight w:val="none"/>
          <w:lang w:eastAsia="zh-CN"/>
        </w:rPr>
        <w:t>电子化投标文件的截止时间见本须知前附表规定。</w:t>
      </w:r>
    </w:p>
    <w:p w14:paraId="11045BF4">
      <w:pPr>
        <w:spacing w:before="177" w:line="312" w:lineRule="auto"/>
        <w:ind w:left="39" w:right="29" w:firstLine="496"/>
        <w:rPr>
          <w:rFonts w:ascii="宋体" w:hAnsi="宋体" w:eastAsia="宋体" w:cs="宋体"/>
          <w:sz w:val="24"/>
          <w:szCs w:val="24"/>
          <w:highlight w:val="none"/>
          <w:lang w:eastAsia="zh-CN"/>
        </w:rPr>
      </w:pPr>
      <w:r>
        <w:rPr>
          <w:rFonts w:ascii="宋体" w:hAnsi="宋体" w:eastAsia="宋体" w:cs="宋体"/>
          <w:spacing w:val="-5"/>
          <w:sz w:val="24"/>
          <w:szCs w:val="24"/>
          <w:highlight w:val="none"/>
          <w:lang w:eastAsia="zh-CN"/>
        </w:rPr>
        <w:t>16.2</w:t>
      </w:r>
      <w:r>
        <w:rPr>
          <w:rFonts w:ascii="宋体" w:hAnsi="宋体" w:eastAsia="宋体" w:cs="宋体"/>
          <w:spacing w:val="-33"/>
          <w:sz w:val="24"/>
          <w:szCs w:val="24"/>
          <w:highlight w:val="none"/>
          <w:lang w:eastAsia="zh-CN"/>
        </w:rPr>
        <w:t xml:space="preserve"> </w:t>
      </w:r>
      <w:r>
        <w:rPr>
          <w:rFonts w:ascii="宋体" w:hAnsi="宋体" w:eastAsia="宋体" w:cs="宋体"/>
          <w:spacing w:val="-5"/>
          <w:sz w:val="24"/>
          <w:szCs w:val="24"/>
          <w:highlight w:val="none"/>
          <w:lang w:eastAsia="zh-CN"/>
        </w:rPr>
        <w:t>采购人可按本须知第</w:t>
      </w:r>
      <w:r>
        <w:rPr>
          <w:rFonts w:ascii="宋体" w:hAnsi="宋体" w:eastAsia="宋体" w:cs="宋体"/>
          <w:spacing w:val="-49"/>
          <w:sz w:val="24"/>
          <w:szCs w:val="24"/>
          <w:highlight w:val="none"/>
          <w:lang w:eastAsia="zh-CN"/>
        </w:rPr>
        <w:t xml:space="preserve"> </w:t>
      </w:r>
      <w:r>
        <w:rPr>
          <w:rFonts w:ascii="宋体" w:hAnsi="宋体" w:eastAsia="宋体" w:cs="宋体"/>
          <w:spacing w:val="-5"/>
          <w:sz w:val="24"/>
          <w:szCs w:val="24"/>
          <w:highlight w:val="none"/>
          <w:lang w:eastAsia="zh-CN"/>
        </w:rPr>
        <w:t>8</w:t>
      </w:r>
      <w:r>
        <w:rPr>
          <w:rFonts w:ascii="宋体" w:hAnsi="宋体" w:eastAsia="宋体" w:cs="宋体"/>
          <w:spacing w:val="-49"/>
          <w:sz w:val="24"/>
          <w:szCs w:val="24"/>
          <w:highlight w:val="none"/>
          <w:lang w:eastAsia="zh-CN"/>
        </w:rPr>
        <w:t xml:space="preserve"> </w:t>
      </w:r>
      <w:r>
        <w:rPr>
          <w:rFonts w:ascii="宋体" w:hAnsi="宋体" w:eastAsia="宋体" w:cs="宋体"/>
          <w:spacing w:val="-5"/>
          <w:sz w:val="24"/>
          <w:szCs w:val="24"/>
          <w:highlight w:val="none"/>
          <w:lang w:eastAsia="zh-CN"/>
        </w:rPr>
        <w:t>条规定以修改补充通知的方式，酌情延长提交电子化投标文件的截止时间。在此情况下， 投标供应商的所有权利和义务以及投标供应商受</w:t>
      </w:r>
      <w:r>
        <w:rPr>
          <w:rFonts w:ascii="宋体" w:hAnsi="宋体" w:eastAsia="宋体" w:cs="宋体"/>
          <w:spacing w:val="-2"/>
          <w:sz w:val="24"/>
          <w:szCs w:val="24"/>
          <w:highlight w:val="none"/>
          <w:lang w:eastAsia="zh-CN"/>
        </w:rPr>
        <w:t>制约的截止时间，均以延长后新的投标截止时间为准。</w:t>
      </w:r>
    </w:p>
    <w:p w14:paraId="40D1E1B3">
      <w:pPr>
        <w:spacing w:before="178" w:line="289" w:lineRule="auto"/>
        <w:ind w:left="39" w:right="26" w:firstLine="496"/>
        <w:rPr>
          <w:rFonts w:ascii="宋体" w:hAnsi="宋体" w:eastAsia="宋体" w:cs="宋体"/>
          <w:sz w:val="24"/>
          <w:szCs w:val="24"/>
          <w:highlight w:val="none"/>
          <w:lang w:eastAsia="zh-CN"/>
        </w:rPr>
      </w:pPr>
      <w:r>
        <w:rPr>
          <w:rFonts w:ascii="宋体" w:hAnsi="宋体" w:eastAsia="宋体" w:cs="宋体"/>
          <w:spacing w:val="-5"/>
          <w:sz w:val="24"/>
          <w:szCs w:val="24"/>
          <w:highlight w:val="none"/>
          <w:lang w:eastAsia="zh-CN"/>
        </w:rPr>
        <w:t>16.3</w:t>
      </w:r>
      <w:r>
        <w:rPr>
          <w:rFonts w:ascii="宋体" w:hAnsi="宋体" w:eastAsia="宋体" w:cs="宋体"/>
          <w:spacing w:val="-32"/>
          <w:sz w:val="24"/>
          <w:szCs w:val="24"/>
          <w:highlight w:val="none"/>
          <w:lang w:eastAsia="zh-CN"/>
        </w:rPr>
        <w:t xml:space="preserve"> </w:t>
      </w:r>
      <w:r>
        <w:rPr>
          <w:rFonts w:ascii="宋体" w:hAnsi="宋体" w:eastAsia="宋体" w:cs="宋体"/>
          <w:spacing w:val="-5"/>
          <w:sz w:val="24"/>
          <w:szCs w:val="24"/>
          <w:highlight w:val="none"/>
          <w:lang w:eastAsia="zh-CN"/>
        </w:rPr>
        <w:t>到投标截止时间止，上传成功的电子化投标文件少于</w:t>
      </w:r>
      <w:r>
        <w:rPr>
          <w:rFonts w:ascii="宋体" w:hAnsi="宋体" w:eastAsia="宋体" w:cs="宋体"/>
          <w:spacing w:val="-46"/>
          <w:sz w:val="24"/>
          <w:szCs w:val="24"/>
          <w:highlight w:val="none"/>
          <w:lang w:eastAsia="zh-CN"/>
        </w:rPr>
        <w:t xml:space="preserve"> </w:t>
      </w:r>
      <w:r>
        <w:rPr>
          <w:rFonts w:ascii="宋体" w:hAnsi="宋体" w:eastAsia="宋体" w:cs="宋体"/>
          <w:spacing w:val="-5"/>
          <w:sz w:val="24"/>
          <w:szCs w:val="24"/>
          <w:highlight w:val="none"/>
          <w:lang w:eastAsia="zh-CN"/>
        </w:rPr>
        <w:t>3</w:t>
      </w:r>
      <w:r>
        <w:rPr>
          <w:rFonts w:ascii="宋体" w:hAnsi="宋体" w:eastAsia="宋体" w:cs="宋体"/>
          <w:spacing w:val="-50"/>
          <w:sz w:val="24"/>
          <w:szCs w:val="24"/>
          <w:highlight w:val="none"/>
          <w:lang w:eastAsia="zh-CN"/>
        </w:rPr>
        <w:t xml:space="preserve"> </w:t>
      </w:r>
      <w:r>
        <w:rPr>
          <w:rFonts w:ascii="宋体" w:hAnsi="宋体" w:eastAsia="宋体" w:cs="宋体"/>
          <w:spacing w:val="-5"/>
          <w:sz w:val="24"/>
          <w:szCs w:val="24"/>
          <w:highlight w:val="none"/>
          <w:lang w:eastAsia="zh-CN"/>
        </w:rPr>
        <w:t>个的，采购人将依法</w:t>
      </w:r>
      <w:r>
        <w:rPr>
          <w:rFonts w:ascii="宋体" w:hAnsi="宋体" w:eastAsia="宋体" w:cs="宋体"/>
          <w:spacing w:val="-6"/>
          <w:sz w:val="24"/>
          <w:szCs w:val="24"/>
          <w:highlight w:val="none"/>
          <w:lang w:eastAsia="zh-CN"/>
        </w:rPr>
        <w:t>重新组织招标。</w:t>
      </w:r>
    </w:p>
    <w:p w14:paraId="205EDD4F">
      <w:pPr>
        <w:spacing w:before="176" w:line="220" w:lineRule="auto"/>
        <w:ind w:left="535"/>
        <w:rPr>
          <w:rFonts w:ascii="宋体" w:hAnsi="宋体" w:eastAsia="宋体" w:cs="宋体"/>
          <w:sz w:val="24"/>
          <w:szCs w:val="24"/>
          <w:highlight w:val="none"/>
          <w:lang w:eastAsia="zh-CN"/>
        </w:rPr>
      </w:pPr>
      <w:r>
        <w:rPr>
          <w:rFonts w:ascii="宋体" w:hAnsi="宋体" w:eastAsia="宋体" w:cs="宋体"/>
          <w:spacing w:val="-4"/>
          <w:sz w:val="24"/>
          <w:szCs w:val="24"/>
          <w:highlight w:val="none"/>
          <w:lang w:eastAsia="zh-CN"/>
        </w:rPr>
        <w:t>16.4</w:t>
      </w:r>
      <w:r>
        <w:rPr>
          <w:rFonts w:ascii="宋体" w:hAnsi="宋体" w:eastAsia="宋体" w:cs="宋体"/>
          <w:spacing w:val="-6"/>
          <w:sz w:val="24"/>
          <w:szCs w:val="24"/>
          <w:highlight w:val="none"/>
          <w:lang w:eastAsia="zh-CN"/>
        </w:rPr>
        <w:t xml:space="preserve"> </w:t>
      </w:r>
      <w:r>
        <w:rPr>
          <w:rFonts w:ascii="宋体" w:hAnsi="宋体" w:eastAsia="宋体" w:cs="宋体"/>
          <w:spacing w:val="-4"/>
          <w:sz w:val="24"/>
          <w:szCs w:val="24"/>
          <w:highlight w:val="none"/>
          <w:lang w:eastAsia="zh-CN"/>
        </w:rPr>
        <w:t>电子化投标文件的补充、修改与撤回</w:t>
      </w:r>
    </w:p>
    <w:p w14:paraId="42B63E50">
      <w:pPr>
        <w:spacing w:before="178" w:line="219" w:lineRule="auto"/>
        <w:ind w:left="535"/>
        <w:rPr>
          <w:rFonts w:ascii="宋体" w:hAnsi="宋体" w:eastAsia="宋体" w:cs="宋体"/>
          <w:sz w:val="24"/>
          <w:szCs w:val="24"/>
          <w:highlight w:val="none"/>
          <w:lang w:eastAsia="zh-CN"/>
        </w:rPr>
      </w:pPr>
      <w:r>
        <w:rPr>
          <w:rFonts w:ascii="宋体" w:hAnsi="宋体" w:eastAsia="宋体" w:cs="宋体"/>
          <w:spacing w:val="-2"/>
          <w:sz w:val="24"/>
          <w:szCs w:val="24"/>
          <w:highlight w:val="none"/>
          <w:lang w:eastAsia="zh-CN"/>
        </w:rPr>
        <w:t>16.4.1</w:t>
      </w:r>
      <w:r>
        <w:rPr>
          <w:rFonts w:ascii="宋体" w:hAnsi="宋体" w:eastAsia="宋体" w:cs="宋体"/>
          <w:spacing w:val="-50"/>
          <w:sz w:val="24"/>
          <w:szCs w:val="24"/>
          <w:highlight w:val="none"/>
          <w:lang w:eastAsia="zh-CN"/>
        </w:rPr>
        <w:t xml:space="preserve"> </w:t>
      </w:r>
      <w:r>
        <w:rPr>
          <w:rFonts w:ascii="宋体" w:hAnsi="宋体" w:eastAsia="宋体" w:cs="宋体"/>
          <w:spacing w:val="-2"/>
          <w:sz w:val="24"/>
          <w:szCs w:val="24"/>
          <w:highlight w:val="none"/>
          <w:lang w:eastAsia="zh-CN"/>
        </w:rPr>
        <w:t>在投标截止时间之后，投标供应商不得补充、修改电子化投标文件。</w:t>
      </w:r>
    </w:p>
    <w:p w14:paraId="2582298F">
      <w:pPr>
        <w:spacing w:before="181" w:line="220" w:lineRule="auto"/>
        <w:ind w:left="4216"/>
        <w:rPr>
          <w:rFonts w:ascii="宋体" w:hAnsi="宋体" w:eastAsia="宋体" w:cs="宋体"/>
          <w:sz w:val="24"/>
          <w:szCs w:val="24"/>
          <w:highlight w:val="none"/>
          <w:lang w:eastAsia="zh-CN"/>
        </w:rPr>
      </w:pPr>
      <w:r>
        <w:rPr>
          <w:rFonts w:ascii="宋体" w:hAnsi="宋体" w:eastAsia="宋体" w:cs="宋体"/>
          <w:b/>
          <w:bCs/>
          <w:spacing w:val="-5"/>
          <w:sz w:val="24"/>
          <w:szCs w:val="24"/>
          <w:highlight w:val="none"/>
          <w:lang w:eastAsia="zh-CN"/>
        </w:rPr>
        <w:t>五、开标</w:t>
      </w:r>
    </w:p>
    <w:p w14:paraId="77E6EC23">
      <w:pPr>
        <w:spacing w:before="177" w:line="220" w:lineRule="auto"/>
        <w:ind w:left="535"/>
        <w:rPr>
          <w:rFonts w:ascii="宋体" w:hAnsi="宋体" w:eastAsia="宋体" w:cs="宋体"/>
          <w:sz w:val="24"/>
          <w:szCs w:val="24"/>
          <w:highlight w:val="none"/>
          <w:lang w:eastAsia="zh-CN"/>
        </w:rPr>
      </w:pPr>
      <w:r>
        <w:rPr>
          <w:rFonts w:ascii="宋体" w:hAnsi="宋体" w:eastAsia="宋体" w:cs="宋体"/>
          <w:spacing w:val="-7"/>
          <w:sz w:val="24"/>
          <w:szCs w:val="24"/>
          <w:highlight w:val="none"/>
          <w:lang w:eastAsia="zh-CN"/>
        </w:rPr>
        <w:t>17、开标</w:t>
      </w:r>
    </w:p>
    <w:p w14:paraId="4CE84E81">
      <w:pPr>
        <w:spacing w:before="176" w:line="322" w:lineRule="auto"/>
        <w:ind w:left="38" w:right="36" w:firstLine="497"/>
        <w:rPr>
          <w:highlight w:val="none"/>
          <w:lang w:eastAsia="zh-CN"/>
        </w:rPr>
      </w:pPr>
      <w:r>
        <w:rPr>
          <w:rFonts w:ascii="宋体" w:hAnsi="宋体" w:eastAsia="宋体" w:cs="宋体"/>
          <w:spacing w:val="1"/>
          <w:sz w:val="24"/>
          <w:szCs w:val="24"/>
          <w:highlight w:val="none"/>
          <w:lang w:eastAsia="zh-CN"/>
        </w:rPr>
        <w:t>17.1 采购人按本须知前附表所规定的时间和地点公开开标</w:t>
      </w:r>
      <w:r>
        <w:rPr>
          <w:rFonts w:ascii="宋体" w:hAnsi="宋体" w:eastAsia="宋体" w:cs="宋体"/>
          <w:spacing w:val="-2"/>
          <w:sz w:val="24"/>
          <w:szCs w:val="24"/>
          <w:highlight w:val="none"/>
          <w:lang w:eastAsia="zh-CN"/>
        </w:rPr>
        <w:t>。开标会议由招标代理机构主持，在有关部门监督下进行。</w:t>
      </w:r>
    </w:p>
    <w:p w14:paraId="2EE4068D">
      <w:pPr>
        <w:spacing w:before="78" w:line="220" w:lineRule="auto"/>
        <w:ind w:left="535"/>
        <w:rPr>
          <w:rFonts w:ascii="宋体" w:hAnsi="宋体" w:eastAsia="宋体" w:cs="宋体"/>
          <w:spacing w:val="-9"/>
          <w:sz w:val="24"/>
          <w:szCs w:val="24"/>
          <w:highlight w:val="none"/>
          <w:lang w:eastAsia="zh-CN"/>
        </w:rPr>
      </w:pPr>
      <w:r>
        <w:rPr>
          <w:rFonts w:ascii="宋体" w:hAnsi="宋体" w:eastAsia="宋体" w:cs="宋体"/>
          <w:spacing w:val="-9"/>
          <w:sz w:val="24"/>
          <w:szCs w:val="24"/>
          <w:highlight w:val="none"/>
          <w:lang w:eastAsia="zh-CN"/>
        </w:rPr>
        <w:t>17.2</w:t>
      </w:r>
      <w:r>
        <w:rPr>
          <w:rFonts w:ascii="宋体" w:hAnsi="宋体" w:eastAsia="宋体" w:cs="宋体"/>
          <w:spacing w:val="-50"/>
          <w:sz w:val="24"/>
          <w:szCs w:val="24"/>
          <w:highlight w:val="none"/>
          <w:lang w:eastAsia="zh-CN"/>
        </w:rPr>
        <w:t xml:space="preserve"> </w:t>
      </w:r>
      <w:r>
        <w:rPr>
          <w:rFonts w:ascii="宋体" w:hAnsi="宋体" w:eastAsia="宋体" w:cs="宋体"/>
          <w:spacing w:val="-9"/>
          <w:sz w:val="24"/>
          <w:szCs w:val="24"/>
          <w:highlight w:val="none"/>
          <w:lang w:eastAsia="zh-CN"/>
        </w:rPr>
        <w:t>开标程序：</w:t>
      </w:r>
    </w:p>
    <w:p w14:paraId="17563D4F">
      <w:pPr>
        <w:spacing w:before="175" w:line="330" w:lineRule="auto"/>
        <w:ind w:left="38" w:right="83" w:firstLine="482"/>
        <w:rPr>
          <w:rFonts w:ascii="宋体" w:hAnsi="宋体" w:eastAsia="宋体" w:cs="宋体"/>
          <w:color w:val="000000" w:themeColor="text1"/>
          <w:spacing w:val="-2"/>
          <w:sz w:val="24"/>
          <w:szCs w:val="24"/>
          <w:highlight w:val="none"/>
          <w:lang w:eastAsia="zh-CN"/>
          <w14:textFill>
            <w14:solidFill>
              <w14:schemeClr w14:val="tx1"/>
            </w14:solidFill>
          </w14:textFill>
        </w:rPr>
      </w:pPr>
      <w:r>
        <w:rPr>
          <w:rFonts w:ascii="宋体" w:hAnsi="宋体" w:eastAsia="宋体" w:cs="宋体"/>
          <w:color w:val="000000" w:themeColor="text1"/>
          <w:spacing w:val="-2"/>
          <w:sz w:val="24"/>
          <w:szCs w:val="24"/>
          <w:highlight w:val="none"/>
          <w:lang w:eastAsia="zh-CN"/>
          <w14:textFill>
            <w14:solidFill>
              <w14:schemeClr w14:val="tx1"/>
            </w14:solidFill>
          </w14:textFill>
        </w:rPr>
        <w:t>17.2.1 开标由招标代理机构主持；</w:t>
      </w:r>
    </w:p>
    <w:p w14:paraId="700F62C2">
      <w:pPr>
        <w:spacing w:before="175" w:line="330" w:lineRule="auto"/>
        <w:ind w:left="38" w:right="83" w:firstLine="482"/>
        <w:rPr>
          <w:rFonts w:ascii="宋体" w:hAnsi="宋体" w:eastAsia="宋体" w:cs="宋体"/>
          <w:color w:val="000000" w:themeColor="text1"/>
          <w:spacing w:val="-2"/>
          <w:sz w:val="24"/>
          <w:szCs w:val="24"/>
          <w:highlight w:val="none"/>
          <w:lang w:eastAsia="zh-CN"/>
          <w14:textFill>
            <w14:solidFill>
              <w14:schemeClr w14:val="tx1"/>
            </w14:solidFill>
          </w14:textFill>
        </w:rPr>
      </w:pPr>
      <w:r>
        <w:rPr>
          <w:rFonts w:ascii="宋体" w:hAnsi="宋体" w:eastAsia="宋体" w:cs="宋体"/>
          <w:color w:val="000000" w:themeColor="text1"/>
          <w:spacing w:val="-2"/>
          <w:sz w:val="24"/>
          <w:szCs w:val="24"/>
          <w:highlight w:val="none"/>
          <w:lang w:eastAsia="zh-CN"/>
          <w14:textFill>
            <w14:solidFill>
              <w14:schemeClr w14:val="tx1"/>
            </w14:solidFill>
          </w14:textFill>
        </w:rPr>
        <w:t>17.2.2 介绍本项目的情况；</w:t>
      </w:r>
    </w:p>
    <w:p w14:paraId="4FACA032">
      <w:pPr>
        <w:spacing w:before="175" w:line="330" w:lineRule="auto"/>
        <w:ind w:left="38" w:right="83" w:firstLine="482"/>
        <w:rPr>
          <w:rFonts w:ascii="宋体" w:hAnsi="宋体" w:eastAsia="宋体" w:cs="宋体"/>
          <w:color w:val="000000" w:themeColor="text1"/>
          <w:spacing w:val="-2"/>
          <w:sz w:val="24"/>
          <w:szCs w:val="24"/>
          <w:highlight w:val="none"/>
          <w:lang w:eastAsia="zh-CN"/>
          <w14:textFill>
            <w14:solidFill>
              <w14:schemeClr w14:val="tx1"/>
            </w14:solidFill>
          </w14:textFill>
        </w:rPr>
      </w:pPr>
      <w:r>
        <w:rPr>
          <w:rFonts w:ascii="宋体" w:hAnsi="宋体" w:eastAsia="宋体" w:cs="宋体"/>
          <w:color w:val="000000" w:themeColor="text1"/>
          <w:spacing w:val="-2"/>
          <w:sz w:val="24"/>
          <w:szCs w:val="24"/>
          <w:highlight w:val="none"/>
          <w:lang w:eastAsia="zh-CN"/>
          <w14:textFill>
            <w14:solidFill>
              <w14:schemeClr w14:val="tx1"/>
            </w14:solidFill>
          </w14:textFill>
        </w:rPr>
        <w:t>17.2.3 宣布开标会议纪律；</w:t>
      </w:r>
    </w:p>
    <w:p w14:paraId="383647C3">
      <w:pPr>
        <w:spacing w:before="175" w:line="330" w:lineRule="auto"/>
        <w:ind w:left="38" w:right="83" w:firstLine="482"/>
        <w:rPr>
          <w:rFonts w:ascii="宋体" w:hAnsi="宋体" w:eastAsia="宋体" w:cs="宋体"/>
          <w:color w:val="000000" w:themeColor="text1"/>
          <w:spacing w:val="-2"/>
          <w:sz w:val="24"/>
          <w:szCs w:val="24"/>
          <w:highlight w:val="none"/>
          <w:lang w:eastAsia="zh-CN"/>
          <w14:textFill>
            <w14:solidFill>
              <w14:schemeClr w14:val="tx1"/>
            </w14:solidFill>
          </w14:textFill>
        </w:rPr>
      </w:pPr>
      <w:r>
        <w:rPr>
          <w:rFonts w:ascii="宋体" w:hAnsi="宋体" w:eastAsia="宋体" w:cs="宋体"/>
          <w:color w:val="000000" w:themeColor="text1"/>
          <w:spacing w:val="-2"/>
          <w:sz w:val="24"/>
          <w:szCs w:val="24"/>
          <w:highlight w:val="none"/>
          <w:lang w:eastAsia="zh-CN"/>
          <w14:textFill>
            <w14:solidFill>
              <w14:schemeClr w14:val="tx1"/>
            </w14:solidFill>
          </w14:textFill>
        </w:rPr>
        <w:t>17.2.4 介绍参会的采购人、监督人等与会人员；</w:t>
      </w:r>
    </w:p>
    <w:p w14:paraId="69183694">
      <w:pPr>
        <w:spacing w:before="175" w:line="330" w:lineRule="auto"/>
        <w:ind w:left="38" w:right="83" w:firstLine="482"/>
        <w:rPr>
          <w:rFonts w:ascii="宋体" w:hAnsi="宋体" w:eastAsia="宋体" w:cs="宋体"/>
          <w:color w:val="000000" w:themeColor="text1"/>
          <w:spacing w:val="-2"/>
          <w:sz w:val="24"/>
          <w:szCs w:val="24"/>
          <w:highlight w:val="none"/>
          <w:lang w:eastAsia="zh-CN"/>
          <w14:textFill>
            <w14:solidFill>
              <w14:schemeClr w14:val="tx1"/>
            </w14:solidFill>
          </w14:textFill>
        </w:rPr>
      </w:pPr>
      <w:r>
        <w:rPr>
          <w:rFonts w:ascii="宋体" w:hAnsi="宋体" w:eastAsia="宋体" w:cs="宋体"/>
          <w:color w:val="000000" w:themeColor="text1"/>
          <w:spacing w:val="-2"/>
          <w:sz w:val="24"/>
          <w:szCs w:val="24"/>
          <w:highlight w:val="none"/>
          <w:lang w:eastAsia="zh-CN"/>
          <w14:textFill>
            <w14:solidFill>
              <w14:schemeClr w14:val="tx1"/>
            </w14:solidFill>
          </w14:textFill>
        </w:rPr>
        <w:t>17.2.5 开标时，电子招标投标交易平台自动提取所有电子化投标文件，按时在线解密。解密全部完成后， 向所有投标供应商公布投标供应商名称、投标价格和招标文件规定的其他内容。</w:t>
      </w:r>
    </w:p>
    <w:p w14:paraId="6352EB2D">
      <w:pPr>
        <w:spacing w:before="175" w:line="330" w:lineRule="auto"/>
        <w:ind w:left="38" w:right="83" w:firstLine="482"/>
        <w:rPr>
          <w:rFonts w:ascii="宋体" w:hAnsi="宋体" w:eastAsia="宋体" w:cs="宋体"/>
          <w:sz w:val="24"/>
          <w:szCs w:val="24"/>
          <w:highlight w:val="none"/>
          <w:lang w:eastAsia="zh-CN"/>
        </w:rPr>
      </w:pPr>
      <w:r>
        <w:rPr>
          <w:rFonts w:ascii="宋体" w:hAnsi="宋体" w:eastAsia="宋体" w:cs="宋体"/>
          <w:spacing w:val="1"/>
          <w:sz w:val="24"/>
          <w:szCs w:val="24"/>
          <w:highlight w:val="none"/>
          <w:lang w:eastAsia="zh-CN"/>
        </w:rPr>
        <w:t>17.3 开标会议结束，由采购人或代理机构按照招标文件第二章投标供应商须知</w:t>
      </w:r>
      <w:r>
        <w:rPr>
          <w:rFonts w:ascii="宋体" w:hAnsi="宋体" w:eastAsia="宋体" w:cs="宋体"/>
          <w:spacing w:val="-2"/>
          <w:sz w:val="24"/>
          <w:szCs w:val="24"/>
          <w:highlight w:val="none"/>
          <w:lang w:eastAsia="zh-CN"/>
        </w:rPr>
        <w:t>前附表第</w:t>
      </w:r>
      <w:r>
        <w:rPr>
          <w:rFonts w:ascii="宋体" w:hAnsi="宋体" w:eastAsia="宋体" w:cs="宋体"/>
          <w:spacing w:val="-48"/>
          <w:sz w:val="24"/>
          <w:szCs w:val="24"/>
          <w:highlight w:val="none"/>
          <w:lang w:eastAsia="zh-CN"/>
        </w:rPr>
        <w:t xml:space="preserve"> </w:t>
      </w:r>
      <w:r>
        <w:rPr>
          <w:rFonts w:ascii="宋体" w:hAnsi="宋体" w:eastAsia="宋体" w:cs="宋体"/>
          <w:spacing w:val="-2"/>
          <w:sz w:val="24"/>
          <w:szCs w:val="24"/>
          <w:highlight w:val="none"/>
          <w:lang w:eastAsia="zh-CN"/>
        </w:rPr>
        <w:t>2.1</w:t>
      </w:r>
      <w:r>
        <w:rPr>
          <w:rFonts w:ascii="宋体" w:hAnsi="宋体" w:eastAsia="宋体" w:cs="宋体"/>
          <w:spacing w:val="-47"/>
          <w:sz w:val="24"/>
          <w:szCs w:val="24"/>
          <w:highlight w:val="none"/>
          <w:lang w:eastAsia="zh-CN"/>
        </w:rPr>
        <w:t xml:space="preserve"> </w:t>
      </w:r>
      <w:r>
        <w:rPr>
          <w:rFonts w:ascii="宋体" w:hAnsi="宋体" w:eastAsia="宋体" w:cs="宋体"/>
          <w:spacing w:val="-2"/>
          <w:sz w:val="24"/>
          <w:szCs w:val="24"/>
          <w:highlight w:val="none"/>
          <w:lang w:eastAsia="zh-CN"/>
        </w:rPr>
        <w:t>项的要求，对投标供应商进行审查，有一项</w:t>
      </w:r>
      <w:r>
        <w:rPr>
          <w:rFonts w:ascii="宋体" w:hAnsi="宋体" w:eastAsia="宋体" w:cs="宋体"/>
          <w:spacing w:val="-3"/>
          <w:sz w:val="24"/>
          <w:szCs w:val="24"/>
          <w:highlight w:val="none"/>
          <w:lang w:eastAsia="zh-CN"/>
        </w:rPr>
        <w:t>不符合的，视为未通过资格审查，不得进入下一评标过程。</w:t>
      </w:r>
    </w:p>
    <w:p w14:paraId="35552266">
      <w:pPr>
        <w:spacing w:before="181" w:line="289" w:lineRule="auto"/>
        <w:ind w:left="38" w:right="91" w:firstLine="497"/>
        <w:rPr>
          <w:rFonts w:ascii="宋体" w:hAnsi="宋体" w:eastAsia="宋体" w:cs="宋体"/>
          <w:sz w:val="24"/>
          <w:szCs w:val="24"/>
          <w:highlight w:val="none"/>
          <w:lang w:eastAsia="zh-CN"/>
        </w:rPr>
      </w:pPr>
      <w:r>
        <w:rPr>
          <w:rFonts w:ascii="宋体" w:hAnsi="宋体" w:eastAsia="宋体" w:cs="宋体"/>
          <w:spacing w:val="1"/>
          <w:sz w:val="24"/>
          <w:szCs w:val="24"/>
          <w:highlight w:val="none"/>
          <w:lang w:eastAsia="zh-CN"/>
        </w:rPr>
        <w:t>17.4 采购人将符合资格审查的电子化投标文件提交于评标委员会进行评审、比</w:t>
      </w:r>
      <w:r>
        <w:rPr>
          <w:rFonts w:ascii="宋体" w:hAnsi="宋体" w:eastAsia="宋体" w:cs="宋体"/>
          <w:spacing w:val="-12"/>
          <w:sz w:val="24"/>
          <w:szCs w:val="24"/>
          <w:highlight w:val="none"/>
          <w:lang w:eastAsia="zh-CN"/>
        </w:rPr>
        <w:t>较。</w:t>
      </w:r>
    </w:p>
    <w:p w14:paraId="7E18A555">
      <w:pPr>
        <w:spacing w:before="174" w:line="220" w:lineRule="auto"/>
        <w:ind w:left="535"/>
        <w:rPr>
          <w:rFonts w:ascii="宋体" w:hAnsi="宋体" w:eastAsia="宋体" w:cs="宋体"/>
          <w:sz w:val="24"/>
          <w:szCs w:val="24"/>
          <w:highlight w:val="none"/>
          <w:lang w:eastAsia="zh-CN"/>
        </w:rPr>
      </w:pPr>
      <w:r>
        <w:rPr>
          <w:rFonts w:ascii="宋体" w:hAnsi="宋体" w:eastAsia="宋体" w:cs="宋体"/>
          <w:spacing w:val="-5"/>
          <w:sz w:val="24"/>
          <w:szCs w:val="24"/>
          <w:highlight w:val="none"/>
          <w:lang w:eastAsia="zh-CN"/>
        </w:rPr>
        <w:t>17.5</w:t>
      </w:r>
      <w:r>
        <w:rPr>
          <w:rFonts w:ascii="宋体" w:hAnsi="宋体" w:eastAsia="宋体" w:cs="宋体"/>
          <w:spacing w:val="50"/>
          <w:sz w:val="24"/>
          <w:szCs w:val="24"/>
          <w:highlight w:val="none"/>
          <w:lang w:eastAsia="zh-CN"/>
        </w:rPr>
        <w:t xml:space="preserve"> </w:t>
      </w:r>
      <w:r>
        <w:rPr>
          <w:rFonts w:ascii="宋体" w:hAnsi="宋体" w:eastAsia="宋体" w:cs="宋体"/>
          <w:spacing w:val="-5"/>
          <w:sz w:val="24"/>
          <w:szCs w:val="24"/>
          <w:highlight w:val="none"/>
          <w:lang w:eastAsia="zh-CN"/>
        </w:rPr>
        <w:t>电子化投标文件的有效性</w:t>
      </w:r>
    </w:p>
    <w:p w14:paraId="4DC66F95">
      <w:pPr>
        <w:spacing w:before="180" w:line="219" w:lineRule="auto"/>
        <w:ind w:right="11"/>
        <w:jc w:val="right"/>
        <w:rPr>
          <w:rFonts w:ascii="宋体" w:hAnsi="宋体" w:eastAsia="宋体" w:cs="宋体"/>
          <w:sz w:val="24"/>
          <w:szCs w:val="24"/>
          <w:highlight w:val="none"/>
          <w:lang w:eastAsia="zh-CN"/>
        </w:rPr>
      </w:pPr>
      <w:r>
        <w:rPr>
          <w:rFonts w:ascii="宋体" w:hAnsi="宋体" w:eastAsia="宋体" w:cs="宋体"/>
          <w:spacing w:val="-4"/>
          <w:sz w:val="24"/>
          <w:szCs w:val="24"/>
          <w:highlight w:val="none"/>
          <w:lang w:eastAsia="zh-CN"/>
        </w:rPr>
        <w:t>17.5.1</w:t>
      </w:r>
      <w:r>
        <w:rPr>
          <w:rFonts w:ascii="宋体" w:hAnsi="宋体" w:eastAsia="宋体" w:cs="宋体"/>
          <w:spacing w:val="37"/>
          <w:sz w:val="24"/>
          <w:szCs w:val="24"/>
          <w:highlight w:val="none"/>
          <w:lang w:eastAsia="zh-CN"/>
        </w:rPr>
        <w:t xml:space="preserve"> </w:t>
      </w:r>
      <w:r>
        <w:rPr>
          <w:rFonts w:ascii="宋体" w:hAnsi="宋体" w:eastAsia="宋体" w:cs="宋体"/>
          <w:spacing w:val="-4"/>
          <w:sz w:val="24"/>
          <w:szCs w:val="24"/>
          <w:highlight w:val="none"/>
          <w:lang w:eastAsia="zh-CN"/>
        </w:rPr>
        <w:t>电子化投标文件有下列情形的为无效电子化投标文件，</w:t>
      </w:r>
      <w:r>
        <w:rPr>
          <w:rFonts w:ascii="宋体" w:hAnsi="宋体" w:eastAsia="宋体" w:cs="宋体"/>
          <w:spacing w:val="-5"/>
          <w:sz w:val="24"/>
          <w:szCs w:val="24"/>
          <w:highlight w:val="none"/>
          <w:lang w:eastAsia="zh-CN"/>
        </w:rPr>
        <w:t>采购人不予受理：</w:t>
      </w:r>
    </w:p>
    <w:p w14:paraId="27790678">
      <w:pPr>
        <w:spacing w:before="178" w:line="357" w:lineRule="auto"/>
        <w:ind w:left="40" w:right="85" w:firstLine="496"/>
        <w:rPr>
          <w:rFonts w:ascii="宋体" w:hAnsi="宋体" w:eastAsia="宋体" w:cs="宋体"/>
          <w:sz w:val="24"/>
          <w:szCs w:val="24"/>
          <w:highlight w:val="none"/>
          <w:lang w:eastAsia="zh-CN"/>
        </w:rPr>
      </w:pPr>
      <w:r>
        <w:rPr>
          <w:rFonts w:ascii="宋体" w:hAnsi="宋体" w:eastAsia="宋体" w:cs="宋体"/>
          <w:spacing w:val="-2"/>
          <w:sz w:val="24"/>
          <w:szCs w:val="24"/>
          <w:highlight w:val="none"/>
          <w:lang w:eastAsia="zh-CN"/>
        </w:rPr>
        <w:t>因投标供应商原因造成投标文件未解密的，视为撤销其投标文</w:t>
      </w:r>
      <w:r>
        <w:rPr>
          <w:rFonts w:ascii="宋体" w:hAnsi="宋体" w:eastAsia="宋体" w:cs="宋体"/>
          <w:spacing w:val="-3"/>
          <w:sz w:val="24"/>
          <w:szCs w:val="24"/>
          <w:highlight w:val="none"/>
          <w:lang w:eastAsia="zh-CN"/>
        </w:rPr>
        <w:t>件；因投标供应商</w:t>
      </w:r>
      <w:r>
        <w:rPr>
          <w:rFonts w:ascii="宋体" w:hAnsi="宋体" w:eastAsia="宋体" w:cs="宋体"/>
          <w:spacing w:val="-2"/>
          <w:sz w:val="24"/>
          <w:szCs w:val="24"/>
          <w:highlight w:val="none"/>
          <w:lang w:eastAsia="zh-CN"/>
        </w:rPr>
        <w:t>之外的原因造成电子化投标文件未解密的，视为撤回其投标文件，投标供应商有权要</w:t>
      </w:r>
      <w:r>
        <w:rPr>
          <w:rFonts w:ascii="宋体" w:hAnsi="宋体" w:eastAsia="宋体" w:cs="宋体"/>
          <w:spacing w:val="-5"/>
          <w:sz w:val="24"/>
          <w:szCs w:val="24"/>
          <w:highlight w:val="none"/>
          <w:lang w:eastAsia="zh-CN"/>
        </w:rPr>
        <w:t>求责任方赔偿因此遭受的直接损失。部分电子化投标文件未解密的， 其他电子化投标</w:t>
      </w:r>
      <w:r>
        <w:rPr>
          <w:rFonts w:ascii="宋体" w:hAnsi="宋体" w:eastAsia="宋体" w:cs="宋体"/>
          <w:spacing w:val="-4"/>
          <w:sz w:val="24"/>
          <w:szCs w:val="24"/>
          <w:highlight w:val="none"/>
          <w:lang w:eastAsia="zh-CN"/>
        </w:rPr>
        <w:t>文件的开标可以继续进行。</w:t>
      </w:r>
    </w:p>
    <w:p w14:paraId="5DE96B2D">
      <w:pPr>
        <w:spacing w:line="289" w:lineRule="auto"/>
        <w:ind w:left="37" w:right="88" w:firstLine="498"/>
        <w:rPr>
          <w:rFonts w:ascii="宋体" w:hAnsi="宋体" w:eastAsia="宋体" w:cs="宋体"/>
          <w:sz w:val="24"/>
          <w:szCs w:val="24"/>
          <w:highlight w:val="none"/>
          <w:lang w:eastAsia="zh-CN"/>
        </w:rPr>
      </w:pPr>
      <w:r>
        <w:rPr>
          <w:rFonts w:ascii="宋体" w:hAnsi="宋体" w:eastAsia="宋体" w:cs="宋体"/>
          <w:spacing w:val="1"/>
          <w:sz w:val="24"/>
          <w:szCs w:val="24"/>
          <w:highlight w:val="none"/>
          <w:lang w:eastAsia="zh-CN"/>
        </w:rPr>
        <w:t>17.5.2 若电子化投标文件解密后，有效电子投标文件不足三家的，本项目应予</w:t>
      </w:r>
      <w:r>
        <w:rPr>
          <w:rFonts w:ascii="宋体" w:hAnsi="宋体" w:eastAsia="宋体" w:cs="宋体"/>
          <w:spacing w:val="-10"/>
          <w:sz w:val="24"/>
          <w:szCs w:val="24"/>
          <w:highlight w:val="none"/>
          <w:lang w:eastAsia="zh-CN"/>
        </w:rPr>
        <w:t>废标。</w:t>
      </w:r>
    </w:p>
    <w:p w14:paraId="0451B141">
      <w:pPr>
        <w:spacing w:before="177" w:line="219" w:lineRule="auto"/>
        <w:ind w:left="535"/>
        <w:rPr>
          <w:rFonts w:ascii="宋体" w:hAnsi="宋体" w:eastAsia="宋体" w:cs="宋体"/>
          <w:sz w:val="24"/>
          <w:szCs w:val="24"/>
          <w:highlight w:val="none"/>
          <w:lang w:eastAsia="zh-CN"/>
        </w:rPr>
      </w:pPr>
      <w:r>
        <w:rPr>
          <w:rFonts w:ascii="宋体" w:hAnsi="宋体" w:eastAsia="宋体" w:cs="宋体"/>
          <w:spacing w:val="-2"/>
          <w:sz w:val="24"/>
          <w:szCs w:val="24"/>
          <w:highlight w:val="none"/>
          <w:lang w:eastAsia="zh-CN"/>
        </w:rPr>
        <w:t>17.5.3 采购人将有效电子化投标文件，送评标委员会进行评审、比较。</w:t>
      </w:r>
    </w:p>
    <w:p w14:paraId="287CA2C3">
      <w:pPr>
        <w:spacing w:before="179" w:line="220" w:lineRule="auto"/>
        <w:ind w:left="4214"/>
        <w:rPr>
          <w:rFonts w:ascii="宋体" w:hAnsi="宋体" w:eastAsia="宋体" w:cs="宋体"/>
          <w:sz w:val="24"/>
          <w:szCs w:val="24"/>
          <w:highlight w:val="none"/>
          <w:lang w:eastAsia="zh-CN"/>
        </w:rPr>
      </w:pPr>
      <w:r>
        <w:rPr>
          <w:rFonts w:ascii="宋体" w:hAnsi="宋体" w:eastAsia="宋体" w:cs="宋体"/>
          <w:b/>
          <w:bCs/>
          <w:spacing w:val="-5"/>
          <w:sz w:val="24"/>
          <w:szCs w:val="24"/>
          <w:highlight w:val="none"/>
          <w:lang w:eastAsia="zh-CN"/>
        </w:rPr>
        <w:t>六、评标</w:t>
      </w:r>
    </w:p>
    <w:p w14:paraId="58A9ABB6">
      <w:pPr>
        <w:spacing w:before="180" w:line="219" w:lineRule="auto"/>
        <w:ind w:left="535"/>
        <w:rPr>
          <w:rFonts w:ascii="宋体" w:hAnsi="宋体" w:eastAsia="宋体" w:cs="宋体"/>
          <w:sz w:val="24"/>
          <w:szCs w:val="24"/>
          <w:highlight w:val="none"/>
          <w:lang w:eastAsia="zh-CN"/>
        </w:rPr>
      </w:pPr>
      <w:r>
        <w:rPr>
          <w:rFonts w:ascii="宋体" w:hAnsi="宋体" w:eastAsia="宋体" w:cs="宋体"/>
          <w:spacing w:val="-5"/>
          <w:sz w:val="24"/>
          <w:szCs w:val="24"/>
          <w:highlight w:val="none"/>
          <w:lang w:eastAsia="zh-CN"/>
        </w:rPr>
        <w:t>18、评标委员会</w:t>
      </w:r>
    </w:p>
    <w:p w14:paraId="6C096345">
      <w:pPr>
        <w:spacing w:before="178" w:line="219" w:lineRule="auto"/>
        <w:ind w:left="535"/>
        <w:rPr>
          <w:rFonts w:ascii="宋体" w:hAnsi="宋体" w:eastAsia="宋体" w:cs="宋体"/>
          <w:sz w:val="24"/>
          <w:szCs w:val="24"/>
          <w:highlight w:val="none"/>
          <w:lang w:eastAsia="zh-CN"/>
        </w:rPr>
      </w:pPr>
      <w:r>
        <w:rPr>
          <w:rFonts w:ascii="宋体" w:hAnsi="宋体" w:eastAsia="宋体" w:cs="宋体"/>
          <w:spacing w:val="-3"/>
          <w:sz w:val="24"/>
          <w:szCs w:val="24"/>
          <w:highlight w:val="none"/>
          <w:lang w:eastAsia="zh-CN"/>
        </w:rPr>
        <w:t>18.1</w:t>
      </w:r>
      <w:r>
        <w:rPr>
          <w:rFonts w:ascii="宋体" w:hAnsi="宋体" w:eastAsia="宋体" w:cs="宋体"/>
          <w:spacing w:val="-46"/>
          <w:sz w:val="24"/>
          <w:szCs w:val="24"/>
          <w:highlight w:val="none"/>
          <w:lang w:eastAsia="zh-CN"/>
        </w:rPr>
        <w:t xml:space="preserve"> </w:t>
      </w:r>
      <w:r>
        <w:rPr>
          <w:rFonts w:ascii="宋体" w:hAnsi="宋体" w:eastAsia="宋体" w:cs="宋体"/>
          <w:spacing w:val="-3"/>
          <w:sz w:val="24"/>
          <w:szCs w:val="24"/>
          <w:highlight w:val="none"/>
          <w:lang w:eastAsia="zh-CN"/>
        </w:rPr>
        <w:t>评标委员会由采购人依法组建，负责评标活动。</w:t>
      </w:r>
    </w:p>
    <w:p w14:paraId="1BD01A21">
      <w:pPr>
        <w:spacing w:before="180" w:line="288" w:lineRule="auto"/>
        <w:ind w:left="40" w:right="83" w:firstLine="495"/>
        <w:rPr>
          <w:rFonts w:ascii="宋体" w:hAnsi="宋体" w:eastAsia="宋体" w:cs="宋体"/>
          <w:sz w:val="24"/>
          <w:szCs w:val="24"/>
          <w:highlight w:val="none"/>
          <w:lang w:eastAsia="zh-CN"/>
        </w:rPr>
      </w:pPr>
      <w:r>
        <w:rPr>
          <w:rFonts w:ascii="宋体" w:hAnsi="宋体" w:eastAsia="宋体" w:cs="宋体"/>
          <w:spacing w:val="-4"/>
          <w:sz w:val="24"/>
          <w:szCs w:val="24"/>
          <w:highlight w:val="none"/>
          <w:lang w:eastAsia="zh-CN"/>
        </w:rPr>
        <w:t>18.2</w:t>
      </w:r>
      <w:r>
        <w:rPr>
          <w:rFonts w:ascii="宋体" w:hAnsi="宋体" w:eastAsia="宋体" w:cs="宋体"/>
          <w:spacing w:val="-52"/>
          <w:sz w:val="24"/>
          <w:szCs w:val="24"/>
          <w:highlight w:val="none"/>
          <w:lang w:eastAsia="zh-CN"/>
        </w:rPr>
        <w:t xml:space="preserve"> </w:t>
      </w:r>
      <w:r>
        <w:rPr>
          <w:rFonts w:ascii="宋体" w:hAnsi="宋体" w:eastAsia="宋体" w:cs="宋体"/>
          <w:spacing w:val="-4"/>
          <w:sz w:val="24"/>
          <w:szCs w:val="24"/>
          <w:highlight w:val="none"/>
          <w:lang w:eastAsia="zh-CN"/>
        </w:rPr>
        <w:t>评标委员会成员为</w:t>
      </w:r>
      <w:r>
        <w:rPr>
          <w:rFonts w:ascii="宋体" w:hAnsi="宋体" w:eastAsia="宋体" w:cs="宋体"/>
          <w:spacing w:val="-45"/>
          <w:sz w:val="24"/>
          <w:szCs w:val="24"/>
          <w:highlight w:val="none"/>
          <w:lang w:eastAsia="zh-CN"/>
        </w:rPr>
        <w:t xml:space="preserve"> </w:t>
      </w:r>
      <w:r>
        <w:rPr>
          <w:rFonts w:ascii="宋体" w:hAnsi="宋体" w:eastAsia="宋体" w:cs="宋体"/>
          <w:spacing w:val="-4"/>
          <w:sz w:val="24"/>
          <w:szCs w:val="24"/>
          <w:highlight w:val="none"/>
          <w:lang w:eastAsia="zh-CN"/>
        </w:rPr>
        <w:t>5</w:t>
      </w:r>
      <w:r>
        <w:rPr>
          <w:rFonts w:ascii="宋体" w:hAnsi="宋体" w:eastAsia="宋体" w:cs="宋体"/>
          <w:spacing w:val="-49"/>
          <w:sz w:val="24"/>
          <w:szCs w:val="24"/>
          <w:highlight w:val="none"/>
          <w:lang w:eastAsia="zh-CN"/>
        </w:rPr>
        <w:t xml:space="preserve"> </w:t>
      </w:r>
      <w:r>
        <w:rPr>
          <w:rFonts w:ascii="宋体" w:hAnsi="宋体" w:eastAsia="宋体" w:cs="宋体"/>
          <w:spacing w:val="-4"/>
          <w:sz w:val="24"/>
          <w:szCs w:val="24"/>
          <w:highlight w:val="none"/>
          <w:lang w:eastAsia="zh-CN"/>
        </w:rPr>
        <w:t>人，采购人代表</w:t>
      </w:r>
      <w:r>
        <w:rPr>
          <w:rFonts w:ascii="宋体" w:hAnsi="宋体" w:eastAsia="宋体" w:cs="宋体"/>
          <w:spacing w:val="-33"/>
          <w:sz w:val="24"/>
          <w:szCs w:val="24"/>
          <w:highlight w:val="none"/>
          <w:lang w:eastAsia="zh-CN"/>
        </w:rPr>
        <w:t xml:space="preserve"> </w:t>
      </w:r>
      <w:r>
        <w:rPr>
          <w:rFonts w:ascii="宋体" w:hAnsi="宋体" w:eastAsia="宋体" w:cs="宋体"/>
          <w:spacing w:val="-4"/>
          <w:sz w:val="24"/>
          <w:szCs w:val="24"/>
          <w:highlight w:val="none"/>
          <w:lang w:eastAsia="zh-CN"/>
        </w:rPr>
        <w:t>1</w:t>
      </w:r>
      <w:r>
        <w:rPr>
          <w:rFonts w:ascii="宋体" w:hAnsi="宋体" w:eastAsia="宋体" w:cs="宋体"/>
          <w:spacing w:val="-48"/>
          <w:sz w:val="24"/>
          <w:szCs w:val="24"/>
          <w:highlight w:val="none"/>
          <w:lang w:eastAsia="zh-CN"/>
        </w:rPr>
        <w:t xml:space="preserve"> </w:t>
      </w:r>
      <w:r>
        <w:rPr>
          <w:rFonts w:ascii="宋体" w:hAnsi="宋体" w:eastAsia="宋体" w:cs="宋体"/>
          <w:spacing w:val="-4"/>
          <w:sz w:val="24"/>
          <w:szCs w:val="24"/>
          <w:highlight w:val="none"/>
          <w:lang w:eastAsia="zh-CN"/>
        </w:rPr>
        <w:t>人，其余技术、</w:t>
      </w:r>
      <w:r>
        <w:rPr>
          <w:rFonts w:ascii="宋体" w:hAnsi="宋体" w:eastAsia="宋体" w:cs="宋体"/>
          <w:spacing w:val="-5"/>
          <w:sz w:val="24"/>
          <w:szCs w:val="24"/>
          <w:highlight w:val="none"/>
          <w:lang w:eastAsia="zh-CN"/>
        </w:rPr>
        <w:t>经济等方面的专家</w:t>
      </w:r>
      <w:r>
        <w:rPr>
          <w:rFonts w:ascii="宋体" w:hAnsi="宋体" w:eastAsia="宋体" w:cs="宋体"/>
          <w:spacing w:val="-51"/>
          <w:sz w:val="24"/>
          <w:szCs w:val="24"/>
          <w:highlight w:val="none"/>
          <w:lang w:eastAsia="zh-CN"/>
        </w:rPr>
        <w:t xml:space="preserve"> </w:t>
      </w:r>
      <w:r>
        <w:rPr>
          <w:rFonts w:ascii="宋体" w:hAnsi="宋体" w:eastAsia="宋体" w:cs="宋体"/>
          <w:spacing w:val="-5"/>
          <w:sz w:val="24"/>
          <w:szCs w:val="24"/>
          <w:highlight w:val="none"/>
          <w:lang w:eastAsia="zh-CN"/>
        </w:rPr>
        <w:t>4</w:t>
      </w:r>
      <w:r>
        <w:rPr>
          <w:rFonts w:ascii="宋体" w:hAnsi="宋体" w:eastAsia="宋体" w:cs="宋体"/>
          <w:spacing w:val="-1"/>
          <w:sz w:val="24"/>
          <w:szCs w:val="24"/>
          <w:highlight w:val="none"/>
          <w:lang w:eastAsia="zh-CN"/>
        </w:rPr>
        <w:t>人从相关专家库中随机抽取；与投标供应商有利害关系的人</w:t>
      </w:r>
      <w:r>
        <w:rPr>
          <w:rFonts w:ascii="宋体" w:hAnsi="宋体" w:eastAsia="宋体" w:cs="宋体"/>
          <w:spacing w:val="-2"/>
          <w:sz w:val="24"/>
          <w:szCs w:val="24"/>
          <w:highlight w:val="none"/>
          <w:lang w:eastAsia="zh-CN"/>
        </w:rPr>
        <w:t>不得进入评标委员会。</w:t>
      </w:r>
    </w:p>
    <w:p w14:paraId="0D940FD0">
      <w:pPr>
        <w:spacing w:before="175" w:line="330" w:lineRule="auto"/>
        <w:ind w:left="38" w:right="83" w:firstLine="482"/>
        <w:rPr>
          <w:rFonts w:ascii="宋体" w:hAnsi="宋体" w:eastAsia="宋体" w:cs="宋体"/>
          <w:spacing w:val="-2"/>
          <w:sz w:val="24"/>
          <w:szCs w:val="24"/>
          <w:highlight w:val="none"/>
          <w:lang w:eastAsia="zh-CN"/>
        </w:rPr>
      </w:pPr>
      <w:r>
        <w:rPr>
          <w:rFonts w:ascii="宋体" w:hAnsi="宋体" w:eastAsia="宋体" w:cs="宋体"/>
          <w:spacing w:val="-2"/>
          <w:sz w:val="24"/>
          <w:szCs w:val="24"/>
          <w:highlight w:val="none"/>
          <w:lang w:eastAsia="zh-CN"/>
        </w:rPr>
        <w:t>18.3 开标结束后，开始评标。评标工作在相关部门监督下，采用保密方式进行。</w:t>
      </w:r>
    </w:p>
    <w:p w14:paraId="53A0B256">
      <w:pPr>
        <w:spacing w:before="175" w:line="330" w:lineRule="auto"/>
        <w:ind w:left="38" w:right="83" w:firstLine="482"/>
        <w:rPr>
          <w:rFonts w:ascii="宋体" w:hAnsi="宋体" w:eastAsia="宋体" w:cs="宋体"/>
          <w:spacing w:val="-2"/>
          <w:sz w:val="24"/>
          <w:szCs w:val="24"/>
          <w:highlight w:val="none"/>
          <w:lang w:eastAsia="zh-CN"/>
        </w:rPr>
      </w:pPr>
      <w:r>
        <w:rPr>
          <w:rFonts w:ascii="宋体" w:hAnsi="宋体" w:eastAsia="宋体" w:cs="宋体"/>
          <w:spacing w:val="-2"/>
          <w:sz w:val="24"/>
          <w:szCs w:val="24"/>
          <w:highlight w:val="none"/>
          <w:lang w:eastAsia="zh-CN"/>
        </w:rPr>
        <w:t>19、评标过程的保密</w:t>
      </w:r>
    </w:p>
    <w:p w14:paraId="70D47EFB">
      <w:pPr>
        <w:spacing w:before="175" w:line="330" w:lineRule="auto"/>
        <w:ind w:left="38" w:right="83" w:firstLine="482"/>
        <w:rPr>
          <w:rFonts w:ascii="宋体" w:hAnsi="宋体" w:eastAsia="宋体" w:cs="宋体"/>
          <w:spacing w:val="-2"/>
          <w:sz w:val="24"/>
          <w:szCs w:val="24"/>
          <w:highlight w:val="none"/>
          <w:lang w:eastAsia="zh-CN"/>
        </w:rPr>
      </w:pPr>
      <w:r>
        <w:rPr>
          <w:rFonts w:ascii="宋体" w:hAnsi="宋体" w:eastAsia="宋体" w:cs="宋体"/>
          <w:spacing w:val="-2"/>
          <w:sz w:val="24"/>
          <w:szCs w:val="24"/>
          <w:highlight w:val="none"/>
          <w:lang w:eastAsia="zh-CN"/>
        </w:rPr>
        <w:t>19.1 开标后，直至授予中标供应商合同为止，凡属于对电子化投标文件的审查、澄清、评价和比较有关的资料，中标候选人的推荐情况，及其他任何与评标有关的情况均应严格保密。</w:t>
      </w:r>
    </w:p>
    <w:p w14:paraId="21B3D24B">
      <w:pPr>
        <w:spacing w:before="175" w:line="330" w:lineRule="auto"/>
        <w:ind w:left="38" w:right="83" w:firstLine="482"/>
        <w:rPr>
          <w:rFonts w:ascii="宋体" w:hAnsi="宋体" w:eastAsia="宋体" w:cs="宋体"/>
          <w:sz w:val="24"/>
          <w:szCs w:val="24"/>
          <w:highlight w:val="none"/>
          <w:lang w:eastAsia="zh-CN"/>
        </w:rPr>
      </w:pPr>
      <w:r>
        <w:rPr>
          <w:rFonts w:ascii="宋体" w:hAnsi="宋体" w:eastAsia="宋体" w:cs="宋体"/>
          <w:spacing w:val="-2"/>
          <w:sz w:val="24"/>
          <w:szCs w:val="24"/>
          <w:highlight w:val="none"/>
          <w:lang w:eastAsia="zh-CN"/>
        </w:rPr>
        <w:t>19.2 在电子化投标文件的评审和比较、中标候选人推荐以及授予合同的过程中，投标供应商向采购人和评标委员会施加影响</w:t>
      </w:r>
      <w:r>
        <w:rPr>
          <w:rFonts w:ascii="宋体" w:hAnsi="宋体" w:eastAsia="宋体" w:cs="宋体"/>
          <w:spacing w:val="1"/>
          <w:sz w:val="24"/>
          <w:szCs w:val="24"/>
          <w:highlight w:val="none"/>
          <w:lang w:eastAsia="zh-CN"/>
        </w:rPr>
        <w:t>的任何</w:t>
      </w:r>
      <w:r>
        <w:rPr>
          <w:rFonts w:ascii="宋体" w:hAnsi="宋体" w:eastAsia="宋体" w:cs="宋体"/>
          <w:sz w:val="24"/>
          <w:szCs w:val="24"/>
          <w:highlight w:val="none"/>
          <w:lang w:eastAsia="zh-CN"/>
        </w:rPr>
        <w:t>行为，都将会导致其投标被拒绝。</w:t>
      </w:r>
    </w:p>
    <w:p w14:paraId="65992651">
      <w:pPr>
        <w:spacing w:before="179" w:line="311" w:lineRule="auto"/>
        <w:ind w:left="37" w:right="83" w:firstLine="498"/>
        <w:rPr>
          <w:rFonts w:ascii="宋体" w:hAnsi="宋体" w:eastAsia="宋体" w:cs="宋体"/>
          <w:sz w:val="24"/>
          <w:szCs w:val="24"/>
          <w:highlight w:val="none"/>
          <w:lang w:eastAsia="zh-CN"/>
        </w:rPr>
      </w:pPr>
      <w:r>
        <w:rPr>
          <w:rFonts w:ascii="宋体" w:hAnsi="宋体" w:eastAsia="宋体" w:cs="宋体"/>
          <w:spacing w:val="-5"/>
          <w:sz w:val="24"/>
          <w:szCs w:val="24"/>
          <w:highlight w:val="none"/>
          <w:lang w:eastAsia="zh-CN"/>
        </w:rPr>
        <w:t>19.3</w:t>
      </w:r>
      <w:r>
        <w:rPr>
          <w:rFonts w:ascii="宋体" w:hAnsi="宋体" w:eastAsia="宋体" w:cs="宋体"/>
          <w:spacing w:val="-12"/>
          <w:sz w:val="24"/>
          <w:szCs w:val="24"/>
          <w:highlight w:val="none"/>
          <w:lang w:eastAsia="zh-CN"/>
        </w:rPr>
        <w:t xml:space="preserve"> </w:t>
      </w:r>
      <w:r>
        <w:rPr>
          <w:rFonts w:ascii="宋体" w:hAnsi="宋体" w:eastAsia="宋体" w:cs="宋体"/>
          <w:spacing w:val="-5"/>
          <w:sz w:val="24"/>
          <w:szCs w:val="24"/>
          <w:highlight w:val="none"/>
          <w:lang w:eastAsia="zh-CN"/>
        </w:rPr>
        <w:t>中标供应商确定后，采购人不对未中标供应商就评标过程以及未能中标原因</w:t>
      </w:r>
      <w:r>
        <w:rPr>
          <w:rFonts w:ascii="宋体" w:hAnsi="宋体" w:eastAsia="宋体" w:cs="宋体"/>
          <w:spacing w:val="-2"/>
          <w:sz w:val="24"/>
          <w:szCs w:val="24"/>
          <w:highlight w:val="none"/>
          <w:lang w:eastAsia="zh-CN"/>
        </w:rPr>
        <w:t>作出任何解释。未中标供应商不得向评标委员会组成人员或其他有关人员索问评标过</w:t>
      </w:r>
      <w:r>
        <w:rPr>
          <w:rFonts w:ascii="宋体" w:hAnsi="宋体" w:eastAsia="宋体" w:cs="宋体"/>
          <w:spacing w:val="-5"/>
          <w:sz w:val="24"/>
          <w:szCs w:val="24"/>
          <w:highlight w:val="none"/>
          <w:lang w:eastAsia="zh-CN"/>
        </w:rPr>
        <w:t>程的情况和材料。</w:t>
      </w:r>
    </w:p>
    <w:p w14:paraId="202331CD">
      <w:pPr>
        <w:spacing w:before="178" w:line="220" w:lineRule="auto"/>
        <w:ind w:left="520"/>
        <w:rPr>
          <w:rFonts w:ascii="宋体" w:hAnsi="宋体" w:eastAsia="宋体" w:cs="宋体"/>
          <w:sz w:val="24"/>
          <w:szCs w:val="24"/>
          <w:highlight w:val="none"/>
          <w:lang w:eastAsia="zh-CN"/>
        </w:rPr>
      </w:pPr>
      <w:r>
        <w:rPr>
          <w:rFonts w:ascii="宋体" w:hAnsi="宋体" w:eastAsia="宋体" w:cs="宋体"/>
          <w:spacing w:val="-3"/>
          <w:sz w:val="24"/>
          <w:szCs w:val="24"/>
          <w:highlight w:val="none"/>
          <w:lang w:eastAsia="zh-CN"/>
        </w:rPr>
        <w:t>20、评标纪律</w:t>
      </w:r>
    </w:p>
    <w:p w14:paraId="0C689C3A">
      <w:pPr>
        <w:spacing w:before="179" w:line="288" w:lineRule="auto"/>
        <w:ind w:left="37" w:right="85" w:firstLine="483"/>
        <w:rPr>
          <w:rFonts w:ascii="宋体" w:hAnsi="宋体" w:eastAsia="宋体" w:cs="宋体"/>
          <w:sz w:val="24"/>
          <w:szCs w:val="24"/>
          <w:highlight w:val="none"/>
          <w:lang w:eastAsia="zh-CN"/>
        </w:rPr>
      </w:pPr>
      <w:r>
        <w:rPr>
          <w:rFonts w:ascii="宋体" w:hAnsi="宋体" w:eastAsia="宋体" w:cs="宋体"/>
          <w:spacing w:val="2"/>
          <w:sz w:val="24"/>
          <w:szCs w:val="24"/>
          <w:highlight w:val="none"/>
          <w:lang w:eastAsia="zh-CN"/>
        </w:rPr>
        <w:t>20.1 评标委员会成员和参与评标工作</w:t>
      </w:r>
      <w:r>
        <w:rPr>
          <w:rFonts w:ascii="宋体" w:hAnsi="宋体" w:eastAsia="宋体" w:cs="宋体"/>
          <w:spacing w:val="1"/>
          <w:sz w:val="24"/>
          <w:szCs w:val="24"/>
          <w:highlight w:val="none"/>
          <w:lang w:eastAsia="zh-CN"/>
        </w:rPr>
        <w:t>的有关人员不得透露对电子化投标文件的</w:t>
      </w:r>
      <w:r>
        <w:rPr>
          <w:rFonts w:ascii="宋体" w:hAnsi="宋体" w:eastAsia="宋体" w:cs="宋体"/>
          <w:spacing w:val="-2"/>
          <w:sz w:val="24"/>
          <w:szCs w:val="24"/>
          <w:highlight w:val="none"/>
          <w:lang w:eastAsia="zh-CN"/>
        </w:rPr>
        <w:t>评审和比较、中标候选人的推荐情况以及与评标有关的其它情况。</w:t>
      </w:r>
    </w:p>
    <w:p w14:paraId="3E3DE6D5">
      <w:pPr>
        <w:spacing w:before="179" w:line="312" w:lineRule="auto"/>
        <w:ind w:left="39" w:right="82" w:firstLine="481"/>
        <w:rPr>
          <w:rFonts w:ascii="宋体" w:hAnsi="宋体" w:eastAsia="宋体" w:cs="宋体"/>
          <w:sz w:val="24"/>
          <w:szCs w:val="24"/>
          <w:highlight w:val="none"/>
          <w:lang w:eastAsia="zh-CN"/>
        </w:rPr>
      </w:pPr>
      <w:r>
        <w:rPr>
          <w:rFonts w:ascii="宋体" w:hAnsi="宋体" w:eastAsia="宋体" w:cs="宋体"/>
          <w:spacing w:val="-2"/>
          <w:sz w:val="24"/>
          <w:szCs w:val="24"/>
          <w:highlight w:val="none"/>
          <w:lang w:eastAsia="zh-CN"/>
        </w:rPr>
        <w:t>20.2</w:t>
      </w:r>
      <w:r>
        <w:rPr>
          <w:rFonts w:ascii="宋体" w:hAnsi="宋体" w:eastAsia="宋体" w:cs="宋体"/>
          <w:spacing w:val="-18"/>
          <w:sz w:val="24"/>
          <w:szCs w:val="24"/>
          <w:highlight w:val="none"/>
          <w:lang w:eastAsia="zh-CN"/>
        </w:rPr>
        <w:t xml:space="preserve"> </w:t>
      </w:r>
      <w:r>
        <w:rPr>
          <w:rFonts w:ascii="宋体" w:hAnsi="宋体" w:eastAsia="宋体" w:cs="宋体"/>
          <w:spacing w:val="-2"/>
          <w:sz w:val="24"/>
          <w:szCs w:val="24"/>
          <w:highlight w:val="none"/>
          <w:lang w:eastAsia="zh-CN"/>
        </w:rPr>
        <w:t>除投标须知第</w:t>
      </w:r>
      <w:r>
        <w:rPr>
          <w:rFonts w:ascii="宋体" w:hAnsi="宋体" w:eastAsia="宋体" w:cs="宋体"/>
          <w:spacing w:val="-43"/>
          <w:sz w:val="24"/>
          <w:szCs w:val="24"/>
          <w:highlight w:val="none"/>
          <w:lang w:eastAsia="zh-CN"/>
        </w:rPr>
        <w:t xml:space="preserve"> </w:t>
      </w:r>
      <w:r>
        <w:rPr>
          <w:rFonts w:ascii="宋体" w:hAnsi="宋体" w:eastAsia="宋体" w:cs="宋体"/>
          <w:spacing w:val="-2"/>
          <w:sz w:val="24"/>
          <w:szCs w:val="24"/>
          <w:highlight w:val="none"/>
          <w:lang w:eastAsia="zh-CN"/>
        </w:rPr>
        <w:t>25</w:t>
      </w:r>
      <w:r>
        <w:rPr>
          <w:rFonts w:ascii="宋体" w:hAnsi="宋体" w:eastAsia="宋体" w:cs="宋体"/>
          <w:spacing w:val="-46"/>
          <w:sz w:val="24"/>
          <w:szCs w:val="24"/>
          <w:highlight w:val="none"/>
          <w:lang w:eastAsia="zh-CN"/>
        </w:rPr>
        <w:t xml:space="preserve"> </w:t>
      </w:r>
      <w:r>
        <w:rPr>
          <w:rFonts w:ascii="宋体" w:hAnsi="宋体" w:eastAsia="宋体" w:cs="宋体"/>
          <w:spacing w:val="-2"/>
          <w:sz w:val="24"/>
          <w:szCs w:val="24"/>
          <w:highlight w:val="none"/>
          <w:lang w:eastAsia="zh-CN"/>
        </w:rPr>
        <w:t>条款的规定以外，开标以后至授予中标通知书前，任何投</w:t>
      </w:r>
      <w:r>
        <w:rPr>
          <w:rFonts w:ascii="宋体" w:hAnsi="宋体" w:eastAsia="宋体" w:cs="宋体"/>
          <w:spacing w:val="5"/>
          <w:sz w:val="24"/>
          <w:szCs w:val="24"/>
          <w:highlight w:val="none"/>
          <w:lang w:eastAsia="zh-CN"/>
        </w:rPr>
        <w:t>标供应商均不得就与其电子化投标文件有关的问题主动与</w:t>
      </w:r>
      <w:r>
        <w:rPr>
          <w:rFonts w:ascii="宋体" w:hAnsi="宋体" w:eastAsia="宋体" w:cs="宋体"/>
          <w:spacing w:val="4"/>
          <w:sz w:val="24"/>
          <w:szCs w:val="24"/>
          <w:highlight w:val="none"/>
          <w:lang w:eastAsia="zh-CN"/>
        </w:rPr>
        <w:t>采购人和招标代理机构发</w:t>
      </w:r>
      <w:r>
        <w:rPr>
          <w:rFonts w:ascii="宋体" w:hAnsi="宋体" w:eastAsia="宋体" w:cs="宋体"/>
          <w:spacing w:val="-9"/>
          <w:sz w:val="24"/>
          <w:szCs w:val="24"/>
          <w:highlight w:val="none"/>
          <w:lang w:eastAsia="zh-CN"/>
        </w:rPr>
        <w:t>生联系。</w:t>
      </w:r>
    </w:p>
    <w:p w14:paraId="765EA3A7">
      <w:pPr>
        <w:spacing w:before="174" w:line="289" w:lineRule="auto"/>
        <w:ind w:left="57" w:right="83" w:firstLine="463"/>
        <w:rPr>
          <w:rFonts w:ascii="宋体" w:hAnsi="宋体" w:eastAsia="宋体" w:cs="宋体"/>
          <w:sz w:val="24"/>
          <w:szCs w:val="24"/>
          <w:highlight w:val="none"/>
          <w:lang w:eastAsia="zh-CN"/>
        </w:rPr>
      </w:pPr>
      <w:r>
        <w:rPr>
          <w:rFonts w:ascii="宋体" w:hAnsi="宋体" w:eastAsia="宋体" w:cs="宋体"/>
          <w:spacing w:val="-4"/>
          <w:sz w:val="24"/>
          <w:szCs w:val="24"/>
          <w:highlight w:val="none"/>
          <w:lang w:eastAsia="zh-CN"/>
        </w:rPr>
        <w:t>20.3</w:t>
      </w:r>
      <w:r>
        <w:rPr>
          <w:rFonts w:ascii="宋体" w:hAnsi="宋体" w:eastAsia="宋体" w:cs="宋体"/>
          <w:spacing w:val="-34"/>
          <w:sz w:val="24"/>
          <w:szCs w:val="24"/>
          <w:highlight w:val="none"/>
          <w:lang w:eastAsia="zh-CN"/>
        </w:rPr>
        <w:t xml:space="preserve"> </w:t>
      </w:r>
      <w:r>
        <w:rPr>
          <w:rFonts w:ascii="宋体" w:hAnsi="宋体" w:eastAsia="宋体" w:cs="宋体"/>
          <w:spacing w:val="-4"/>
          <w:sz w:val="24"/>
          <w:szCs w:val="24"/>
          <w:highlight w:val="none"/>
          <w:lang w:eastAsia="zh-CN"/>
        </w:rPr>
        <w:t>如果投标供应商试图对评标委员会的评标施加影响，则将导致该投标供应商</w:t>
      </w:r>
      <w:r>
        <w:rPr>
          <w:rFonts w:ascii="宋体" w:hAnsi="宋体" w:eastAsia="宋体" w:cs="宋体"/>
          <w:spacing w:val="-5"/>
          <w:sz w:val="24"/>
          <w:szCs w:val="24"/>
          <w:highlight w:val="none"/>
          <w:lang w:eastAsia="zh-CN"/>
        </w:rPr>
        <w:t>的电子化投标文件被拒绝。</w:t>
      </w:r>
    </w:p>
    <w:p w14:paraId="73A57888">
      <w:pPr>
        <w:spacing w:before="177" w:line="220" w:lineRule="auto"/>
        <w:ind w:left="520"/>
        <w:rPr>
          <w:rFonts w:ascii="宋体" w:hAnsi="宋体" w:eastAsia="宋体" w:cs="宋体"/>
          <w:sz w:val="24"/>
          <w:szCs w:val="24"/>
          <w:highlight w:val="none"/>
          <w:lang w:eastAsia="zh-CN"/>
        </w:rPr>
      </w:pPr>
      <w:r>
        <w:rPr>
          <w:rFonts w:ascii="宋体" w:hAnsi="宋体" w:eastAsia="宋体" w:cs="宋体"/>
          <w:spacing w:val="-2"/>
          <w:sz w:val="24"/>
          <w:szCs w:val="24"/>
          <w:highlight w:val="none"/>
          <w:lang w:eastAsia="zh-CN"/>
        </w:rPr>
        <w:t>21、电子化投标文件的澄清</w:t>
      </w:r>
    </w:p>
    <w:p w14:paraId="4A0A112F">
      <w:pPr>
        <w:spacing w:before="179" w:line="357" w:lineRule="auto"/>
        <w:ind w:left="38" w:right="83" w:firstLine="482"/>
        <w:jc w:val="both"/>
        <w:rPr>
          <w:rFonts w:ascii="宋体" w:hAnsi="宋体" w:eastAsia="宋体" w:cs="宋体"/>
          <w:sz w:val="24"/>
          <w:szCs w:val="24"/>
          <w:highlight w:val="none"/>
          <w:lang w:eastAsia="zh-CN"/>
        </w:rPr>
      </w:pPr>
      <w:r>
        <w:rPr>
          <w:rFonts w:ascii="宋体" w:hAnsi="宋体" w:eastAsia="宋体" w:cs="宋体"/>
          <w:spacing w:val="1"/>
          <w:sz w:val="24"/>
          <w:szCs w:val="24"/>
          <w:highlight w:val="none"/>
          <w:lang w:eastAsia="zh-CN"/>
        </w:rPr>
        <w:t>21.1 为有助于电子化投标文件的审查、评价和比较，评标委员会可以以书面形</w:t>
      </w:r>
      <w:r>
        <w:rPr>
          <w:rFonts w:ascii="宋体" w:hAnsi="宋体" w:eastAsia="宋体" w:cs="宋体"/>
          <w:spacing w:val="-2"/>
          <w:sz w:val="24"/>
          <w:szCs w:val="24"/>
          <w:highlight w:val="none"/>
          <w:lang w:eastAsia="zh-CN"/>
        </w:rPr>
        <w:t>式要求投标供应商对电子化投标文件含义不明确的内容作必要的澄清或说明，投标供应商应采用书面形式进行澄清或说明，但不得超出电子化投标文件的范围或改变电子</w:t>
      </w:r>
      <w:r>
        <w:rPr>
          <w:rFonts w:ascii="宋体" w:hAnsi="宋体" w:eastAsia="宋体" w:cs="宋体"/>
          <w:spacing w:val="-5"/>
          <w:sz w:val="24"/>
          <w:szCs w:val="24"/>
          <w:highlight w:val="none"/>
          <w:lang w:eastAsia="zh-CN"/>
        </w:rPr>
        <w:t>化投标文件的实质性内容。根据本须知规定，凡属于评标委员会在评标中发现的计算</w:t>
      </w:r>
      <w:r>
        <w:rPr>
          <w:rFonts w:ascii="宋体" w:hAnsi="宋体" w:eastAsia="宋体" w:cs="宋体"/>
          <w:spacing w:val="-3"/>
          <w:sz w:val="24"/>
          <w:szCs w:val="24"/>
          <w:highlight w:val="none"/>
          <w:lang w:eastAsia="zh-CN"/>
        </w:rPr>
        <w:t>错误并进行核实的修改不在此列。</w:t>
      </w:r>
    </w:p>
    <w:p w14:paraId="59E80182">
      <w:pPr>
        <w:spacing w:before="1" w:line="219" w:lineRule="auto"/>
        <w:ind w:left="520"/>
        <w:rPr>
          <w:rFonts w:ascii="宋体" w:hAnsi="宋体" w:eastAsia="宋体" w:cs="宋体"/>
          <w:sz w:val="24"/>
          <w:szCs w:val="24"/>
          <w:highlight w:val="none"/>
          <w:lang w:eastAsia="zh-CN"/>
        </w:rPr>
      </w:pPr>
      <w:r>
        <w:rPr>
          <w:rFonts w:ascii="宋体" w:hAnsi="宋体" w:eastAsia="宋体" w:cs="宋体"/>
          <w:spacing w:val="-3"/>
          <w:sz w:val="24"/>
          <w:szCs w:val="24"/>
          <w:highlight w:val="none"/>
          <w:lang w:eastAsia="zh-CN"/>
        </w:rPr>
        <w:t>22、电子化投标文件的初步评审</w:t>
      </w:r>
    </w:p>
    <w:p w14:paraId="53D33CD6">
      <w:pPr>
        <w:spacing w:before="175" w:line="330" w:lineRule="auto"/>
        <w:ind w:left="38" w:right="83" w:firstLine="482"/>
        <w:rPr>
          <w:rFonts w:ascii="宋体" w:hAnsi="宋体" w:eastAsia="宋体" w:cs="宋体"/>
          <w:sz w:val="24"/>
          <w:szCs w:val="24"/>
          <w:highlight w:val="none"/>
          <w:lang w:eastAsia="zh-CN"/>
        </w:rPr>
      </w:pPr>
      <w:r>
        <w:rPr>
          <w:rFonts w:ascii="宋体" w:hAnsi="宋体" w:eastAsia="宋体" w:cs="宋体"/>
          <w:spacing w:val="-4"/>
          <w:sz w:val="24"/>
          <w:szCs w:val="24"/>
          <w:highlight w:val="none"/>
          <w:lang w:eastAsia="zh-CN"/>
        </w:rPr>
        <w:t>22.1</w:t>
      </w:r>
      <w:r>
        <w:rPr>
          <w:rFonts w:ascii="宋体" w:hAnsi="宋体" w:eastAsia="宋体" w:cs="宋体"/>
          <w:spacing w:val="-34"/>
          <w:sz w:val="24"/>
          <w:szCs w:val="24"/>
          <w:highlight w:val="none"/>
          <w:lang w:eastAsia="zh-CN"/>
        </w:rPr>
        <w:t xml:space="preserve"> </w:t>
      </w:r>
      <w:r>
        <w:rPr>
          <w:rFonts w:ascii="宋体" w:hAnsi="宋体" w:eastAsia="宋体" w:cs="宋体"/>
          <w:spacing w:val="-4"/>
          <w:sz w:val="24"/>
          <w:szCs w:val="24"/>
          <w:highlight w:val="none"/>
          <w:lang w:eastAsia="zh-CN"/>
        </w:rPr>
        <w:t>评标时，评标委员会将首先评定每份电子化投标文件是否在实质上响应了招</w:t>
      </w:r>
      <w:r>
        <w:rPr>
          <w:rFonts w:ascii="宋体" w:hAnsi="宋体" w:eastAsia="宋体" w:cs="宋体"/>
          <w:spacing w:val="-5"/>
          <w:sz w:val="24"/>
          <w:szCs w:val="24"/>
          <w:highlight w:val="none"/>
          <w:lang w:eastAsia="zh-CN"/>
        </w:rPr>
        <w:t>标文件的要求。所谓实质上响应，是指电子化投标文件应与招标文件的所有实质性条</w:t>
      </w:r>
      <w:r>
        <w:rPr>
          <w:rFonts w:ascii="宋体" w:hAnsi="宋体" w:eastAsia="宋体" w:cs="宋体"/>
          <w:spacing w:val="-6"/>
          <w:sz w:val="24"/>
          <w:szCs w:val="24"/>
          <w:highlight w:val="none"/>
          <w:lang w:eastAsia="zh-CN"/>
        </w:rPr>
        <w:t>款、条件和要求相符，无显著差异或保留，或者对合同中约定的采购</w:t>
      </w:r>
      <w:r>
        <w:rPr>
          <w:rFonts w:ascii="宋体" w:hAnsi="宋体" w:eastAsia="宋体" w:cs="宋体"/>
          <w:spacing w:val="-7"/>
          <w:sz w:val="24"/>
          <w:szCs w:val="24"/>
          <w:highlight w:val="none"/>
          <w:lang w:eastAsia="zh-CN"/>
        </w:rPr>
        <w:t>人的权利和投标</w:t>
      </w:r>
      <w:r>
        <w:rPr>
          <w:rFonts w:ascii="宋体" w:hAnsi="宋体" w:eastAsia="宋体" w:cs="宋体"/>
          <w:spacing w:val="-2"/>
          <w:sz w:val="24"/>
          <w:szCs w:val="24"/>
          <w:highlight w:val="none"/>
          <w:lang w:eastAsia="zh-CN"/>
        </w:rPr>
        <w:t>供应商的义务方面没有造成重大的限制，纠正这些差异或保留将不会对其他实质上响应招标文件要求的投标供应商的竞争地位产生不公正的影响。</w:t>
      </w:r>
    </w:p>
    <w:p w14:paraId="06D2C31C">
      <w:pPr>
        <w:spacing w:before="177" w:line="312" w:lineRule="auto"/>
        <w:ind w:left="37" w:right="83" w:firstLine="483"/>
        <w:rPr>
          <w:highlight w:val="none"/>
          <w:lang w:eastAsia="zh-CN"/>
        </w:rPr>
      </w:pPr>
      <w:r>
        <w:rPr>
          <w:rFonts w:ascii="宋体" w:hAnsi="宋体" w:eastAsia="宋体" w:cs="宋体"/>
          <w:spacing w:val="-4"/>
          <w:sz w:val="24"/>
          <w:szCs w:val="24"/>
          <w:highlight w:val="none"/>
          <w:lang w:eastAsia="zh-CN"/>
        </w:rPr>
        <w:t>22.2</w:t>
      </w:r>
      <w:r>
        <w:rPr>
          <w:rFonts w:ascii="宋体" w:hAnsi="宋体" w:eastAsia="宋体" w:cs="宋体"/>
          <w:spacing w:val="-34"/>
          <w:sz w:val="24"/>
          <w:szCs w:val="24"/>
          <w:highlight w:val="none"/>
          <w:lang w:eastAsia="zh-CN"/>
        </w:rPr>
        <w:t xml:space="preserve"> </w:t>
      </w:r>
      <w:r>
        <w:rPr>
          <w:rFonts w:ascii="宋体" w:hAnsi="宋体" w:eastAsia="宋体" w:cs="宋体"/>
          <w:spacing w:val="-4"/>
          <w:sz w:val="24"/>
          <w:szCs w:val="24"/>
          <w:highlight w:val="none"/>
          <w:lang w:eastAsia="zh-CN"/>
        </w:rPr>
        <w:t>如果电子化投标文件实质上不响应招标文件的各项要求，评标委员会将予以</w:t>
      </w:r>
      <w:r>
        <w:rPr>
          <w:rFonts w:ascii="宋体" w:hAnsi="宋体" w:eastAsia="宋体" w:cs="宋体"/>
          <w:spacing w:val="-2"/>
          <w:sz w:val="24"/>
          <w:szCs w:val="24"/>
          <w:highlight w:val="none"/>
          <w:lang w:eastAsia="zh-CN"/>
        </w:rPr>
        <w:t>拒绝，并且不允许投标供应商通过修改或撤销其不符合要求的差异或保留，使之成为</w:t>
      </w:r>
      <w:r>
        <w:rPr>
          <w:rFonts w:ascii="宋体" w:hAnsi="宋体" w:eastAsia="宋体" w:cs="宋体"/>
          <w:spacing w:val="-4"/>
          <w:sz w:val="24"/>
          <w:szCs w:val="24"/>
          <w:highlight w:val="none"/>
          <w:lang w:eastAsia="zh-CN"/>
        </w:rPr>
        <w:t>具有响应性的投标。</w:t>
      </w:r>
    </w:p>
    <w:p w14:paraId="1E434E96">
      <w:pPr>
        <w:spacing w:before="78" w:line="322" w:lineRule="auto"/>
        <w:ind w:left="39" w:right="30" w:firstLine="481"/>
        <w:rPr>
          <w:rFonts w:ascii="宋体" w:hAnsi="宋体" w:eastAsia="宋体" w:cs="宋体"/>
          <w:sz w:val="24"/>
          <w:szCs w:val="24"/>
          <w:highlight w:val="none"/>
          <w:lang w:eastAsia="zh-CN"/>
        </w:rPr>
      </w:pPr>
      <w:r>
        <w:rPr>
          <w:rFonts w:ascii="宋体" w:hAnsi="宋体" w:eastAsia="宋体" w:cs="宋体"/>
          <w:spacing w:val="2"/>
          <w:sz w:val="24"/>
          <w:szCs w:val="24"/>
          <w:highlight w:val="none"/>
          <w:lang w:eastAsia="zh-CN"/>
        </w:rPr>
        <w:t>22.3 若评标委员会认为投标人的报价</w:t>
      </w:r>
      <w:r>
        <w:rPr>
          <w:rFonts w:ascii="宋体" w:hAnsi="宋体" w:eastAsia="宋体" w:cs="宋体"/>
          <w:spacing w:val="1"/>
          <w:sz w:val="24"/>
          <w:szCs w:val="24"/>
          <w:highlight w:val="none"/>
          <w:lang w:eastAsia="zh-CN"/>
        </w:rPr>
        <w:t>明显低于其他通过符合性审查投标人的报</w:t>
      </w:r>
      <w:r>
        <w:rPr>
          <w:rFonts w:ascii="宋体" w:hAnsi="宋体" w:eastAsia="宋体" w:cs="宋体"/>
          <w:spacing w:val="-2"/>
          <w:sz w:val="24"/>
          <w:szCs w:val="24"/>
          <w:highlight w:val="none"/>
          <w:lang w:eastAsia="zh-CN"/>
        </w:rPr>
        <w:t>价，有可能影响产品质量或者不能诚信履约的，评标委员会有权要求投标人代表在评标现场合理的时间内提供书面说明，必要时提交相关证明资料；评标委员会认为投标人不能证明其报价合理性的，应当将其作为无效投标处理。</w:t>
      </w:r>
    </w:p>
    <w:p w14:paraId="22937BD2">
      <w:pPr>
        <w:spacing w:before="177" w:line="323" w:lineRule="auto"/>
        <w:ind w:left="38" w:right="30" w:firstLine="482"/>
        <w:rPr>
          <w:rFonts w:ascii="宋体" w:hAnsi="宋体" w:eastAsia="宋体" w:cs="宋体"/>
          <w:sz w:val="24"/>
          <w:szCs w:val="24"/>
          <w:highlight w:val="none"/>
          <w:lang w:eastAsia="zh-CN"/>
        </w:rPr>
      </w:pPr>
      <w:r>
        <w:rPr>
          <w:rFonts w:ascii="宋体" w:hAnsi="宋体" w:eastAsia="宋体" w:cs="宋体"/>
          <w:spacing w:val="-4"/>
          <w:sz w:val="24"/>
          <w:szCs w:val="24"/>
          <w:highlight w:val="none"/>
          <w:lang w:eastAsia="zh-CN"/>
        </w:rPr>
        <w:t>22.4</w:t>
      </w:r>
      <w:r>
        <w:rPr>
          <w:rFonts w:ascii="宋体" w:hAnsi="宋体" w:eastAsia="宋体" w:cs="宋体"/>
          <w:spacing w:val="-34"/>
          <w:sz w:val="24"/>
          <w:szCs w:val="24"/>
          <w:highlight w:val="none"/>
          <w:lang w:eastAsia="zh-CN"/>
        </w:rPr>
        <w:t xml:space="preserve"> </w:t>
      </w:r>
      <w:r>
        <w:rPr>
          <w:rFonts w:ascii="宋体" w:hAnsi="宋体" w:eastAsia="宋体" w:cs="宋体"/>
          <w:spacing w:val="-4"/>
          <w:sz w:val="24"/>
          <w:szCs w:val="24"/>
          <w:highlight w:val="none"/>
          <w:lang w:eastAsia="zh-CN"/>
        </w:rPr>
        <w:t>若评标委员会认为投标人其投标文件技术方案、技术参数模糊响应或虚假响</w:t>
      </w:r>
      <w:r>
        <w:rPr>
          <w:rFonts w:ascii="宋体" w:hAnsi="宋体" w:eastAsia="宋体" w:cs="宋体"/>
          <w:spacing w:val="-2"/>
          <w:sz w:val="24"/>
          <w:szCs w:val="24"/>
          <w:highlight w:val="none"/>
          <w:lang w:eastAsia="zh-CN"/>
        </w:rPr>
        <w:t>应，有可能影响产品质量或者不能诚信履约的，评标委员会有权要求投标人代表在评标现场合理的时间内提供书面说明，必要时提交相关证明资料；评标委员会认为投标人不能证明其实质性响应招标文件的，应当将其作为无效投标处理。</w:t>
      </w:r>
    </w:p>
    <w:p w14:paraId="3B36DFD6">
      <w:pPr>
        <w:spacing w:before="180" w:line="219" w:lineRule="auto"/>
        <w:ind w:left="520"/>
        <w:rPr>
          <w:rFonts w:ascii="宋体" w:hAnsi="宋体" w:eastAsia="宋体" w:cs="宋体"/>
          <w:sz w:val="24"/>
          <w:szCs w:val="24"/>
          <w:highlight w:val="none"/>
          <w:lang w:eastAsia="zh-CN"/>
        </w:rPr>
      </w:pPr>
      <w:r>
        <w:rPr>
          <w:rFonts w:ascii="宋体" w:hAnsi="宋体" w:eastAsia="宋体" w:cs="宋体"/>
          <w:spacing w:val="-2"/>
          <w:sz w:val="24"/>
          <w:szCs w:val="24"/>
          <w:highlight w:val="none"/>
          <w:lang w:eastAsia="zh-CN"/>
        </w:rPr>
        <w:t>22.5</w:t>
      </w:r>
      <w:r>
        <w:rPr>
          <w:rFonts w:ascii="宋体" w:hAnsi="宋体" w:eastAsia="宋体" w:cs="宋体"/>
          <w:spacing w:val="-48"/>
          <w:sz w:val="24"/>
          <w:szCs w:val="24"/>
          <w:highlight w:val="none"/>
          <w:lang w:eastAsia="zh-CN"/>
        </w:rPr>
        <w:t xml:space="preserve"> </w:t>
      </w:r>
      <w:r>
        <w:rPr>
          <w:rFonts w:ascii="宋体" w:hAnsi="宋体" w:eastAsia="宋体" w:cs="宋体"/>
          <w:spacing w:val="-2"/>
          <w:sz w:val="24"/>
          <w:szCs w:val="24"/>
          <w:highlight w:val="none"/>
          <w:lang w:eastAsia="zh-CN"/>
        </w:rPr>
        <w:t>投标文件有下列情形之一的，由评标委</w:t>
      </w:r>
      <w:r>
        <w:rPr>
          <w:rFonts w:ascii="宋体" w:hAnsi="宋体" w:eastAsia="宋体" w:cs="宋体"/>
          <w:spacing w:val="-3"/>
          <w:sz w:val="24"/>
          <w:szCs w:val="24"/>
          <w:highlight w:val="none"/>
          <w:lang w:eastAsia="zh-CN"/>
        </w:rPr>
        <w:t>员会初审后按无效标处理：</w:t>
      </w:r>
    </w:p>
    <w:p w14:paraId="2918C2E4">
      <w:pPr>
        <w:spacing w:before="178" w:line="219" w:lineRule="auto"/>
        <w:ind w:left="524"/>
        <w:rPr>
          <w:rFonts w:ascii="宋体" w:hAnsi="宋体" w:eastAsia="宋体" w:cs="宋体"/>
          <w:sz w:val="24"/>
          <w:szCs w:val="24"/>
          <w:highlight w:val="none"/>
          <w:lang w:eastAsia="zh-CN"/>
        </w:rPr>
      </w:pPr>
      <w:r>
        <w:rPr>
          <w:rFonts w:ascii="宋体" w:hAnsi="宋体" w:eastAsia="宋体" w:cs="宋体"/>
          <w:spacing w:val="-2"/>
          <w:sz w:val="24"/>
          <w:szCs w:val="24"/>
          <w:highlight w:val="none"/>
          <w:lang w:eastAsia="zh-CN"/>
        </w:rPr>
        <w:t>（1）投标供应商资格条件不符合国家有关</w:t>
      </w:r>
      <w:r>
        <w:rPr>
          <w:rFonts w:ascii="宋体" w:hAnsi="宋体" w:eastAsia="宋体" w:cs="宋体"/>
          <w:spacing w:val="-3"/>
          <w:sz w:val="24"/>
          <w:szCs w:val="24"/>
          <w:highlight w:val="none"/>
          <w:lang w:eastAsia="zh-CN"/>
        </w:rPr>
        <w:t>规定和招标文件要求的；</w:t>
      </w:r>
    </w:p>
    <w:p w14:paraId="26107653">
      <w:pPr>
        <w:spacing w:before="178" w:line="219" w:lineRule="auto"/>
        <w:ind w:left="524"/>
        <w:rPr>
          <w:rFonts w:ascii="宋体" w:hAnsi="宋体" w:eastAsia="宋体" w:cs="宋体"/>
          <w:sz w:val="24"/>
          <w:szCs w:val="24"/>
          <w:highlight w:val="none"/>
          <w:lang w:eastAsia="zh-CN"/>
        </w:rPr>
      </w:pPr>
      <w:r>
        <w:rPr>
          <w:rFonts w:ascii="宋体" w:hAnsi="宋体" w:eastAsia="宋体" w:cs="宋体"/>
          <w:spacing w:val="-4"/>
          <w:sz w:val="24"/>
          <w:szCs w:val="24"/>
          <w:highlight w:val="none"/>
          <w:lang w:eastAsia="zh-CN"/>
        </w:rPr>
        <w:t>（2）</w:t>
      </w:r>
      <w:r>
        <w:rPr>
          <w:rFonts w:ascii="宋体" w:hAnsi="宋体" w:eastAsia="宋体" w:cs="宋体"/>
          <w:spacing w:val="-3"/>
          <w:sz w:val="24"/>
          <w:szCs w:val="24"/>
          <w:highlight w:val="none"/>
          <w:lang w:eastAsia="zh-CN"/>
        </w:rPr>
        <w:t>投标报价低于成本、高于招标文件设定的最高投标限价；</w:t>
      </w:r>
    </w:p>
    <w:p w14:paraId="4DBB2D88">
      <w:pPr>
        <w:spacing w:before="181" w:line="288" w:lineRule="auto"/>
        <w:ind w:left="39" w:right="37" w:firstLine="485"/>
        <w:rPr>
          <w:rFonts w:ascii="宋体" w:hAnsi="宋体" w:eastAsia="宋体" w:cs="宋体"/>
          <w:sz w:val="24"/>
          <w:szCs w:val="24"/>
          <w:highlight w:val="none"/>
          <w:lang w:eastAsia="zh-CN"/>
        </w:rPr>
      </w:pPr>
      <w:r>
        <w:rPr>
          <w:rFonts w:ascii="宋体" w:hAnsi="宋体" w:eastAsia="宋体" w:cs="宋体"/>
          <w:spacing w:val="1"/>
          <w:sz w:val="24"/>
          <w:szCs w:val="24"/>
          <w:highlight w:val="none"/>
          <w:lang w:eastAsia="zh-CN"/>
        </w:rPr>
        <w:t>（</w:t>
      </w:r>
      <w:r>
        <w:rPr>
          <w:rFonts w:hint="eastAsia" w:ascii="宋体" w:hAnsi="宋体" w:eastAsia="宋体" w:cs="宋体"/>
          <w:spacing w:val="1"/>
          <w:sz w:val="24"/>
          <w:szCs w:val="24"/>
          <w:highlight w:val="none"/>
          <w:lang w:eastAsia="zh-CN"/>
        </w:rPr>
        <w:t>3</w:t>
      </w:r>
      <w:r>
        <w:rPr>
          <w:rFonts w:ascii="宋体" w:hAnsi="宋体" w:eastAsia="宋体" w:cs="宋体"/>
          <w:spacing w:val="1"/>
          <w:sz w:val="24"/>
          <w:szCs w:val="24"/>
          <w:highlight w:val="none"/>
          <w:lang w:eastAsia="zh-CN"/>
        </w:rPr>
        <w:t>）以他人的名义投标、串通投标、以行贿手段谋取中标或者以其他弄虚作假</w:t>
      </w:r>
      <w:r>
        <w:rPr>
          <w:rFonts w:ascii="宋体" w:hAnsi="宋体" w:eastAsia="宋体" w:cs="宋体"/>
          <w:spacing w:val="-10"/>
          <w:sz w:val="24"/>
          <w:szCs w:val="24"/>
          <w:highlight w:val="none"/>
          <w:lang w:eastAsia="zh-CN"/>
        </w:rPr>
        <w:t>方式投标的；</w:t>
      </w:r>
    </w:p>
    <w:p w14:paraId="7B0B6F7E">
      <w:pPr>
        <w:spacing w:before="179" w:line="219" w:lineRule="auto"/>
        <w:ind w:left="524"/>
        <w:rPr>
          <w:rFonts w:ascii="宋体" w:hAnsi="宋体" w:eastAsia="宋体" w:cs="宋体"/>
          <w:sz w:val="24"/>
          <w:szCs w:val="24"/>
          <w:highlight w:val="none"/>
          <w:lang w:eastAsia="zh-CN"/>
        </w:rPr>
      </w:pPr>
      <w:r>
        <w:rPr>
          <w:rFonts w:ascii="宋体" w:hAnsi="宋体" w:eastAsia="宋体" w:cs="宋体"/>
          <w:spacing w:val="-5"/>
          <w:sz w:val="24"/>
          <w:szCs w:val="24"/>
          <w:highlight w:val="none"/>
          <w:lang w:eastAsia="zh-CN"/>
        </w:rPr>
        <w:t>（</w:t>
      </w:r>
      <w:r>
        <w:rPr>
          <w:rFonts w:hint="eastAsia" w:ascii="宋体" w:hAnsi="宋体" w:eastAsia="宋体" w:cs="宋体"/>
          <w:spacing w:val="-5"/>
          <w:sz w:val="24"/>
          <w:szCs w:val="24"/>
          <w:highlight w:val="none"/>
          <w:lang w:eastAsia="zh-CN"/>
        </w:rPr>
        <w:t>4</w:t>
      </w:r>
      <w:r>
        <w:rPr>
          <w:rFonts w:ascii="宋体" w:hAnsi="宋体" w:eastAsia="宋体" w:cs="宋体"/>
          <w:spacing w:val="-5"/>
          <w:sz w:val="24"/>
          <w:szCs w:val="24"/>
          <w:highlight w:val="none"/>
          <w:lang w:eastAsia="zh-CN"/>
        </w:rPr>
        <w:t>）采取不正当手段谋取中标的；</w:t>
      </w:r>
    </w:p>
    <w:p w14:paraId="4333E857">
      <w:pPr>
        <w:spacing w:before="178" w:line="219" w:lineRule="auto"/>
        <w:ind w:left="524"/>
        <w:rPr>
          <w:rFonts w:ascii="宋体" w:hAnsi="宋体" w:eastAsia="宋体" w:cs="宋体"/>
          <w:sz w:val="24"/>
          <w:szCs w:val="24"/>
          <w:highlight w:val="none"/>
          <w:lang w:eastAsia="zh-CN"/>
        </w:rPr>
      </w:pPr>
      <w:r>
        <w:rPr>
          <w:rFonts w:ascii="宋体" w:hAnsi="宋体" w:eastAsia="宋体" w:cs="宋体"/>
          <w:spacing w:val="-3"/>
          <w:sz w:val="24"/>
          <w:szCs w:val="24"/>
          <w:highlight w:val="none"/>
          <w:lang w:eastAsia="zh-CN"/>
        </w:rPr>
        <w:t>（</w:t>
      </w:r>
      <w:r>
        <w:rPr>
          <w:rFonts w:hint="eastAsia" w:ascii="宋体" w:hAnsi="宋体" w:eastAsia="宋体" w:cs="宋体"/>
          <w:spacing w:val="-3"/>
          <w:sz w:val="24"/>
          <w:szCs w:val="24"/>
          <w:highlight w:val="none"/>
          <w:lang w:eastAsia="zh-CN"/>
        </w:rPr>
        <w:t>5</w:t>
      </w:r>
      <w:r>
        <w:rPr>
          <w:rFonts w:ascii="宋体" w:hAnsi="宋体" w:eastAsia="宋体" w:cs="宋体"/>
          <w:spacing w:val="-3"/>
          <w:sz w:val="24"/>
          <w:szCs w:val="24"/>
          <w:highlight w:val="none"/>
          <w:lang w:eastAsia="zh-CN"/>
        </w:rPr>
        <w:t>）投标文件含有采购人不能接受的附加条件</w:t>
      </w:r>
      <w:r>
        <w:rPr>
          <w:rFonts w:ascii="宋体" w:hAnsi="宋体" w:eastAsia="宋体" w:cs="宋体"/>
          <w:spacing w:val="-4"/>
          <w:sz w:val="24"/>
          <w:szCs w:val="24"/>
          <w:highlight w:val="none"/>
          <w:lang w:eastAsia="zh-CN"/>
        </w:rPr>
        <w:t>的；</w:t>
      </w:r>
    </w:p>
    <w:p w14:paraId="47C77B35">
      <w:pPr>
        <w:spacing w:before="179" w:line="220" w:lineRule="auto"/>
        <w:ind w:left="524"/>
        <w:rPr>
          <w:rFonts w:ascii="宋体" w:hAnsi="宋体" w:eastAsia="宋体" w:cs="宋体"/>
          <w:sz w:val="24"/>
          <w:szCs w:val="24"/>
          <w:highlight w:val="none"/>
          <w:lang w:eastAsia="zh-CN"/>
        </w:rPr>
      </w:pPr>
      <w:r>
        <w:rPr>
          <w:rFonts w:ascii="宋体" w:hAnsi="宋体" w:eastAsia="宋体" w:cs="宋体"/>
          <w:spacing w:val="-3"/>
          <w:sz w:val="24"/>
          <w:szCs w:val="24"/>
          <w:highlight w:val="none"/>
          <w:lang w:eastAsia="zh-CN"/>
        </w:rPr>
        <w:t>（</w:t>
      </w:r>
      <w:r>
        <w:rPr>
          <w:rFonts w:hint="eastAsia" w:ascii="宋体" w:hAnsi="宋体" w:eastAsia="宋体" w:cs="宋体"/>
          <w:spacing w:val="-3"/>
          <w:sz w:val="24"/>
          <w:szCs w:val="24"/>
          <w:highlight w:val="none"/>
          <w:lang w:eastAsia="zh-CN"/>
        </w:rPr>
        <w:t>6</w:t>
      </w:r>
      <w:r>
        <w:rPr>
          <w:rFonts w:ascii="宋体" w:hAnsi="宋体" w:eastAsia="宋体" w:cs="宋体"/>
          <w:spacing w:val="-3"/>
          <w:sz w:val="24"/>
          <w:szCs w:val="24"/>
          <w:highlight w:val="none"/>
          <w:lang w:eastAsia="zh-CN"/>
        </w:rPr>
        <w:t>）法律、法规和招标文件规定的其他无效情</w:t>
      </w:r>
      <w:r>
        <w:rPr>
          <w:rFonts w:ascii="宋体" w:hAnsi="宋体" w:eastAsia="宋体" w:cs="宋体"/>
          <w:spacing w:val="-4"/>
          <w:sz w:val="24"/>
          <w:szCs w:val="24"/>
          <w:highlight w:val="none"/>
          <w:lang w:eastAsia="zh-CN"/>
        </w:rPr>
        <w:t>形；</w:t>
      </w:r>
    </w:p>
    <w:p w14:paraId="56FED149">
      <w:pPr>
        <w:spacing w:before="180" w:line="220" w:lineRule="auto"/>
        <w:ind w:left="524"/>
        <w:rPr>
          <w:rFonts w:ascii="宋体" w:hAnsi="宋体" w:eastAsia="宋体" w:cs="宋体"/>
          <w:sz w:val="24"/>
          <w:szCs w:val="24"/>
          <w:highlight w:val="none"/>
          <w:lang w:eastAsia="zh-CN"/>
        </w:rPr>
      </w:pPr>
      <w:r>
        <w:rPr>
          <w:rFonts w:ascii="宋体" w:hAnsi="宋体" w:eastAsia="宋体" w:cs="宋体"/>
          <w:spacing w:val="-4"/>
          <w:sz w:val="24"/>
          <w:szCs w:val="24"/>
          <w:highlight w:val="none"/>
          <w:lang w:eastAsia="zh-CN"/>
        </w:rPr>
        <w:t>（</w:t>
      </w:r>
      <w:r>
        <w:rPr>
          <w:rFonts w:hint="eastAsia" w:ascii="宋体" w:hAnsi="宋体" w:eastAsia="宋体" w:cs="宋体"/>
          <w:spacing w:val="-4"/>
          <w:sz w:val="24"/>
          <w:szCs w:val="24"/>
          <w:highlight w:val="none"/>
          <w:lang w:eastAsia="zh-CN"/>
        </w:rPr>
        <w:t>7</w:t>
      </w:r>
      <w:r>
        <w:rPr>
          <w:rFonts w:ascii="宋体" w:hAnsi="宋体" w:eastAsia="宋体" w:cs="宋体"/>
          <w:spacing w:val="-4"/>
          <w:sz w:val="24"/>
          <w:szCs w:val="24"/>
          <w:highlight w:val="none"/>
          <w:lang w:eastAsia="zh-CN"/>
        </w:rPr>
        <w:t>）投标截止时间以后送达。</w:t>
      </w:r>
    </w:p>
    <w:p w14:paraId="4A56195F">
      <w:pPr>
        <w:spacing w:before="176" w:line="220" w:lineRule="auto"/>
        <w:ind w:left="520"/>
        <w:rPr>
          <w:rFonts w:ascii="宋体" w:hAnsi="宋体" w:eastAsia="宋体" w:cs="宋体"/>
          <w:sz w:val="24"/>
          <w:szCs w:val="24"/>
          <w:highlight w:val="none"/>
          <w:lang w:eastAsia="zh-CN"/>
        </w:rPr>
      </w:pPr>
      <w:r>
        <w:rPr>
          <w:rFonts w:ascii="宋体" w:hAnsi="宋体" w:eastAsia="宋体" w:cs="宋体"/>
          <w:spacing w:val="-3"/>
          <w:sz w:val="24"/>
          <w:szCs w:val="24"/>
          <w:highlight w:val="none"/>
          <w:lang w:eastAsia="zh-CN"/>
        </w:rPr>
        <w:t>22.6</w:t>
      </w:r>
      <w:r>
        <w:rPr>
          <w:rFonts w:ascii="宋体" w:hAnsi="宋体" w:eastAsia="宋体" w:cs="宋体"/>
          <w:spacing w:val="-48"/>
          <w:sz w:val="24"/>
          <w:szCs w:val="24"/>
          <w:highlight w:val="none"/>
          <w:lang w:eastAsia="zh-CN"/>
        </w:rPr>
        <w:t xml:space="preserve"> </w:t>
      </w:r>
      <w:r>
        <w:rPr>
          <w:rFonts w:ascii="宋体" w:hAnsi="宋体" w:eastAsia="宋体" w:cs="宋体"/>
          <w:spacing w:val="-3"/>
          <w:sz w:val="24"/>
          <w:szCs w:val="24"/>
          <w:highlight w:val="none"/>
          <w:lang w:eastAsia="zh-CN"/>
        </w:rPr>
        <w:t>废标条款</w:t>
      </w:r>
    </w:p>
    <w:p w14:paraId="51521D1B">
      <w:pPr>
        <w:spacing w:before="179" w:line="357" w:lineRule="auto"/>
        <w:ind w:left="37" w:right="30" w:firstLine="480"/>
        <w:rPr>
          <w:rFonts w:ascii="宋体" w:hAnsi="宋体" w:eastAsia="宋体" w:cs="宋体"/>
          <w:sz w:val="24"/>
          <w:szCs w:val="24"/>
          <w:highlight w:val="none"/>
          <w:lang w:eastAsia="zh-CN"/>
        </w:rPr>
      </w:pPr>
      <w:r>
        <w:rPr>
          <w:rFonts w:ascii="宋体" w:hAnsi="宋体" w:eastAsia="宋体" w:cs="宋体"/>
          <w:spacing w:val="-5"/>
          <w:sz w:val="24"/>
          <w:szCs w:val="24"/>
          <w:highlight w:val="none"/>
          <w:lang w:eastAsia="zh-CN"/>
        </w:rPr>
        <w:t>根据《中华人民共和国政府采购法》第三十六条规定， 有下列条件之一的，应予</w:t>
      </w:r>
      <w:r>
        <w:rPr>
          <w:rFonts w:ascii="宋体" w:hAnsi="宋体" w:eastAsia="宋体" w:cs="宋体"/>
          <w:spacing w:val="-11"/>
          <w:sz w:val="24"/>
          <w:szCs w:val="24"/>
          <w:highlight w:val="none"/>
          <w:lang w:eastAsia="zh-CN"/>
        </w:rPr>
        <w:t>废标处理：</w:t>
      </w:r>
    </w:p>
    <w:p w14:paraId="74253EE2">
      <w:pPr>
        <w:spacing w:before="1" w:line="218" w:lineRule="auto"/>
        <w:ind w:left="524"/>
        <w:rPr>
          <w:rFonts w:ascii="宋体" w:hAnsi="宋体" w:eastAsia="宋体" w:cs="宋体"/>
          <w:sz w:val="24"/>
          <w:szCs w:val="24"/>
          <w:highlight w:val="none"/>
          <w:lang w:eastAsia="zh-CN"/>
        </w:rPr>
      </w:pPr>
      <w:r>
        <w:rPr>
          <w:rFonts w:ascii="宋体" w:hAnsi="宋体" w:eastAsia="宋体" w:cs="宋体"/>
          <w:spacing w:val="-2"/>
          <w:sz w:val="24"/>
          <w:szCs w:val="24"/>
          <w:highlight w:val="none"/>
          <w:lang w:eastAsia="zh-CN"/>
        </w:rPr>
        <w:t>（1）符合专业条件的供应商或者对招标文件作实质响应的供应商不</w:t>
      </w:r>
      <w:r>
        <w:rPr>
          <w:rFonts w:ascii="宋体" w:hAnsi="宋体" w:eastAsia="宋体" w:cs="宋体"/>
          <w:spacing w:val="-3"/>
          <w:sz w:val="24"/>
          <w:szCs w:val="24"/>
          <w:highlight w:val="none"/>
          <w:lang w:eastAsia="zh-CN"/>
        </w:rPr>
        <w:t>足三家；</w:t>
      </w:r>
    </w:p>
    <w:p w14:paraId="46E7A370">
      <w:pPr>
        <w:spacing w:before="178" w:line="219" w:lineRule="auto"/>
        <w:ind w:left="524"/>
        <w:rPr>
          <w:rFonts w:ascii="宋体" w:hAnsi="宋体" w:eastAsia="宋体" w:cs="宋体"/>
          <w:sz w:val="24"/>
          <w:szCs w:val="24"/>
          <w:highlight w:val="none"/>
          <w:lang w:eastAsia="zh-CN"/>
        </w:rPr>
      </w:pPr>
      <w:r>
        <w:rPr>
          <w:rFonts w:ascii="宋体" w:hAnsi="宋体" w:eastAsia="宋体" w:cs="宋体"/>
          <w:spacing w:val="-4"/>
          <w:sz w:val="24"/>
          <w:szCs w:val="24"/>
          <w:highlight w:val="none"/>
          <w:lang w:eastAsia="zh-CN"/>
        </w:rPr>
        <w:t>（2）出现影响采购公正的违法、违规行为；</w:t>
      </w:r>
    </w:p>
    <w:p w14:paraId="005D4CEE">
      <w:pPr>
        <w:spacing w:before="182" w:line="219" w:lineRule="auto"/>
        <w:ind w:left="524"/>
        <w:rPr>
          <w:rFonts w:ascii="宋体" w:hAnsi="宋体" w:eastAsia="宋体" w:cs="宋体"/>
          <w:sz w:val="24"/>
          <w:szCs w:val="24"/>
          <w:highlight w:val="none"/>
          <w:lang w:eastAsia="zh-CN"/>
        </w:rPr>
      </w:pPr>
      <w:r>
        <w:rPr>
          <w:rFonts w:ascii="宋体" w:hAnsi="宋体" w:eastAsia="宋体" w:cs="宋体"/>
          <w:spacing w:val="-5"/>
          <w:sz w:val="24"/>
          <w:szCs w:val="24"/>
          <w:highlight w:val="none"/>
          <w:lang w:eastAsia="zh-CN"/>
        </w:rPr>
        <w:t>（3）因重大变故，采购任务取消的；</w:t>
      </w:r>
    </w:p>
    <w:p w14:paraId="2F37AA50">
      <w:pPr>
        <w:spacing w:before="178" w:line="288" w:lineRule="auto"/>
        <w:ind w:left="39" w:right="38" w:firstLine="485"/>
        <w:rPr>
          <w:rFonts w:ascii="宋体" w:hAnsi="宋体" w:eastAsia="宋体" w:cs="宋体"/>
          <w:sz w:val="24"/>
          <w:szCs w:val="24"/>
          <w:highlight w:val="none"/>
          <w:lang w:eastAsia="zh-CN"/>
        </w:rPr>
      </w:pPr>
      <w:r>
        <w:rPr>
          <w:rFonts w:ascii="宋体" w:hAnsi="宋体" w:eastAsia="宋体" w:cs="宋体"/>
          <w:spacing w:val="1"/>
          <w:sz w:val="24"/>
          <w:szCs w:val="24"/>
          <w:highlight w:val="none"/>
          <w:lang w:eastAsia="zh-CN"/>
        </w:rPr>
        <w:t>（4）未按本招标文件要求加盖投标供应商单位公章和法定代表人或授权代表签</w:t>
      </w:r>
      <w:r>
        <w:rPr>
          <w:rFonts w:ascii="宋体" w:hAnsi="宋体" w:eastAsia="宋体" w:cs="宋体"/>
          <w:spacing w:val="-12"/>
          <w:sz w:val="24"/>
          <w:szCs w:val="24"/>
          <w:highlight w:val="none"/>
          <w:lang w:eastAsia="zh-CN"/>
        </w:rPr>
        <w:t>字。</w:t>
      </w:r>
    </w:p>
    <w:p w14:paraId="312780FE">
      <w:pPr>
        <w:spacing w:before="180" w:line="220" w:lineRule="auto"/>
        <w:ind w:left="520"/>
        <w:rPr>
          <w:rFonts w:ascii="宋体" w:hAnsi="宋体" w:eastAsia="宋体" w:cs="宋体"/>
          <w:sz w:val="24"/>
          <w:szCs w:val="24"/>
          <w:highlight w:val="none"/>
          <w:lang w:eastAsia="zh-CN"/>
        </w:rPr>
      </w:pPr>
      <w:r>
        <w:rPr>
          <w:rFonts w:ascii="宋体" w:hAnsi="宋体" w:eastAsia="宋体" w:cs="宋体"/>
          <w:spacing w:val="-2"/>
          <w:sz w:val="24"/>
          <w:szCs w:val="24"/>
          <w:highlight w:val="none"/>
          <w:lang w:eastAsia="zh-CN"/>
        </w:rPr>
        <w:t>23、电子化投标文件计算错误的修正</w:t>
      </w:r>
    </w:p>
    <w:p w14:paraId="606B16FF">
      <w:pPr>
        <w:spacing w:before="178" w:line="357" w:lineRule="auto"/>
        <w:ind w:left="41" w:right="32" w:firstLine="479"/>
        <w:rPr>
          <w:rFonts w:ascii="宋体" w:hAnsi="宋体" w:eastAsia="宋体" w:cs="宋体"/>
          <w:sz w:val="24"/>
          <w:szCs w:val="24"/>
          <w:highlight w:val="none"/>
          <w:lang w:eastAsia="zh-CN"/>
        </w:rPr>
      </w:pPr>
      <w:r>
        <w:rPr>
          <w:rFonts w:ascii="宋体" w:hAnsi="宋体" w:eastAsia="宋体" w:cs="宋体"/>
          <w:spacing w:val="2"/>
          <w:sz w:val="24"/>
          <w:szCs w:val="24"/>
          <w:highlight w:val="none"/>
          <w:lang w:eastAsia="zh-CN"/>
        </w:rPr>
        <w:t>23.1 评标委员会将对确定为实质上响</w:t>
      </w:r>
      <w:r>
        <w:rPr>
          <w:rFonts w:ascii="宋体" w:hAnsi="宋体" w:eastAsia="宋体" w:cs="宋体"/>
          <w:spacing w:val="1"/>
          <w:sz w:val="24"/>
          <w:szCs w:val="24"/>
          <w:highlight w:val="none"/>
          <w:lang w:eastAsia="zh-CN"/>
        </w:rPr>
        <w:t>应招标文件要求的电子化投标文件进行校</w:t>
      </w:r>
      <w:r>
        <w:rPr>
          <w:rFonts w:ascii="宋体" w:hAnsi="宋体" w:eastAsia="宋体" w:cs="宋体"/>
          <w:spacing w:val="-2"/>
          <w:sz w:val="24"/>
          <w:szCs w:val="24"/>
          <w:highlight w:val="none"/>
          <w:lang w:eastAsia="zh-CN"/>
        </w:rPr>
        <w:t>核，看其是否有计算或表达上的错误，修正错误的原则如下：</w:t>
      </w:r>
    </w:p>
    <w:p w14:paraId="236A0E05">
      <w:pPr>
        <w:spacing w:before="1" w:line="219" w:lineRule="auto"/>
        <w:ind w:left="520"/>
        <w:rPr>
          <w:rFonts w:ascii="宋体" w:hAnsi="宋体" w:eastAsia="宋体" w:cs="宋体"/>
          <w:sz w:val="24"/>
          <w:szCs w:val="24"/>
          <w:highlight w:val="none"/>
          <w:lang w:eastAsia="zh-CN"/>
        </w:rPr>
      </w:pPr>
      <w:r>
        <w:rPr>
          <w:rFonts w:ascii="宋体" w:hAnsi="宋体" w:eastAsia="宋体" w:cs="宋体"/>
          <w:spacing w:val="-3"/>
          <w:sz w:val="24"/>
          <w:szCs w:val="24"/>
          <w:highlight w:val="none"/>
          <w:lang w:eastAsia="zh-CN"/>
        </w:rPr>
        <w:t>23.1.1</w:t>
      </w:r>
      <w:r>
        <w:rPr>
          <w:rFonts w:ascii="宋体" w:hAnsi="宋体" w:eastAsia="宋体" w:cs="宋体"/>
          <w:spacing w:val="-14"/>
          <w:sz w:val="24"/>
          <w:szCs w:val="24"/>
          <w:highlight w:val="none"/>
          <w:lang w:eastAsia="zh-CN"/>
        </w:rPr>
        <w:t xml:space="preserve"> </w:t>
      </w:r>
      <w:r>
        <w:rPr>
          <w:rFonts w:ascii="宋体" w:hAnsi="宋体" w:eastAsia="宋体" w:cs="宋体"/>
          <w:spacing w:val="-3"/>
          <w:sz w:val="24"/>
          <w:szCs w:val="24"/>
          <w:highlight w:val="none"/>
          <w:lang w:eastAsia="zh-CN"/>
        </w:rPr>
        <w:t>电子化投标文件中的大写金额和小写金额不一致的，以大写金额为准；</w:t>
      </w:r>
    </w:p>
    <w:p w14:paraId="2E2C6C94">
      <w:pPr>
        <w:spacing w:before="79" w:line="219" w:lineRule="auto"/>
        <w:ind w:left="520"/>
        <w:rPr>
          <w:rFonts w:ascii="宋体" w:hAnsi="宋体" w:eastAsia="宋体" w:cs="宋体"/>
          <w:sz w:val="24"/>
          <w:szCs w:val="24"/>
          <w:highlight w:val="none"/>
          <w:lang w:eastAsia="zh-CN"/>
        </w:rPr>
      </w:pPr>
      <w:r>
        <w:rPr>
          <w:rFonts w:ascii="宋体" w:hAnsi="宋体" w:eastAsia="宋体" w:cs="宋体"/>
          <w:spacing w:val="-2"/>
          <w:sz w:val="24"/>
          <w:szCs w:val="24"/>
          <w:highlight w:val="none"/>
          <w:lang w:eastAsia="zh-CN"/>
        </w:rPr>
        <w:t>23.1.2</w:t>
      </w:r>
      <w:r>
        <w:rPr>
          <w:rFonts w:ascii="宋体" w:hAnsi="宋体" w:eastAsia="宋体" w:cs="宋体"/>
          <w:spacing w:val="-33"/>
          <w:sz w:val="24"/>
          <w:szCs w:val="24"/>
          <w:highlight w:val="none"/>
          <w:lang w:eastAsia="zh-CN"/>
        </w:rPr>
        <w:t xml:space="preserve"> </w:t>
      </w:r>
      <w:r>
        <w:rPr>
          <w:rFonts w:ascii="宋体" w:hAnsi="宋体" w:eastAsia="宋体" w:cs="宋体"/>
          <w:spacing w:val="-2"/>
          <w:sz w:val="24"/>
          <w:szCs w:val="24"/>
          <w:highlight w:val="none"/>
          <w:lang w:eastAsia="zh-CN"/>
        </w:rPr>
        <w:t>对不同文字文本电子化投标文件的解释发生异议的，以中文文本为准。</w:t>
      </w:r>
    </w:p>
    <w:p w14:paraId="79045CDA">
      <w:pPr>
        <w:spacing w:before="178" w:line="357" w:lineRule="auto"/>
        <w:ind w:left="38" w:right="30" w:firstLine="482"/>
        <w:jc w:val="both"/>
        <w:rPr>
          <w:rFonts w:ascii="宋体" w:hAnsi="宋体" w:eastAsia="宋体" w:cs="宋体"/>
          <w:sz w:val="24"/>
          <w:szCs w:val="24"/>
          <w:highlight w:val="none"/>
          <w:lang w:eastAsia="zh-CN"/>
        </w:rPr>
      </w:pPr>
      <w:r>
        <w:rPr>
          <w:rFonts w:ascii="宋体" w:hAnsi="宋体" w:eastAsia="宋体" w:cs="宋体"/>
          <w:spacing w:val="-4"/>
          <w:sz w:val="24"/>
          <w:szCs w:val="24"/>
          <w:highlight w:val="none"/>
          <w:lang w:eastAsia="zh-CN"/>
        </w:rPr>
        <w:t>23.2</w:t>
      </w:r>
      <w:r>
        <w:rPr>
          <w:rFonts w:ascii="宋体" w:hAnsi="宋体" w:eastAsia="宋体" w:cs="宋体"/>
          <w:spacing w:val="-34"/>
          <w:sz w:val="24"/>
          <w:szCs w:val="24"/>
          <w:highlight w:val="none"/>
          <w:lang w:eastAsia="zh-CN"/>
        </w:rPr>
        <w:t xml:space="preserve"> </w:t>
      </w:r>
      <w:r>
        <w:rPr>
          <w:rFonts w:ascii="宋体" w:hAnsi="宋体" w:eastAsia="宋体" w:cs="宋体"/>
          <w:spacing w:val="-4"/>
          <w:sz w:val="24"/>
          <w:szCs w:val="24"/>
          <w:highlight w:val="none"/>
          <w:lang w:eastAsia="zh-CN"/>
        </w:rPr>
        <w:t>按上述修正错误的原则及方法调整或修正电子化投标文件的投标报价，投标</w:t>
      </w:r>
      <w:r>
        <w:rPr>
          <w:rFonts w:ascii="宋体" w:hAnsi="宋体" w:eastAsia="宋体" w:cs="宋体"/>
          <w:spacing w:val="-2"/>
          <w:sz w:val="24"/>
          <w:szCs w:val="24"/>
          <w:highlight w:val="none"/>
          <w:lang w:eastAsia="zh-CN"/>
        </w:rPr>
        <w:t>供应商同意后，调整后的投标报价对投标供应商起约束作用。如果投标供应商不接受修正后的报价，则其投标将被拒绝，并不影响评标工作。</w:t>
      </w:r>
    </w:p>
    <w:p w14:paraId="1F2ADA93">
      <w:pPr>
        <w:spacing w:line="219" w:lineRule="auto"/>
        <w:ind w:left="520"/>
        <w:rPr>
          <w:rFonts w:ascii="宋体" w:hAnsi="宋体" w:eastAsia="宋体" w:cs="宋体"/>
          <w:sz w:val="24"/>
          <w:szCs w:val="24"/>
          <w:highlight w:val="none"/>
          <w:lang w:eastAsia="zh-CN"/>
        </w:rPr>
      </w:pPr>
      <w:r>
        <w:rPr>
          <w:rFonts w:ascii="宋体" w:hAnsi="宋体" w:eastAsia="宋体" w:cs="宋体"/>
          <w:spacing w:val="-3"/>
          <w:sz w:val="24"/>
          <w:szCs w:val="24"/>
          <w:highlight w:val="none"/>
          <w:lang w:eastAsia="zh-CN"/>
        </w:rPr>
        <w:t>24.</w:t>
      </w:r>
      <w:r>
        <w:rPr>
          <w:rFonts w:ascii="宋体" w:hAnsi="宋体" w:eastAsia="宋体" w:cs="宋体"/>
          <w:spacing w:val="46"/>
          <w:sz w:val="24"/>
          <w:szCs w:val="24"/>
          <w:highlight w:val="none"/>
          <w:lang w:eastAsia="zh-CN"/>
        </w:rPr>
        <w:t xml:space="preserve"> </w:t>
      </w:r>
      <w:r>
        <w:rPr>
          <w:rFonts w:ascii="宋体" w:hAnsi="宋体" w:eastAsia="宋体" w:cs="宋体"/>
          <w:spacing w:val="-3"/>
          <w:sz w:val="24"/>
          <w:szCs w:val="24"/>
          <w:highlight w:val="none"/>
          <w:lang w:eastAsia="zh-CN"/>
        </w:rPr>
        <w:t>电子化投标文件的评审、比较和否决</w:t>
      </w:r>
    </w:p>
    <w:p w14:paraId="63DA60C3">
      <w:pPr>
        <w:spacing w:before="180" w:line="287" w:lineRule="auto"/>
        <w:ind w:left="39" w:right="30" w:firstLine="481"/>
        <w:rPr>
          <w:rFonts w:ascii="宋体" w:hAnsi="宋体" w:eastAsia="宋体" w:cs="宋体"/>
          <w:sz w:val="24"/>
          <w:szCs w:val="24"/>
          <w:highlight w:val="none"/>
          <w:lang w:eastAsia="zh-CN"/>
        </w:rPr>
      </w:pPr>
      <w:r>
        <w:rPr>
          <w:rFonts w:ascii="宋体" w:hAnsi="宋体" w:eastAsia="宋体" w:cs="宋体"/>
          <w:spacing w:val="-4"/>
          <w:sz w:val="24"/>
          <w:szCs w:val="24"/>
          <w:highlight w:val="none"/>
          <w:lang w:eastAsia="zh-CN"/>
        </w:rPr>
        <w:t>24.1</w:t>
      </w:r>
      <w:r>
        <w:rPr>
          <w:rFonts w:ascii="宋体" w:hAnsi="宋体" w:eastAsia="宋体" w:cs="宋体"/>
          <w:spacing w:val="-34"/>
          <w:sz w:val="24"/>
          <w:szCs w:val="24"/>
          <w:highlight w:val="none"/>
          <w:lang w:eastAsia="zh-CN"/>
        </w:rPr>
        <w:t xml:space="preserve"> </w:t>
      </w:r>
      <w:r>
        <w:rPr>
          <w:rFonts w:ascii="宋体" w:hAnsi="宋体" w:eastAsia="宋体" w:cs="宋体"/>
          <w:spacing w:val="-4"/>
          <w:sz w:val="24"/>
          <w:szCs w:val="24"/>
          <w:highlight w:val="none"/>
          <w:lang w:eastAsia="zh-CN"/>
        </w:rPr>
        <w:t>评标委员会将按照招标文件的规定，仅对在实质上响应招标文件要求的电子化投标文件进行评估和比较。</w:t>
      </w:r>
    </w:p>
    <w:p w14:paraId="4A1AF040">
      <w:pPr>
        <w:spacing w:before="178" w:line="312" w:lineRule="auto"/>
        <w:ind w:left="39" w:right="30" w:firstLine="481"/>
        <w:rPr>
          <w:rFonts w:ascii="宋体" w:hAnsi="宋体" w:eastAsia="宋体" w:cs="宋体"/>
          <w:sz w:val="24"/>
          <w:szCs w:val="24"/>
          <w:highlight w:val="none"/>
          <w:lang w:eastAsia="zh-CN"/>
        </w:rPr>
      </w:pPr>
      <w:r>
        <w:rPr>
          <w:rFonts w:ascii="宋体" w:hAnsi="宋体" w:eastAsia="宋体" w:cs="宋体"/>
          <w:spacing w:val="-4"/>
          <w:sz w:val="24"/>
          <w:szCs w:val="24"/>
          <w:highlight w:val="none"/>
          <w:lang w:eastAsia="zh-CN"/>
        </w:rPr>
        <w:t>24.2</w:t>
      </w:r>
      <w:r>
        <w:rPr>
          <w:rFonts w:ascii="宋体" w:hAnsi="宋体" w:eastAsia="宋体" w:cs="宋体"/>
          <w:spacing w:val="-34"/>
          <w:sz w:val="24"/>
          <w:szCs w:val="24"/>
          <w:highlight w:val="none"/>
          <w:lang w:eastAsia="zh-CN"/>
        </w:rPr>
        <w:t xml:space="preserve"> </w:t>
      </w:r>
      <w:r>
        <w:rPr>
          <w:rFonts w:ascii="宋体" w:hAnsi="宋体" w:eastAsia="宋体" w:cs="宋体"/>
          <w:spacing w:val="-4"/>
          <w:sz w:val="24"/>
          <w:szCs w:val="24"/>
          <w:highlight w:val="none"/>
          <w:lang w:eastAsia="zh-CN"/>
        </w:rPr>
        <w:t>根据相关法律法规及有关招投标文件规定，结合本项目具体情况，制定本次</w:t>
      </w:r>
      <w:r>
        <w:rPr>
          <w:rFonts w:ascii="宋体" w:hAnsi="宋体" w:eastAsia="宋体" w:cs="宋体"/>
          <w:spacing w:val="-2"/>
          <w:sz w:val="24"/>
          <w:szCs w:val="24"/>
          <w:highlight w:val="none"/>
          <w:lang w:eastAsia="zh-CN"/>
        </w:rPr>
        <w:t>招标评标办法。并按照“公平、公正、科学、择优”的原则进行评标。采用综合评分</w:t>
      </w:r>
      <w:r>
        <w:rPr>
          <w:rFonts w:ascii="宋体" w:hAnsi="宋体" w:eastAsia="宋体" w:cs="宋体"/>
          <w:spacing w:val="-7"/>
          <w:sz w:val="24"/>
          <w:szCs w:val="24"/>
          <w:highlight w:val="none"/>
          <w:lang w:eastAsia="zh-CN"/>
        </w:rPr>
        <w:t>法进行评比。</w:t>
      </w:r>
    </w:p>
    <w:p w14:paraId="06C0373D">
      <w:pPr>
        <w:spacing w:before="178" w:line="288" w:lineRule="auto"/>
        <w:ind w:left="37" w:right="30" w:firstLine="483"/>
        <w:rPr>
          <w:rFonts w:ascii="宋体" w:hAnsi="宋体" w:eastAsia="宋体" w:cs="宋体"/>
          <w:sz w:val="24"/>
          <w:szCs w:val="24"/>
          <w:highlight w:val="none"/>
          <w:lang w:eastAsia="zh-CN"/>
        </w:rPr>
      </w:pPr>
      <w:r>
        <w:rPr>
          <w:rFonts w:ascii="宋体" w:hAnsi="宋体" w:eastAsia="宋体" w:cs="宋体"/>
          <w:spacing w:val="-4"/>
          <w:sz w:val="24"/>
          <w:szCs w:val="24"/>
          <w:highlight w:val="none"/>
          <w:lang w:eastAsia="zh-CN"/>
        </w:rPr>
        <w:t>24.3</w:t>
      </w:r>
      <w:r>
        <w:rPr>
          <w:rFonts w:ascii="宋体" w:hAnsi="宋体" w:eastAsia="宋体" w:cs="宋体"/>
          <w:spacing w:val="-34"/>
          <w:sz w:val="24"/>
          <w:szCs w:val="24"/>
          <w:highlight w:val="none"/>
          <w:lang w:eastAsia="zh-CN"/>
        </w:rPr>
        <w:t xml:space="preserve"> </w:t>
      </w:r>
      <w:r>
        <w:rPr>
          <w:rFonts w:ascii="宋体" w:hAnsi="宋体" w:eastAsia="宋体" w:cs="宋体"/>
          <w:spacing w:val="-4"/>
          <w:sz w:val="24"/>
          <w:szCs w:val="24"/>
          <w:highlight w:val="none"/>
          <w:lang w:eastAsia="zh-CN"/>
        </w:rPr>
        <w:t>在评审过程中，评标委员会可以以书面形式要求投标供应商就电子化投标文</w:t>
      </w:r>
      <w:r>
        <w:rPr>
          <w:rFonts w:ascii="宋体" w:hAnsi="宋体" w:eastAsia="宋体" w:cs="宋体"/>
          <w:spacing w:val="-2"/>
          <w:sz w:val="24"/>
          <w:szCs w:val="24"/>
          <w:highlight w:val="none"/>
          <w:lang w:eastAsia="zh-CN"/>
        </w:rPr>
        <w:t>件中含义不明确的内容进行书面说明并提供相关材料。</w:t>
      </w:r>
    </w:p>
    <w:p w14:paraId="2228F3E5">
      <w:pPr>
        <w:spacing w:before="179" w:line="287" w:lineRule="auto"/>
        <w:ind w:left="39" w:right="36" w:firstLine="481"/>
        <w:rPr>
          <w:rFonts w:ascii="宋体" w:hAnsi="宋体" w:eastAsia="宋体" w:cs="宋体"/>
          <w:sz w:val="24"/>
          <w:szCs w:val="24"/>
          <w:highlight w:val="none"/>
          <w:lang w:eastAsia="zh-CN"/>
        </w:rPr>
      </w:pPr>
      <w:r>
        <w:rPr>
          <w:rFonts w:ascii="宋体" w:hAnsi="宋体" w:eastAsia="宋体" w:cs="宋体"/>
          <w:spacing w:val="1"/>
          <w:sz w:val="24"/>
          <w:szCs w:val="24"/>
          <w:highlight w:val="none"/>
          <w:lang w:eastAsia="zh-CN"/>
        </w:rPr>
        <w:t>24.4 评标时，投标报价是评标的重要依据，但不是唯一依据，采购人不承诺将</w:t>
      </w:r>
      <w:r>
        <w:rPr>
          <w:rFonts w:ascii="宋体" w:hAnsi="宋体" w:eastAsia="宋体" w:cs="宋体"/>
          <w:spacing w:val="-3"/>
          <w:sz w:val="24"/>
          <w:szCs w:val="24"/>
          <w:highlight w:val="none"/>
          <w:lang w:eastAsia="zh-CN"/>
        </w:rPr>
        <w:t>合同授予报价最低或最高的投标供应商。</w:t>
      </w:r>
    </w:p>
    <w:p w14:paraId="28BD2CA7">
      <w:pPr>
        <w:spacing w:before="183" w:line="287" w:lineRule="auto"/>
        <w:ind w:left="50" w:right="36" w:firstLine="470"/>
        <w:rPr>
          <w:rFonts w:ascii="宋体" w:hAnsi="宋体" w:eastAsia="宋体" w:cs="宋体"/>
          <w:sz w:val="24"/>
          <w:szCs w:val="24"/>
          <w:highlight w:val="none"/>
          <w:lang w:eastAsia="zh-CN"/>
        </w:rPr>
      </w:pPr>
      <w:r>
        <w:rPr>
          <w:rFonts w:ascii="宋体" w:hAnsi="宋体" w:eastAsia="宋体" w:cs="宋体"/>
          <w:spacing w:val="1"/>
          <w:sz w:val="24"/>
          <w:szCs w:val="24"/>
          <w:highlight w:val="none"/>
          <w:lang w:eastAsia="zh-CN"/>
        </w:rPr>
        <w:t>24.5 评标委员会依据本须知规定的评标标准和方法，对电子化投标文件进行评</w:t>
      </w:r>
      <w:r>
        <w:rPr>
          <w:rFonts w:ascii="宋体" w:hAnsi="宋体" w:eastAsia="宋体" w:cs="宋体"/>
          <w:spacing w:val="-2"/>
          <w:sz w:val="24"/>
          <w:szCs w:val="24"/>
          <w:highlight w:val="none"/>
          <w:lang w:eastAsia="zh-CN"/>
        </w:rPr>
        <w:t>审和比较，向采购人提出书面评标报告，并推荐合格的中标候选人。</w:t>
      </w:r>
    </w:p>
    <w:p w14:paraId="62ED3CA6">
      <w:pPr>
        <w:spacing w:before="178" w:line="357" w:lineRule="auto"/>
        <w:ind w:left="41" w:right="32" w:firstLine="479"/>
        <w:rPr>
          <w:rFonts w:ascii="宋体" w:hAnsi="宋体" w:eastAsia="宋体" w:cs="宋体"/>
          <w:spacing w:val="1"/>
          <w:sz w:val="24"/>
          <w:szCs w:val="24"/>
          <w:highlight w:val="none"/>
          <w:lang w:eastAsia="zh-CN"/>
        </w:rPr>
      </w:pPr>
      <w:r>
        <w:rPr>
          <w:rFonts w:ascii="宋体" w:hAnsi="宋体" w:eastAsia="宋体" w:cs="宋体"/>
          <w:spacing w:val="1"/>
          <w:sz w:val="24"/>
          <w:szCs w:val="24"/>
          <w:highlight w:val="none"/>
          <w:lang w:eastAsia="zh-CN"/>
        </w:rPr>
        <w:t>24.6 本项目采用综合评分法，按评审后得分由高到低顺序排列。得分相同的，按投标报价由低到高的顺序排列。得分且投标报价相同的，按技术标得分由高到低的顺序排列。技术指标仍相同的，按商务标由高到低的顺序排列，以上各项都相同的，由评标委员会推荐中标供应商。</w:t>
      </w:r>
    </w:p>
    <w:p w14:paraId="09D2805C">
      <w:pPr>
        <w:spacing w:before="182" w:line="220" w:lineRule="auto"/>
        <w:ind w:left="3608"/>
        <w:rPr>
          <w:rFonts w:ascii="宋体" w:hAnsi="宋体" w:eastAsia="宋体" w:cs="宋体"/>
          <w:sz w:val="24"/>
          <w:szCs w:val="24"/>
          <w:highlight w:val="none"/>
          <w:lang w:eastAsia="zh-CN"/>
        </w:rPr>
      </w:pPr>
      <w:r>
        <w:rPr>
          <w:rFonts w:ascii="宋体" w:hAnsi="宋体" w:eastAsia="宋体" w:cs="宋体"/>
          <w:b/>
          <w:bCs/>
          <w:spacing w:val="-3"/>
          <w:sz w:val="24"/>
          <w:szCs w:val="24"/>
          <w:highlight w:val="none"/>
          <w:lang w:eastAsia="zh-CN"/>
        </w:rPr>
        <w:t>七、定标、授予合同</w:t>
      </w:r>
    </w:p>
    <w:p w14:paraId="5509AAE8">
      <w:pPr>
        <w:spacing w:before="177" w:line="220" w:lineRule="auto"/>
        <w:ind w:left="520"/>
        <w:rPr>
          <w:rFonts w:ascii="宋体" w:hAnsi="宋体" w:eastAsia="宋体" w:cs="宋体"/>
          <w:sz w:val="24"/>
          <w:szCs w:val="24"/>
          <w:highlight w:val="none"/>
          <w:lang w:eastAsia="zh-CN"/>
        </w:rPr>
      </w:pPr>
      <w:r>
        <w:rPr>
          <w:rFonts w:ascii="宋体" w:hAnsi="宋体" w:eastAsia="宋体" w:cs="宋体"/>
          <w:spacing w:val="-3"/>
          <w:sz w:val="24"/>
          <w:szCs w:val="24"/>
          <w:highlight w:val="none"/>
          <w:lang w:eastAsia="zh-CN"/>
        </w:rPr>
        <w:t>25、合同授予标准</w:t>
      </w:r>
    </w:p>
    <w:p w14:paraId="1736662D">
      <w:pPr>
        <w:spacing w:before="176" w:line="219" w:lineRule="auto"/>
        <w:ind w:left="520"/>
        <w:rPr>
          <w:rFonts w:ascii="宋体" w:hAnsi="宋体" w:eastAsia="宋体" w:cs="宋体"/>
          <w:sz w:val="24"/>
          <w:szCs w:val="24"/>
          <w:highlight w:val="none"/>
          <w:lang w:eastAsia="zh-CN"/>
        </w:rPr>
      </w:pPr>
      <w:r>
        <w:rPr>
          <w:rFonts w:ascii="宋体" w:hAnsi="宋体" w:eastAsia="宋体" w:cs="宋体"/>
          <w:spacing w:val="-2"/>
          <w:sz w:val="24"/>
          <w:szCs w:val="24"/>
          <w:highlight w:val="none"/>
          <w:lang w:eastAsia="zh-CN"/>
        </w:rPr>
        <w:t>25.1 本招标项目的合同将授予按本评标办法确定的中标供应商。</w:t>
      </w:r>
    </w:p>
    <w:p w14:paraId="078754F0">
      <w:pPr>
        <w:spacing w:before="184" w:line="310" w:lineRule="auto"/>
        <w:ind w:left="38" w:right="29" w:firstLine="482"/>
        <w:rPr>
          <w:rFonts w:ascii="宋体" w:hAnsi="宋体" w:eastAsia="宋体" w:cs="宋体"/>
          <w:sz w:val="24"/>
          <w:szCs w:val="24"/>
          <w:highlight w:val="none"/>
          <w:lang w:eastAsia="zh-CN"/>
        </w:rPr>
      </w:pPr>
      <w:r>
        <w:rPr>
          <w:rFonts w:ascii="宋体" w:hAnsi="宋体" w:eastAsia="宋体" w:cs="宋体"/>
          <w:spacing w:val="1"/>
          <w:sz w:val="24"/>
          <w:szCs w:val="24"/>
          <w:highlight w:val="none"/>
          <w:lang w:eastAsia="zh-CN"/>
        </w:rPr>
        <w:t>25.2 评标委员会经采购人授权，确定排名第一的中标候选人为中标供应商。当</w:t>
      </w:r>
      <w:r>
        <w:rPr>
          <w:rFonts w:ascii="宋体" w:hAnsi="宋体" w:eastAsia="宋体" w:cs="宋体"/>
          <w:spacing w:val="-2"/>
          <w:sz w:val="24"/>
          <w:szCs w:val="24"/>
          <w:highlight w:val="none"/>
          <w:lang w:eastAsia="zh-CN"/>
        </w:rPr>
        <w:t>确定中标的中标供应商候选人放弃中标、因不可抗力提出不能履行合同的，采购人可以按序确定排名第二的中标候选人为中标供应商，以此类推。</w:t>
      </w:r>
    </w:p>
    <w:p w14:paraId="46C30F60">
      <w:pPr>
        <w:spacing w:before="181" w:line="220" w:lineRule="auto"/>
        <w:ind w:left="520"/>
        <w:rPr>
          <w:rFonts w:ascii="宋体" w:hAnsi="宋体" w:eastAsia="宋体" w:cs="宋体"/>
          <w:sz w:val="24"/>
          <w:szCs w:val="24"/>
          <w:highlight w:val="none"/>
          <w:lang w:eastAsia="zh-CN"/>
        </w:rPr>
      </w:pPr>
      <w:r>
        <w:rPr>
          <w:rFonts w:ascii="宋体" w:hAnsi="宋体" w:eastAsia="宋体" w:cs="宋体"/>
          <w:spacing w:val="-2"/>
          <w:sz w:val="24"/>
          <w:szCs w:val="24"/>
          <w:highlight w:val="none"/>
          <w:lang w:eastAsia="zh-CN"/>
        </w:rPr>
        <w:t>26、授予合同时变更数量的权利</w:t>
      </w:r>
    </w:p>
    <w:p w14:paraId="27E31645">
      <w:pPr>
        <w:spacing w:before="178" w:line="357" w:lineRule="auto"/>
        <w:ind w:left="39" w:right="28" w:firstLine="481"/>
        <w:rPr>
          <w:rFonts w:ascii="宋体" w:hAnsi="宋体" w:eastAsia="宋体" w:cs="宋体"/>
          <w:sz w:val="24"/>
          <w:szCs w:val="24"/>
          <w:highlight w:val="none"/>
          <w:lang w:eastAsia="zh-CN"/>
        </w:rPr>
      </w:pPr>
      <w:r>
        <w:rPr>
          <w:rFonts w:ascii="宋体" w:hAnsi="宋体" w:eastAsia="宋体" w:cs="宋体"/>
          <w:spacing w:val="-3"/>
          <w:sz w:val="24"/>
          <w:szCs w:val="24"/>
          <w:highlight w:val="none"/>
          <w:lang w:eastAsia="zh-CN"/>
        </w:rPr>
        <w:t>26.1</w:t>
      </w:r>
      <w:r>
        <w:rPr>
          <w:rFonts w:ascii="宋体" w:hAnsi="宋体" w:eastAsia="宋体" w:cs="宋体"/>
          <w:spacing w:val="-52"/>
          <w:sz w:val="24"/>
          <w:szCs w:val="24"/>
          <w:highlight w:val="none"/>
          <w:lang w:eastAsia="zh-CN"/>
        </w:rPr>
        <w:t xml:space="preserve"> </w:t>
      </w:r>
      <w:r>
        <w:rPr>
          <w:rFonts w:ascii="宋体" w:hAnsi="宋体" w:eastAsia="宋体" w:cs="宋体"/>
          <w:spacing w:val="-3"/>
          <w:sz w:val="24"/>
          <w:szCs w:val="24"/>
          <w:highlight w:val="none"/>
          <w:lang w:eastAsia="zh-CN"/>
        </w:rPr>
        <w:t>采购人在授予合同时，保留对货物</w:t>
      </w:r>
      <w:r>
        <w:rPr>
          <w:rFonts w:hint="eastAsia" w:ascii="宋体" w:hAnsi="宋体" w:eastAsia="宋体" w:cs="宋体"/>
          <w:spacing w:val="-3"/>
          <w:sz w:val="24"/>
          <w:szCs w:val="24"/>
          <w:highlight w:val="none"/>
          <w:lang w:eastAsia="zh-CN"/>
        </w:rPr>
        <w:t>或服务</w:t>
      </w:r>
      <w:r>
        <w:rPr>
          <w:rFonts w:ascii="宋体" w:hAnsi="宋体" w:eastAsia="宋体" w:cs="宋体"/>
          <w:spacing w:val="-3"/>
          <w:sz w:val="24"/>
          <w:szCs w:val="24"/>
          <w:highlight w:val="none"/>
          <w:lang w:eastAsia="zh-CN"/>
        </w:rPr>
        <w:t>数</w:t>
      </w:r>
      <w:r>
        <w:rPr>
          <w:rFonts w:ascii="宋体" w:hAnsi="宋体" w:eastAsia="宋体" w:cs="宋体"/>
          <w:spacing w:val="-4"/>
          <w:sz w:val="24"/>
          <w:szCs w:val="24"/>
          <w:highlight w:val="none"/>
          <w:lang w:eastAsia="zh-CN"/>
        </w:rPr>
        <w:t>量予以适当增减的权利。供应商不得在</w:t>
      </w:r>
      <w:r>
        <w:rPr>
          <w:rFonts w:ascii="宋体" w:hAnsi="宋体" w:eastAsia="宋体" w:cs="宋体"/>
          <w:spacing w:val="-2"/>
          <w:sz w:val="24"/>
          <w:szCs w:val="24"/>
          <w:highlight w:val="none"/>
          <w:lang w:eastAsia="zh-CN"/>
        </w:rPr>
        <w:t>此情况下对投标文件作出修改，如价格、交货</w:t>
      </w:r>
      <w:r>
        <w:rPr>
          <w:rFonts w:hint="eastAsia" w:ascii="宋体" w:hAnsi="宋体" w:eastAsia="宋体" w:cs="宋体"/>
          <w:spacing w:val="-2"/>
          <w:sz w:val="24"/>
          <w:szCs w:val="24"/>
          <w:highlight w:val="none"/>
          <w:lang w:eastAsia="zh-CN"/>
        </w:rPr>
        <w:t>或服务</w:t>
      </w:r>
      <w:r>
        <w:rPr>
          <w:rFonts w:ascii="宋体" w:hAnsi="宋体" w:eastAsia="宋体" w:cs="宋体"/>
          <w:spacing w:val="-2"/>
          <w:sz w:val="24"/>
          <w:szCs w:val="24"/>
          <w:highlight w:val="none"/>
          <w:lang w:eastAsia="zh-CN"/>
        </w:rPr>
        <w:t>时间、售后服务等。</w:t>
      </w:r>
    </w:p>
    <w:p w14:paraId="4E630D57">
      <w:pPr>
        <w:spacing w:before="1" w:line="218" w:lineRule="auto"/>
        <w:ind w:left="520"/>
        <w:rPr>
          <w:rFonts w:ascii="宋体" w:hAnsi="宋体" w:eastAsia="宋体" w:cs="宋体"/>
          <w:sz w:val="24"/>
          <w:szCs w:val="24"/>
          <w:highlight w:val="none"/>
          <w:lang w:eastAsia="zh-CN"/>
        </w:rPr>
      </w:pPr>
      <w:r>
        <w:rPr>
          <w:rFonts w:ascii="宋体" w:hAnsi="宋体" w:eastAsia="宋体" w:cs="宋体"/>
          <w:spacing w:val="-3"/>
          <w:sz w:val="24"/>
          <w:szCs w:val="24"/>
          <w:highlight w:val="none"/>
          <w:lang w:eastAsia="zh-CN"/>
        </w:rPr>
        <w:t>27、采购人拒绝投标的权利</w:t>
      </w:r>
    </w:p>
    <w:p w14:paraId="5B7B7FE3">
      <w:pPr>
        <w:spacing w:before="78" w:line="218" w:lineRule="auto"/>
        <w:ind w:left="520"/>
        <w:rPr>
          <w:rFonts w:ascii="宋体" w:hAnsi="宋体" w:eastAsia="宋体" w:cs="宋体"/>
          <w:sz w:val="24"/>
          <w:szCs w:val="24"/>
          <w:highlight w:val="none"/>
          <w:lang w:eastAsia="zh-CN"/>
        </w:rPr>
      </w:pPr>
      <w:r>
        <w:rPr>
          <w:rFonts w:ascii="宋体" w:hAnsi="宋体" w:eastAsia="宋体" w:cs="宋体"/>
          <w:spacing w:val="-2"/>
          <w:sz w:val="24"/>
          <w:szCs w:val="24"/>
          <w:highlight w:val="none"/>
          <w:lang w:eastAsia="zh-CN"/>
        </w:rPr>
        <w:t>27.1 采购人不承诺将合同授予报价最低的或最高的中标候选人。</w:t>
      </w:r>
    </w:p>
    <w:p w14:paraId="54D059FE">
      <w:pPr>
        <w:spacing w:before="180" w:line="220" w:lineRule="auto"/>
        <w:ind w:left="520"/>
        <w:rPr>
          <w:rFonts w:ascii="宋体" w:hAnsi="宋体" w:eastAsia="宋体" w:cs="宋体"/>
          <w:sz w:val="24"/>
          <w:szCs w:val="24"/>
          <w:highlight w:val="none"/>
          <w:lang w:eastAsia="zh-CN"/>
        </w:rPr>
      </w:pPr>
      <w:r>
        <w:rPr>
          <w:rFonts w:ascii="宋体" w:hAnsi="宋体" w:eastAsia="宋体" w:cs="宋体"/>
          <w:spacing w:val="-4"/>
          <w:sz w:val="24"/>
          <w:szCs w:val="24"/>
          <w:highlight w:val="none"/>
          <w:lang w:eastAsia="zh-CN"/>
        </w:rPr>
        <w:t>28、中标通知</w:t>
      </w:r>
    </w:p>
    <w:p w14:paraId="1263CF05">
      <w:pPr>
        <w:spacing w:before="179" w:line="311" w:lineRule="auto"/>
        <w:ind w:left="37" w:right="66" w:firstLine="483"/>
        <w:rPr>
          <w:rFonts w:ascii="宋体" w:hAnsi="宋体" w:eastAsia="宋体" w:cs="宋体"/>
          <w:color w:val="000000" w:themeColor="text1"/>
          <w:sz w:val="24"/>
          <w:szCs w:val="24"/>
          <w:highlight w:val="none"/>
          <w:lang w:eastAsia="zh-CN"/>
          <w14:textFill>
            <w14:solidFill>
              <w14:schemeClr w14:val="tx1"/>
            </w14:solidFill>
          </w14:textFill>
        </w:rPr>
      </w:pPr>
      <w:r>
        <w:rPr>
          <w:rFonts w:ascii="宋体" w:hAnsi="宋体" w:eastAsia="宋体" w:cs="宋体"/>
          <w:spacing w:val="-4"/>
          <w:sz w:val="24"/>
          <w:szCs w:val="24"/>
          <w:highlight w:val="none"/>
          <w:lang w:eastAsia="zh-CN"/>
        </w:rPr>
        <w:t>28.1</w:t>
      </w:r>
      <w:r>
        <w:rPr>
          <w:rFonts w:ascii="宋体" w:hAnsi="宋体" w:eastAsia="宋体" w:cs="宋体"/>
          <w:spacing w:val="-34"/>
          <w:sz w:val="24"/>
          <w:szCs w:val="24"/>
          <w:highlight w:val="none"/>
          <w:lang w:eastAsia="zh-CN"/>
        </w:rPr>
        <w:t xml:space="preserve"> </w:t>
      </w:r>
      <w:r>
        <w:rPr>
          <w:rFonts w:ascii="宋体" w:hAnsi="宋体" w:eastAsia="宋体" w:cs="宋体"/>
          <w:spacing w:val="-4"/>
          <w:sz w:val="24"/>
          <w:szCs w:val="24"/>
          <w:highlight w:val="none"/>
          <w:lang w:eastAsia="zh-CN"/>
        </w:rPr>
        <w:t>采购</w:t>
      </w:r>
      <w:r>
        <w:rPr>
          <w:rFonts w:ascii="宋体" w:hAnsi="宋体" w:eastAsia="宋体" w:cs="宋体"/>
          <w:color w:val="000000" w:themeColor="text1"/>
          <w:spacing w:val="-4"/>
          <w:sz w:val="24"/>
          <w:szCs w:val="24"/>
          <w:highlight w:val="none"/>
          <w:lang w:eastAsia="zh-CN"/>
          <w14:textFill>
            <w14:solidFill>
              <w14:schemeClr w14:val="tx1"/>
            </w14:solidFill>
          </w14:textFill>
        </w:rPr>
        <w:t>人和其委托的采购代理机构，在政府采购项目评审结束后，</w:t>
      </w:r>
      <w:r>
        <w:rPr>
          <w:rFonts w:hint="eastAsia" w:ascii="宋体" w:hAnsi="宋体" w:eastAsia="宋体" w:cs="宋体"/>
          <w:color w:val="000000" w:themeColor="text1"/>
          <w:spacing w:val="-4"/>
          <w:sz w:val="24"/>
          <w:szCs w:val="24"/>
          <w:highlight w:val="none"/>
          <w:lang w:eastAsia="zh-CN"/>
          <w14:textFill>
            <w14:solidFill>
              <w14:schemeClr w14:val="tx1"/>
            </w14:solidFill>
          </w14:textFill>
        </w:rPr>
        <w:t>及时完成评标报告报送、中标成交供应商的确定、中标公告发布、中标（成交）通知书发出等工作。</w:t>
      </w:r>
    </w:p>
    <w:p w14:paraId="7A42337B">
      <w:pPr>
        <w:spacing w:before="178" w:line="288" w:lineRule="auto"/>
        <w:ind w:left="57" w:right="66" w:firstLine="463"/>
        <w:rPr>
          <w:rFonts w:ascii="宋体" w:hAnsi="宋体" w:eastAsia="宋体" w:cs="宋体"/>
          <w:sz w:val="24"/>
          <w:szCs w:val="24"/>
          <w:highlight w:val="none"/>
          <w:lang w:eastAsia="zh-CN"/>
        </w:rPr>
      </w:pPr>
      <w:r>
        <w:rPr>
          <w:rFonts w:ascii="宋体" w:hAnsi="宋体" w:eastAsia="宋体" w:cs="宋体"/>
          <w:color w:val="000000" w:themeColor="text1"/>
          <w:spacing w:val="-2"/>
          <w:sz w:val="24"/>
          <w:szCs w:val="24"/>
          <w:highlight w:val="none"/>
          <w:lang w:eastAsia="zh-CN"/>
          <w14:textFill>
            <w14:solidFill>
              <w14:schemeClr w14:val="tx1"/>
            </w14:solidFill>
          </w14:textFill>
        </w:rPr>
        <w:t>28.2《中标通知书》、招标文件、中标人的投标文件及其澄清文件均为</w:t>
      </w:r>
      <w:r>
        <w:rPr>
          <w:rFonts w:ascii="宋体" w:hAnsi="宋体" w:eastAsia="宋体" w:cs="宋体"/>
          <w:spacing w:val="-2"/>
          <w:sz w:val="24"/>
          <w:szCs w:val="24"/>
          <w:highlight w:val="none"/>
          <w:lang w:eastAsia="zh-CN"/>
        </w:rPr>
        <w:t>签订合同</w:t>
      </w:r>
      <w:r>
        <w:rPr>
          <w:rFonts w:ascii="宋体" w:hAnsi="宋体" w:eastAsia="宋体" w:cs="宋体"/>
          <w:spacing w:val="-12"/>
          <w:sz w:val="24"/>
          <w:szCs w:val="24"/>
          <w:highlight w:val="none"/>
          <w:lang w:eastAsia="zh-CN"/>
        </w:rPr>
        <w:t>的依据。</w:t>
      </w:r>
    </w:p>
    <w:p w14:paraId="2DDD6191">
      <w:pPr>
        <w:spacing w:before="178" w:line="219" w:lineRule="auto"/>
        <w:ind w:left="520"/>
        <w:rPr>
          <w:rFonts w:ascii="宋体" w:hAnsi="宋体" w:eastAsia="宋体" w:cs="宋体"/>
          <w:sz w:val="24"/>
          <w:szCs w:val="24"/>
          <w:highlight w:val="none"/>
          <w:lang w:eastAsia="zh-CN"/>
        </w:rPr>
      </w:pPr>
      <w:r>
        <w:rPr>
          <w:rFonts w:ascii="宋体" w:hAnsi="宋体" w:eastAsia="宋体" w:cs="宋体"/>
          <w:spacing w:val="-3"/>
          <w:sz w:val="24"/>
          <w:szCs w:val="24"/>
          <w:highlight w:val="none"/>
          <w:lang w:eastAsia="zh-CN"/>
        </w:rPr>
        <w:t>29、合同协议书的签署</w:t>
      </w:r>
    </w:p>
    <w:p w14:paraId="51219B1C">
      <w:pPr>
        <w:spacing w:before="180" w:line="311" w:lineRule="auto"/>
        <w:ind w:left="37" w:right="65" w:firstLine="483"/>
        <w:rPr>
          <w:rFonts w:ascii="宋体" w:hAnsi="宋体" w:eastAsia="宋体" w:cs="宋体"/>
          <w:sz w:val="24"/>
          <w:szCs w:val="24"/>
          <w:highlight w:val="none"/>
          <w:lang w:eastAsia="zh-CN"/>
        </w:rPr>
      </w:pPr>
      <w:r>
        <w:rPr>
          <w:rFonts w:ascii="宋体" w:hAnsi="宋体" w:eastAsia="宋体" w:cs="宋体"/>
          <w:spacing w:val="-4"/>
          <w:sz w:val="24"/>
          <w:szCs w:val="24"/>
          <w:highlight w:val="none"/>
          <w:lang w:eastAsia="zh-CN"/>
        </w:rPr>
        <w:t>29.1</w:t>
      </w:r>
      <w:r>
        <w:rPr>
          <w:rFonts w:ascii="宋体" w:hAnsi="宋体" w:eastAsia="宋体" w:cs="宋体"/>
          <w:spacing w:val="-51"/>
          <w:sz w:val="24"/>
          <w:szCs w:val="24"/>
          <w:highlight w:val="none"/>
          <w:lang w:eastAsia="zh-CN"/>
        </w:rPr>
        <w:t xml:space="preserve"> </w:t>
      </w:r>
      <w:r>
        <w:rPr>
          <w:rFonts w:ascii="宋体" w:hAnsi="宋体" w:eastAsia="宋体" w:cs="宋体"/>
          <w:spacing w:val="-4"/>
          <w:sz w:val="24"/>
          <w:szCs w:val="24"/>
          <w:highlight w:val="none"/>
          <w:lang w:eastAsia="zh-CN"/>
        </w:rPr>
        <w:t>采购人在2个工作日内</w:t>
      </w:r>
      <w:r>
        <w:rPr>
          <w:rFonts w:hint="eastAsia" w:ascii="宋体" w:hAnsi="宋体" w:eastAsia="宋体" w:cs="宋体"/>
          <w:spacing w:val="-4"/>
          <w:sz w:val="24"/>
          <w:szCs w:val="24"/>
          <w:highlight w:val="none"/>
          <w:lang w:val="en-US" w:eastAsia="zh-CN"/>
        </w:rPr>
        <w:t>向</w:t>
      </w:r>
      <w:r>
        <w:rPr>
          <w:rFonts w:ascii="宋体" w:hAnsi="宋体" w:eastAsia="宋体" w:cs="宋体"/>
          <w:spacing w:val="-4"/>
          <w:sz w:val="24"/>
          <w:szCs w:val="24"/>
          <w:highlight w:val="none"/>
          <w:lang w:eastAsia="zh-CN"/>
        </w:rPr>
        <w:t>中标供应商</w:t>
      </w:r>
      <w:r>
        <w:rPr>
          <w:rFonts w:hint="eastAsia" w:ascii="宋体" w:hAnsi="宋体" w:eastAsia="宋体" w:cs="宋体"/>
          <w:spacing w:val="-4"/>
          <w:sz w:val="24"/>
          <w:szCs w:val="24"/>
          <w:highlight w:val="none"/>
          <w:lang w:val="en-US" w:eastAsia="zh-CN"/>
        </w:rPr>
        <w:t>发出</w:t>
      </w:r>
      <w:r>
        <w:rPr>
          <w:rFonts w:ascii="宋体" w:hAnsi="宋体" w:eastAsia="宋体" w:cs="宋体"/>
          <w:spacing w:val="-4"/>
          <w:sz w:val="24"/>
          <w:szCs w:val="24"/>
          <w:highlight w:val="none"/>
          <w:lang w:eastAsia="zh-CN"/>
        </w:rPr>
        <w:t>中标通知书，按照</w:t>
      </w:r>
      <w:r>
        <w:rPr>
          <w:rFonts w:ascii="宋体" w:hAnsi="宋体" w:eastAsia="宋体" w:cs="宋体"/>
          <w:spacing w:val="-5"/>
          <w:sz w:val="24"/>
          <w:szCs w:val="24"/>
          <w:highlight w:val="none"/>
          <w:lang w:eastAsia="zh-CN"/>
        </w:rPr>
        <w:t>招标文件</w:t>
      </w:r>
      <w:r>
        <w:rPr>
          <w:rFonts w:ascii="宋体" w:hAnsi="宋体" w:eastAsia="宋体" w:cs="宋体"/>
          <w:spacing w:val="-2"/>
          <w:sz w:val="24"/>
          <w:szCs w:val="24"/>
          <w:highlight w:val="none"/>
          <w:lang w:eastAsia="zh-CN"/>
        </w:rPr>
        <w:t>及中标供应商的电子化投标文件</w:t>
      </w:r>
      <w:r>
        <w:rPr>
          <w:rFonts w:hint="eastAsia" w:ascii="宋体" w:hAnsi="宋体" w:eastAsia="宋体" w:cs="宋体"/>
          <w:spacing w:val="-2"/>
          <w:sz w:val="24"/>
          <w:szCs w:val="24"/>
          <w:highlight w:val="none"/>
          <w:lang w:val="en-US" w:eastAsia="zh-CN"/>
        </w:rPr>
        <w:t>在规定时间内</w:t>
      </w:r>
      <w:r>
        <w:rPr>
          <w:rFonts w:ascii="宋体" w:hAnsi="宋体" w:eastAsia="宋体" w:cs="宋体"/>
          <w:spacing w:val="-2"/>
          <w:sz w:val="24"/>
          <w:szCs w:val="24"/>
          <w:highlight w:val="none"/>
          <w:lang w:eastAsia="zh-CN"/>
        </w:rPr>
        <w:t>订立书面采购合同，采购人和中标供应商不得再行订</w:t>
      </w:r>
      <w:r>
        <w:rPr>
          <w:rFonts w:ascii="宋体" w:hAnsi="宋体" w:eastAsia="宋体" w:cs="宋体"/>
          <w:spacing w:val="-3"/>
          <w:sz w:val="24"/>
          <w:szCs w:val="24"/>
          <w:highlight w:val="none"/>
          <w:lang w:eastAsia="zh-CN"/>
        </w:rPr>
        <w:t>立背离合同实质性内容的其他协议。</w:t>
      </w:r>
    </w:p>
    <w:p w14:paraId="27B05976">
      <w:pPr>
        <w:spacing w:before="179" w:line="288" w:lineRule="auto"/>
        <w:ind w:left="39" w:right="66" w:firstLine="481"/>
        <w:rPr>
          <w:rFonts w:ascii="宋体" w:hAnsi="宋体" w:eastAsia="宋体" w:cs="宋体"/>
          <w:sz w:val="24"/>
          <w:szCs w:val="24"/>
          <w:highlight w:val="none"/>
          <w:lang w:eastAsia="zh-CN"/>
        </w:rPr>
      </w:pPr>
      <w:r>
        <w:rPr>
          <w:rFonts w:ascii="宋体" w:hAnsi="宋体" w:eastAsia="宋体" w:cs="宋体"/>
          <w:spacing w:val="-4"/>
          <w:sz w:val="24"/>
          <w:szCs w:val="24"/>
          <w:highlight w:val="none"/>
          <w:lang w:eastAsia="zh-CN"/>
        </w:rPr>
        <w:t>29.2</w:t>
      </w:r>
      <w:r>
        <w:rPr>
          <w:rFonts w:ascii="宋体" w:hAnsi="宋体" w:eastAsia="宋体" w:cs="宋体"/>
          <w:spacing w:val="-28"/>
          <w:sz w:val="24"/>
          <w:szCs w:val="24"/>
          <w:highlight w:val="none"/>
          <w:lang w:eastAsia="zh-CN"/>
        </w:rPr>
        <w:t xml:space="preserve"> </w:t>
      </w:r>
      <w:r>
        <w:rPr>
          <w:rFonts w:ascii="宋体" w:hAnsi="宋体" w:eastAsia="宋体" w:cs="宋体"/>
          <w:spacing w:val="-4"/>
          <w:sz w:val="24"/>
          <w:szCs w:val="24"/>
          <w:highlight w:val="none"/>
          <w:lang w:eastAsia="zh-CN"/>
        </w:rPr>
        <w:t>中标供应商如不按本投标须知的规定与采购人订立合同，则采</w:t>
      </w:r>
      <w:r>
        <w:rPr>
          <w:rFonts w:ascii="宋体" w:hAnsi="宋体" w:eastAsia="宋体" w:cs="宋体"/>
          <w:spacing w:val="-5"/>
          <w:sz w:val="24"/>
          <w:szCs w:val="24"/>
          <w:highlight w:val="none"/>
          <w:lang w:eastAsia="zh-CN"/>
        </w:rPr>
        <w:t>购人将废除授</w:t>
      </w:r>
      <w:r>
        <w:rPr>
          <w:rFonts w:ascii="宋体" w:hAnsi="宋体" w:eastAsia="宋体" w:cs="宋体"/>
          <w:spacing w:val="-2"/>
          <w:sz w:val="24"/>
          <w:szCs w:val="24"/>
          <w:highlight w:val="none"/>
          <w:lang w:eastAsia="zh-CN"/>
        </w:rPr>
        <w:t>标，并做出相应的处罚，同时依法承担相应法律责任。</w:t>
      </w:r>
    </w:p>
    <w:p w14:paraId="52A74CBE">
      <w:pPr>
        <w:spacing w:before="178" w:line="220" w:lineRule="auto"/>
        <w:ind w:left="522"/>
        <w:rPr>
          <w:rFonts w:ascii="宋体" w:hAnsi="宋体" w:eastAsia="宋体" w:cs="宋体"/>
          <w:sz w:val="24"/>
          <w:szCs w:val="24"/>
          <w:highlight w:val="none"/>
          <w:lang w:eastAsia="zh-CN"/>
        </w:rPr>
      </w:pPr>
      <w:r>
        <w:rPr>
          <w:rFonts w:ascii="宋体" w:hAnsi="宋体" w:eastAsia="宋体" w:cs="宋体"/>
          <w:spacing w:val="-2"/>
          <w:sz w:val="24"/>
          <w:szCs w:val="24"/>
          <w:highlight w:val="none"/>
          <w:lang w:eastAsia="zh-CN"/>
        </w:rPr>
        <w:t>30.纪律和监督</w:t>
      </w:r>
    </w:p>
    <w:p w14:paraId="19171966">
      <w:pPr>
        <w:spacing w:before="179" w:line="219" w:lineRule="auto"/>
        <w:ind w:left="522"/>
        <w:rPr>
          <w:rFonts w:ascii="宋体" w:hAnsi="宋体" w:eastAsia="宋体" w:cs="宋体"/>
          <w:sz w:val="24"/>
          <w:szCs w:val="24"/>
          <w:highlight w:val="none"/>
          <w:lang w:eastAsia="zh-CN"/>
        </w:rPr>
      </w:pPr>
      <w:r>
        <w:rPr>
          <w:rFonts w:ascii="宋体" w:hAnsi="宋体" w:eastAsia="宋体" w:cs="宋体"/>
          <w:spacing w:val="-2"/>
          <w:sz w:val="24"/>
          <w:szCs w:val="24"/>
          <w:highlight w:val="none"/>
          <w:lang w:eastAsia="zh-CN"/>
        </w:rPr>
        <w:t>30.1</w:t>
      </w:r>
      <w:r>
        <w:rPr>
          <w:rFonts w:ascii="宋体" w:hAnsi="宋体" w:eastAsia="宋体" w:cs="宋体"/>
          <w:spacing w:val="-49"/>
          <w:sz w:val="24"/>
          <w:szCs w:val="24"/>
          <w:highlight w:val="none"/>
          <w:lang w:eastAsia="zh-CN"/>
        </w:rPr>
        <w:t xml:space="preserve"> </w:t>
      </w:r>
      <w:r>
        <w:rPr>
          <w:rFonts w:ascii="宋体" w:hAnsi="宋体" w:eastAsia="宋体" w:cs="宋体"/>
          <w:spacing w:val="-2"/>
          <w:sz w:val="24"/>
          <w:szCs w:val="24"/>
          <w:highlight w:val="none"/>
          <w:lang w:eastAsia="zh-CN"/>
        </w:rPr>
        <w:t>对采购人的纪律要求</w:t>
      </w:r>
    </w:p>
    <w:p w14:paraId="705974D4">
      <w:pPr>
        <w:spacing w:before="180" w:line="357" w:lineRule="auto"/>
        <w:ind w:left="38" w:right="66" w:firstLine="478"/>
        <w:rPr>
          <w:rFonts w:ascii="宋体" w:hAnsi="宋体" w:eastAsia="宋体" w:cs="宋体"/>
          <w:sz w:val="24"/>
          <w:szCs w:val="24"/>
          <w:highlight w:val="none"/>
          <w:lang w:eastAsia="zh-CN"/>
        </w:rPr>
      </w:pPr>
      <w:r>
        <w:rPr>
          <w:rFonts w:ascii="宋体" w:hAnsi="宋体" w:eastAsia="宋体" w:cs="宋体"/>
          <w:spacing w:val="-2"/>
          <w:sz w:val="24"/>
          <w:szCs w:val="24"/>
          <w:highlight w:val="none"/>
          <w:lang w:eastAsia="zh-CN"/>
        </w:rPr>
        <w:t>采购人不得泄漏招标投标活动中应当保密的情况和资料，不得与投标供应商串通损害国家利益、社会公共利益或者他人合法权益。</w:t>
      </w:r>
    </w:p>
    <w:p w14:paraId="3FF35C00">
      <w:pPr>
        <w:spacing w:before="1" w:line="218" w:lineRule="auto"/>
        <w:ind w:left="517"/>
        <w:rPr>
          <w:rFonts w:ascii="宋体" w:hAnsi="宋体" w:eastAsia="宋体" w:cs="宋体"/>
          <w:sz w:val="24"/>
          <w:szCs w:val="24"/>
          <w:highlight w:val="none"/>
          <w:lang w:eastAsia="zh-CN"/>
        </w:rPr>
      </w:pPr>
      <w:r>
        <w:rPr>
          <w:rFonts w:ascii="宋体" w:hAnsi="宋体" w:eastAsia="宋体" w:cs="宋体"/>
          <w:spacing w:val="-2"/>
          <w:sz w:val="24"/>
          <w:szCs w:val="24"/>
          <w:highlight w:val="none"/>
          <w:lang w:eastAsia="zh-CN"/>
        </w:rPr>
        <w:t>采购人的监督部门在招标过程中有履行全程监督的权力。</w:t>
      </w:r>
    </w:p>
    <w:p w14:paraId="72CA583D">
      <w:pPr>
        <w:spacing w:before="179" w:line="219" w:lineRule="auto"/>
        <w:ind w:left="522"/>
        <w:rPr>
          <w:rFonts w:ascii="宋体" w:hAnsi="宋体" w:eastAsia="宋体" w:cs="宋体"/>
          <w:sz w:val="24"/>
          <w:szCs w:val="24"/>
          <w:highlight w:val="none"/>
          <w:lang w:eastAsia="zh-CN"/>
        </w:rPr>
      </w:pPr>
      <w:r>
        <w:rPr>
          <w:rFonts w:ascii="宋体" w:hAnsi="宋体" w:eastAsia="宋体" w:cs="宋体"/>
          <w:spacing w:val="-2"/>
          <w:sz w:val="24"/>
          <w:szCs w:val="24"/>
          <w:highlight w:val="none"/>
          <w:lang w:eastAsia="zh-CN"/>
        </w:rPr>
        <w:t>30.2</w:t>
      </w:r>
      <w:r>
        <w:rPr>
          <w:rFonts w:ascii="宋体" w:hAnsi="宋体" w:eastAsia="宋体" w:cs="宋体"/>
          <w:spacing w:val="-45"/>
          <w:sz w:val="24"/>
          <w:szCs w:val="24"/>
          <w:highlight w:val="none"/>
          <w:lang w:eastAsia="zh-CN"/>
        </w:rPr>
        <w:t xml:space="preserve"> </w:t>
      </w:r>
      <w:r>
        <w:rPr>
          <w:rFonts w:ascii="宋体" w:hAnsi="宋体" w:eastAsia="宋体" w:cs="宋体"/>
          <w:spacing w:val="-2"/>
          <w:sz w:val="24"/>
          <w:szCs w:val="24"/>
          <w:highlight w:val="none"/>
          <w:lang w:eastAsia="zh-CN"/>
        </w:rPr>
        <w:t>对投标供应商的纪律要求</w:t>
      </w:r>
    </w:p>
    <w:p w14:paraId="15ED6FFC">
      <w:pPr>
        <w:spacing w:before="178" w:line="357" w:lineRule="auto"/>
        <w:ind w:left="39" w:right="66" w:firstLine="481"/>
        <w:rPr>
          <w:rFonts w:ascii="宋体" w:hAnsi="宋体" w:eastAsia="宋体" w:cs="宋体"/>
          <w:sz w:val="24"/>
          <w:szCs w:val="24"/>
          <w:highlight w:val="none"/>
          <w:lang w:eastAsia="zh-CN"/>
        </w:rPr>
      </w:pPr>
      <w:r>
        <w:rPr>
          <w:rFonts w:ascii="宋体" w:hAnsi="宋体" w:eastAsia="宋体" w:cs="宋体"/>
          <w:spacing w:val="-2"/>
          <w:sz w:val="24"/>
          <w:szCs w:val="24"/>
          <w:highlight w:val="none"/>
          <w:lang w:eastAsia="zh-CN"/>
        </w:rPr>
        <w:t>投标供应商不得相互串通投标或者与采购人串通投标，不得向采购人或者评标委员会成员行贿谋取中标，不得以他人名义投标或者以其他方式弄虚作假骗取中标；投标供应商不得以任何方式干扰、影响评标工</w:t>
      </w:r>
      <w:r>
        <w:rPr>
          <w:rFonts w:ascii="宋体" w:hAnsi="宋体" w:eastAsia="宋体" w:cs="宋体"/>
          <w:spacing w:val="-3"/>
          <w:sz w:val="24"/>
          <w:szCs w:val="24"/>
          <w:highlight w:val="none"/>
          <w:lang w:eastAsia="zh-CN"/>
        </w:rPr>
        <w:t>作。</w:t>
      </w:r>
    </w:p>
    <w:p w14:paraId="73F01B3D">
      <w:pPr>
        <w:spacing w:before="1" w:line="218" w:lineRule="auto"/>
        <w:ind w:left="522"/>
        <w:rPr>
          <w:rFonts w:ascii="宋体" w:hAnsi="宋体" w:eastAsia="宋体" w:cs="宋体"/>
          <w:sz w:val="24"/>
          <w:szCs w:val="24"/>
          <w:highlight w:val="none"/>
          <w:lang w:eastAsia="zh-CN"/>
        </w:rPr>
      </w:pPr>
      <w:r>
        <w:rPr>
          <w:rFonts w:ascii="宋体" w:hAnsi="宋体" w:eastAsia="宋体" w:cs="宋体"/>
          <w:spacing w:val="-2"/>
          <w:sz w:val="24"/>
          <w:szCs w:val="24"/>
          <w:highlight w:val="none"/>
          <w:lang w:eastAsia="zh-CN"/>
        </w:rPr>
        <w:t>30.3</w:t>
      </w:r>
      <w:r>
        <w:rPr>
          <w:rFonts w:ascii="宋体" w:hAnsi="宋体" w:eastAsia="宋体" w:cs="宋体"/>
          <w:spacing w:val="-41"/>
          <w:sz w:val="24"/>
          <w:szCs w:val="24"/>
          <w:highlight w:val="none"/>
          <w:lang w:eastAsia="zh-CN"/>
        </w:rPr>
        <w:t xml:space="preserve"> </w:t>
      </w:r>
      <w:r>
        <w:rPr>
          <w:rFonts w:ascii="宋体" w:hAnsi="宋体" w:eastAsia="宋体" w:cs="宋体"/>
          <w:spacing w:val="-2"/>
          <w:sz w:val="24"/>
          <w:szCs w:val="24"/>
          <w:highlight w:val="none"/>
          <w:lang w:eastAsia="zh-CN"/>
        </w:rPr>
        <w:t>对评标委员会成员的纪律要求</w:t>
      </w:r>
    </w:p>
    <w:p w14:paraId="4C41975A">
      <w:pPr>
        <w:spacing w:before="181" w:line="357" w:lineRule="auto"/>
        <w:ind w:left="37" w:firstLine="479"/>
        <w:rPr>
          <w:rFonts w:ascii="宋体" w:hAnsi="宋体" w:eastAsia="宋体" w:cs="宋体"/>
          <w:sz w:val="24"/>
          <w:szCs w:val="24"/>
          <w:highlight w:val="none"/>
          <w:lang w:eastAsia="zh-CN"/>
        </w:rPr>
      </w:pPr>
      <w:r>
        <w:rPr>
          <w:rFonts w:ascii="宋体" w:hAnsi="宋体" w:eastAsia="宋体" w:cs="宋体"/>
          <w:spacing w:val="-2"/>
          <w:sz w:val="24"/>
          <w:szCs w:val="24"/>
          <w:highlight w:val="none"/>
          <w:lang w:eastAsia="zh-CN"/>
        </w:rPr>
        <w:t>评标委员会成员不得收受他人的财物或者其他好处，不得向他人透漏对投标文件</w:t>
      </w:r>
      <w:r>
        <w:rPr>
          <w:rFonts w:ascii="宋体" w:hAnsi="宋体" w:eastAsia="宋体" w:cs="宋体"/>
          <w:sz w:val="24"/>
          <w:szCs w:val="24"/>
          <w:highlight w:val="none"/>
          <w:lang w:eastAsia="zh-CN"/>
        </w:rPr>
        <w:t>的评审和比较、中标候选人的推荐情况以及与评标有关的其他情况。在评标活动中，</w:t>
      </w:r>
      <w:r>
        <w:rPr>
          <w:rFonts w:ascii="宋体" w:hAnsi="宋体" w:eastAsia="宋体" w:cs="宋体"/>
          <w:spacing w:val="-8"/>
          <w:sz w:val="24"/>
          <w:szCs w:val="24"/>
          <w:highlight w:val="none"/>
          <w:lang w:eastAsia="zh-CN"/>
        </w:rPr>
        <w:t>评标委员会成员不得擅离职守，影响评标程序正常进行，不得使用本项目招标文件“评</w:t>
      </w:r>
      <w:r>
        <w:rPr>
          <w:rFonts w:ascii="宋体" w:hAnsi="宋体" w:eastAsia="宋体" w:cs="宋体"/>
          <w:spacing w:val="-2"/>
          <w:sz w:val="24"/>
          <w:szCs w:val="24"/>
          <w:highlight w:val="none"/>
          <w:lang w:eastAsia="zh-CN"/>
        </w:rPr>
        <w:t>标办法”没有规定的评审因素和标准进行评标。</w:t>
      </w:r>
    </w:p>
    <w:p w14:paraId="08B4BDEE">
      <w:pPr>
        <w:spacing w:line="219" w:lineRule="auto"/>
        <w:ind w:left="522"/>
        <w:rPr>
          <w:rFonts w:ascii="宋体" w:hAnsi="宋体" w:eastAsia="宋体" w:cs="宋体"/>
          <w:sz w:val="24"/>
          <w:szCs w:val="24"/>
          <w:highlight w:val="none"/>
          <w:lang w:eastAsia="zh-CN"/>
        </w:rPr>
      </w:pPr>
      <w:r>
        <w:rPr>
          <w:rFonts w:ascii="宋体" w:hAnsi="宋体" w:eastAsia="宋体" w:cs="宋体"/>
          <w:spacing w:val="-1"/>
          <w:sz w:val="24"/>
          <w:szCs w:val="24"/>
          <w:highlight w:val="none"/>
          <w:lang w:eastAsia="zh-CN"/>
        </w:rPr>
        <w:t>30.4</w:t>
      </w:r>
      <w:r>
        <w:rPr>
          <w:rFonts w:ascii="宋体" w:hAnsi="宋体" w:eastAsia="宋体" w:cs="宋体"/>
          <w:spacing w:val="-51"/>
          <w:sz w:val="24"/>
          <w:szCs w:val="24"/>
          <w:highlight w:val="none"/>
          <w:lang w:eastAsia="zh-CN"/>
        </w:rPr>
        <w:t xml:space="preserve"> </w:t>
      </w:r>
      <w:r>
        <w:rPr>
          <w:rFonts w:ascii="宋体" w:hAnsi="宋体" w:eastAsia="宋体" w:cs="宋体"/>
          <w:spacing w:val="-1"/>
          <w:sz w:val="24"/>
          <w:szCs w:val="24"/>
          <w:highlight w:val="none"/>
          <w:lang w:eastAsia="zh-CN"/>
        </w:rPr>
        <w:t>对与评标活动有关的工作人员的纪律</w:t>
      </w:r>
      <w:r>
        <w:rPr>
          <w:rFonts w:ascii="宋体" w:hAnsi="宋体" w:eastAsia="宋体" w:cs="宋体"/>
          <w:spacing w:val="-2"/>
          <w:sz w:val="24"/>
          <w:szCs w:val="24"/>
          <w:highlight w:val="none"/>
          <w:lang w:eastAsia="zh-CN"/>
        </w:rPr>
        <w:t>要求</w:t>
      </w:r>
    </w:p>
    <w:p w14:paraId="22EB0FAE">
      <w:pPr>
        <w:spacing w:before="177" w:line="322" w:lineRule="auto"/>
        <w:ind w:left="37" w:right="66" w:firstLine="485"/>
        <w:rPr>
          <w:rFonts w:ascii="宋体" w:hAnsi="宋体" w:eastAsia="宋体" w:cs="宋体"/>
          <w:sz w:val="24"/>
          <w:szCs w:val="24"/>
          <w:highlight w:val="none"/>
          <w:lang w:eastAsia="zh-CN"/>
        </w:rPr>
      </w:pPr>
      <w:r>
        <w:rPr>
          <w:rFonts w:ascii="宋体" w:hAnsi="宋体" w:eastAsia="宋体" w:cs="宋体"/>
          <w:spacing w:val="-2"/>
          <w:sz w:val="24"/>
          <w:szCs w:val="24"/>
          <w:highlight w:val="none"/>
          <w:lang w:eastAsia="zh-CN"/>
        </w:rPr>
        <w:t>与评标活动有关的工作人员不得收受他人的财物或者其他好处，不得向他人透漏对投标文件的评审和比较、中标候选人的推荐情况以及评标有关的其他情况。在评标</w:t>
      </w:r>
      <w:r>
        <w:rPr>
          <w:rFonts w:ascii="宋体" w:hAnsi="宋体" w:eastAsia="宋体" w:cs="宋体"/>
          <w:spacing w:val="-1"/>
          <w:sz w:val="24"/>
          <w:szCs w:val="24"/>
          <w:highlight w:val="none"/>
          <w:lang w:eastAsia="zh-CN"/>
        </w:rPr>
        <w:t>活动中，与评标活动有关的工作人员不得擅离职守，影响评</w:t>
      </w:r>
      <w:r>
        <w:rPr>
          <w:rFonts w:ascii="宋体" w:hAnsi="宋体" w:eastAsia="宋体" w:cs="宋体"/>
          <w:spacing w:val="-2"/>
          <w:sz w:val="24"/>
          <w:szCs w:val="24"/>
          <w:highlight w:val="none"/>
          <w:lang w:eastAsia="zh-CN"/>
        </w:rPr>
        <w:t>标程序正常进行。</w:t>
      </w:r>
    </w:p>
    <w:p w14:paraId="548F37AA">
      <w:pPr>
        <w:spacing w:before="178" w:line="220" w:lineRule="auto"/>
        <w:ind w:left="892"/>
        <w:rPr>
          <w:rFonts w:ascii="宋体" w:hAnsi="宋体" w:eastAsia="宋体" w:cs="宋体"/>
          <w:sz w:val="24"/>
          <w:szCs w:val="24"/>
          <w:highlight w:val="none"/>
          <w:lang w:eastAsia="zh-CN"/>
        </w:rPr>
      </w:pPr>
      <w:r>
        <w:rPr>
          <w:rFonts w:ascii="宋体" w:hAnsi="宋体" w:eastAsia="宋体" w:cs="宋体"/>
          <w:spacing w:val="-4"/>
          <w:sz w:val="24"/>
          <w:szCs w:val="24"/>
          <w:highlight w:val="none"/>
          <w:lang w:eastAsia="zh-CN"/>
        </w:rPr>
        <w:t>30.5</w:t>
      </w:r>
      <w:r>
        <w:rPr>
          <w:rFonts w:ascii="宋体" w:hAnsi="宋体" w:eastAsia="宋体" w:cs="宋体"/>
          <w:spacing w:val="-46"/>
          <w:sz w:val="24"/>
          <w:szCs w:val="24"/>
          <w:highlight w:val="none"/>
          <w:lang w:eastAsia="zh-CN"/>
        </w:rPr>
        <w:t xml:space="preserve"> </w:t>
      </w:r>
      <w:r>
        <w:rPr>
          <w:rFonts w:ascii="宋体" w:hAnsi="宋体" w:eastAsia="宋体" w:cs="宋体"/>
          <w:spacing w:val="-4"/>
          <w:sz w:val="24"/>
          <w:szCs w:val="24"/>
          <w:highlight w:val="none"/>
          <w:lang w:eastAsia="zh-CN"/>
        </w:rPr>
        <w:t>质疑</w:t>
      </w:r>
    </w:p>
    <w:p w14:paraId="161FB67A">
      <w:pPr>
        <w:spacing w:before="178" w:line="357" w:lineRule="auto"/>
        <w:ind w:left="405" w:right="138" w:firstLine="484"/>
        <w:rPr>
          <w:rFonts w:ascii="宋体" w:hAnsi="宋体" w:eastAsia="宋体" w:cs="宋体"/>
          <w:sz w:val="24"/>
          <w:szCs w:val="24"/>
          <w:highlight w:val="none"/>
          <w:lang w:eastAsia="zh-CN"/>
        </w:rPr>
      </w:pPr>
      <w:r>
        <w:rPr>
          <w:rFonts w:ascii="宋体" w:hAnsi="宋体" w:eastAsia="宋体" w:cs="宋体"/>
          <w:spacing w:val="-2"/>
          <w:sz w:val="24"/>
          <w:szCs w:val="24"/>
          <w:highlight w:val="none"/>
          <w:lang w:eastAsia="zh-CN"/>
        </w:rPr>
        <w:t>投标供应商如对招标文件有异议的，请于招标文件规定的投标截止时间 15 天前</w:t>
      </w:r>
      <w:r>
        <w:rPr>
          <w:rFonts w:ascii="宋体" w:hAnsi="宋体" w:eastAsia="宋体" w:cs="宋体"/>
          <w:spacing w:val="1"/>
          <w:sz w:val="24"/>
          <w:szCs w:val="24"/>
          <w:highlight w:val="none"/>
          <w:lang w:eastAsia="zh-CN"/>
        </w:rPr>
        <w:t>将问题以书面形式提交采购人或招标代理机构（</w:t>
      </w:r>
      <w:r>
        <w:rPr>
          <w:rFonts w:ascii="宋体" w:hAnsi="宋体" w:eastAsia="宋体" w:cs="宋体"/>
          <w:sz w:val="24"/>
          <w:szCs w:val="24"/>
          <w:highlight w:val="none"/>
          <w:lang w:eastAsia="zh-CN"/>
        </w:rPr>
        <w:t>加盖单位公章和法定代表人签字</w:t>
      </w:r>
      <w:r>
        <w:rPr>
          <w:rFonts w:ascii="宋体" w:hAnsi="宋体" w:eastAsia="宋体" w:cs="宋体"/>
          <w:spacing w:val="-6"/>
          <w:sz w:val="24"/>
          <w:szCs w:val="24"/>
          <w:highlight w:val="none"/>
          <w:lang w:eastAsia="zh-CN"/>
        </w:rPr>
        <w:t>），</w:t>
      </w:r>
      <w:r>
        <w:rPr>
          <w:rFonts w:ascii="宋体" w:hAnsi="宋体" w:eastAsia="宋体" w:cs="宋体"/>
          <w:spacing w:val="-3"/>
          <w:sz w:val="24"/>
          <w:szCs w:val="24"/>
          <w:highlight w:val="none"/>
          <w:lang w:eastAsia="zh-CN"/>
        </w:rPr>
        <w:t>否则，将被视为认可本招标文件所有内容。</w:t>
      </w:r>
    </w:p>
    <w:p w14:paraId="0D32881A">
      <w:pPr>
        <w:spacing w:line="220" w:lineRule="auto"/>
        <w:ind w:left="892"/>
        <w:rPr>
          <w:rFonts w:ascii="宋体" w:hAnsi="宋体" w:eastAsia="宋体" w:cs="宋体"/>
          <w:sz w:val="24"/>
          <w:szCs w:val="24"/>
          <w:highlight w:val="none"/>
          <w:lang w:eastAsia="zh-CN"/>
        </w:rPr>
      </w:pPr>
      <w:r>
        <w:rPr>
          <w:rFonts w:ascii="宋体" w:hAnsi="宋体" w:eastAsia="宋体" w:cs="宋体"/>
          <w:spacing w:val="-4"/>
          <w:sz w:val="24"/>
          <w:szCs w:val="24"/>
          <w:highlight w:val="none"/>
          <w:lang w:eastAsia="zh-CN"/>
        </w:rPr>
        <w:t>30.6</w:t>
      </w:r>
      <w:r>
        <w:rPr>
          <w:rFonts w:ascii="宋体" w:hAnsi="宋体" w:eastAsia="宋体" w:cs="宋体"/>
          <w:spacing w:val="-46"/>
          <w:sz w:val="24"/>
          <w:szCs w:val="24"/>
          <w:highlight w:val="none"/>
          <w:lang w:eastAsia="zh-CN"/>
        </w:rPr>
        <w:t xml:space="preserve"> </w:t>
      </w:r>
      <w:r>
        <w:rPr>
          <w:rFonts w:ascii="宋体" w:hAnsi="宋体" w:eastAsia="宋体" w:cs="宋体"/>
          <w:spacing w:val="-4"/>
          <w:sz w:val="24"/>
          <w:szCs w:val="24"/>
          <w:highlight w:val="none"/>
          <w:lang w:eastAsia="zh-CN"/>
        </w:rPr>
        <w:t>投诉</w:t>
      </w:r>
    </w:p>
    <w:p w14:paraId="6FE46021">
      <w:pPr>
        <w:spacing w:before="176" w:line="357" w:lineRule="auto"/>
        <w:ind w:left="408" w:right="136" w:firstLine="481"/>
        <w:rPr>
          <w:rFonts w:ascii="宋体" w:hAnsi="宋体" w:eastAsia="宋体" w:cs="宋体"/>
          <w:sz w:val="24"/>
          <w:szCs w:val="24"/>
          <w:highlight w:val="none"/>
          <w:lang w:eastAsia="zh-CN"/>
        </w:rPr>
      </w:pPr>
      <w:r>
        <w:rPr>
          <w:rFonts w:ascii="宋体" w:hAnsi="宋体" w:eastAsia="宋体" w:cs="宋体"/>
          <w:sz w:val="24"/>
          <w:szCs w:val="24"/>
          <w:highlight w:val="none"/>
          <w:lang w:eastAsia="zh-CN"/>
        </w:rPr>
        <w:t>投标供应商和其他利害关系人认为本次招标活动违反法律、法规和规章规定的，</w:t>
      </w:r>
      <w:r>
        <w:rPr>
          <w:rFonts w:ascii="宋体" w:hAnsi="宋体" w:eastAsia="宋体" w:cs="宋体"/>
          <w:spacing w:val="-2"/>
          <w:sz w:val="24"/>
          <w:szCs w:val="24"/>
          <w:highlight w:val="none"/>
          <w:lang w:eastAsia="zh-CN"/>
        </w:rPr>
        <w:t>有权向采购人纪检监察部门投诉、必须实名举报。投标供应商应保证提出的投诉内容和相应证明材料的真实性及来源的合法性，并承担相应的法律责任。监督机构将按国</w:t>
      </w:r>
      <w:r>
        <w:rPr>
          <w:rFonts w:ascii="宋体" w:hAnsi="宋体" w:eastAsia="宋体" w:cs="宋体"/>
          <w:spacing w:val="-5"/>
          <w:sz w:val="24"/>
          <w:szCs w:val="24"/>
          <w:highlight w:val="none"/>
          <w:lang w:eastAsia="zh-CN"/>
        </w:rPr>
        <w:t>家有关规定予以答复。</w:t>
      </w:r>
    </w:p>
    <w:p w14:paraId="51B32697">
      <w:pPr>
        <w:spacing w:before="1" w:line="223" w:lineRule="auto"/>
        <w:ind w:left="892"/>
        <w:rPr>
          <w:rFonts w:ascii="宋体" w:hAnsi="宋体" w:eastAsia="宋体" w:cs="宋体"/>
          <w:sz w:val="24"/>
          <w:szCs w:val="24"/>
          <w:highlight w:val="none"/>
          <w:lang w:eastAsia="zh-CN"/>
        </w:rPr>
      </w:pPr>
      <w:r>
        <w:rPr>
          <w:rFonts w:ascii="宋体" w:hAnsi="宋体" w:eastAsia="宋体" w:cs="宋体"/>
          <w:spacing w:val="-4"/>
          <w:sz w:val="24"/>
          <w:szCs w:val="24"/>
          <w:highlight w:val="none"/>
          <w:lang w:eastAsia="zh-CN"/>
        </w:rPr>
        <w:t>30.7</w:t>
      </w:r>
      <w:r>
        <w:rPr>
          <w:rFonts w:ascii="宋体" w:hAnsi="宋体" w:eastAsia="宋体" w:cs="宋体"/>
          <w:spacing w:val="-45"/>
          <w:sz w:val="24"/>
          <w:szCs w:val="24"/>
          <w:highlight w:val="none"/>
          <w:lang w:eastAsia="zh-CN"/>
        </w:rPr>
        <w:t xml:space="preserve"> </w:t>
      </w:r>
      <w:r>
        <w:rPr>
          <w:rFonts w:ascii="宋体" w:hAnsi="宋体" w:eastAsia="宋体" w:cs="宋体"/>
          <w:spacing w:val="-4"/>
          <w:sz w:val="24"/>
          <w:szCs w:val="24"/>
          <w:highlight w:val="none"/>
          <w:lang w:eastAsia="zh-CN"/>
        </w:rPr>
        <w:t>处罚</w:t>
      </w:r>
    </w:p>
    <w:p w14:paraId="5C0D5E6F">
      <w:pPr>
        <w:spacing w:before="175" w:line="356" w:lineRule="auto"/>
        <w:ind w:left="427" w:right="141" w:firstLine="461"/>
        <w:rPr>
          <w:rFonts w:ascii="宋体" w:hAnsi="宋体" w:eastAsia="宋体" w:cs="宋体"/>
          <w:sz w:val="24"/>
          <w:szCs w:val="24"/>
          <w:highlight w:val="none"/>
          <w:lang w:eastAsia="zh-CN"/>
        </w:rPr>
      </w:pPr>
      <w:r>
        <w:rPr>
          <w:rFonts w:ascii="宋体" w:hAnsi="宋体" w:eastAsia="宋体" w:cs="宋体"/>
          <w:spacing w:val="-2"/>
          <w:sz w:val="24"/>
          <w:szCs w:val="24"/>
          <w:highlight w:val="none"/>
          <w:lang w:eastAsia="zh-CN"/>
        </w:rPr>
        <w:t>本次招标的采购人、投标供应商、评标委员会成员及相关人员等参与招投标活动</w:t>
      </w:r>
      <w:r>
        <w:rPr>
          <w:rFonts w:ascii="宋体" w:hAnsi="宋体" w:eastAsia="宋体" w:cs="宋体"/>
          <w:sz w:val="24"/>
          <w:szCs w:val="24"/>
          <w:highlight w:val="none"/>
          <w:lang w:eastAsia="zh-CN"/>
        </w:rPr>
        <w:t>的各单位及个人，均应在招标、投标、合同执行等</w:t>
      </w:r>
      <w:r>
        <w:rPr>
          <w:rFonts w:ascii="宋体" w:hAnsi="宋体" w:eastAsia="宋体" w:cs="宋体"/>
          <w:spacing w:val="-1"/>
          <w:sz w:val="24"/>
          <w:szCs w:val="24"/>
          <w:highlight w:val="none"/>
          <w:lang w:eastAsia="zh-CN"/>
        </w:rPr>
        <w:t>过程中保持廉洁并遵守职业道德；</w:t>
      </w:r>
    </w:p>
    <w:p w14:paraId="65BFC25A">
      <w:pPr>
        <w:spacing w:before="1" w:line="219" w:lineRule="auto"/>
        <w:ind w:left="411"/>
        <w:rPr>
          <w:rFonts w:ascii="宋体" w:hAnsi="宋体" w:eastAsia="宋体" w:cs="宋体"/>
          <w:sz w:val="24"/>
          <w:szCs w:val="24"/>
          <w:highlight w:val="none"/>
          <w:lang w:eastAsia="zh-CN"/>
        </w:rPr>
      </w:pPr>
      <w:r>
        <w:rPr>
          <w:rFonts w:ascii="宋体" w:hAnsi="宋体" w:eastAsia="宋体" w:cs="宋体"/>
          <w:spacing w:val="1"/>
          <w:sz w:val="24"/>
          <w:szCs w:val="24"/>
          <w:highlight w:val="none"/>
          <w:lang w:eastAsia="zh-CN"/>
        </w:rPr>
        <w:t>如不遵守国家相关法律和规定，或有腐败、欺诈行为，将按国家有关规定予以处罚。</w:t>
      </w:r>
    </w:p>
    <w:p w14:paraId="0EF34507">
      <w:pPr>
        <w:spacing w:before="180" w:line="357" w:lineRule="auto"/>
        <w:ind w:left="407" w:right="205" w:firstLine="498"/>
        <w:jc w:val="both"/>
        <w:rPr>
          <w:rFonts w:ascii="宋体" w:hAnsi="宋体" w:eastAsia="宋体" w:cs="宋体"/>
          <w:sz w:val="24"/>
          <w:szCs w:val="24"/>
          <w:highlight w:val="none"/>
          <w:lang w:eastAsia="zh-CN"/>
        </w:rPr>
      </w:pPr>
      <w:r>
        <w:rPr>
          <w:rFonts w:ascii="宋体" w:hAnsi="宋体" w:eastAsia="宋体" w:cs="宋体"/>
          <w:spacing w:val="-6"/>
          <w:sz w:val="24"/>
          <w:szCs w:val="24"/>
          <w:highlight w:val="none"/>
          <w:lang w:eastAsia="zh-CN"/>
        </w:rPr>
        <w:t>因中标人在投标过程中串标、围标或采用其他违法行为获取中标的，一旦被有关</w:t>
      </w:r>
      <w:r>
        <w:rPr>
          <w:rFonts w:ascii="宋体" w:hAnsi="宋体" w:eastAsia="宋体" w:cs="宋体"/>
          <w:spacing w:val="-2"/>
          <w:sz w:val="24"/>
          <w:szCs w:val="24"/>
          <w:highlight w:val="none"/>
          <w:lang w:eastAsia="zh-CN"/>
        </w:rPr>
        <w:t>单位发现，发包人有权单方解除合同，同时中标人应赔偿由此给发包人所带来的一切</w:t>
      </w:r>
      <w:r>
        <w:rPr>
          <w:rFonts w:ascii="宋体" w:hAnsi="宋体" w:eastAsia="宋体" w:cs="宋体"/>
          <w:spacing w:val="-10"/>
          <w:sz w:val="24"/>
          <w:szCs w:val="24"/>
          <w:highlight w:val="none"/>
          <w:lang w:eastAsia="zh-CN"/>
        </w:rPr>
        <w:t>损失。</w:t>
      </w:r>
    </w:p>
    <w:p w14:paraId="22D3D881">
      <w:pPr>
        <w:spacing w:before="2" w:line="287" w:lineRule="auto"/>
        <w:ind w:left="406" w:firstLine="485"/>
        <w:rPr>
          <w:rFonts w:ascii="宋体" w:hAnsi="宋体" w:eastAsia="宋体" w:cs="宋体"/>
          <w:sz w:val="24"/>
          <w:szCs w:val="24"/>
          <w:highlight w:val="none"/>
          <w:lang w:eastAsia="zh-CN"/>
        </w:rPr>
      </w:pPr>
      <w:r>
        <w:rPr>
          <w:rFonts w:ascii="宋体" w:hAnsi="宋体" w:eastAsia="宋体" w:cs="宋体"/>
          <w:spacing w:val="-4"/>
          <w:sz w:val="24"/>
          <w:szCs w:val="24"/>
          <w:highlight w:val="none"/>
          <w:lang w:eastAsia="zh-CN"/>
        </w:rPr>
        <w:t>30.8</w:t>
      </w:r>
      <w:r>
        <w:rPr>
          <w:rFonts w:ascii="宋体" w:hAnsi="宋体" w:eastAsia="宋体" w:cs="宋体"/>
          <w:spacing w:val="-28"/>
          <w:sz w:val="24"/>
          <w:szCs w:val="24"/>
          <w:highlight w:val="none"/>
          <w:lang w:eastAsia="zh-CN"/>
        </w:rPr>
        <w:t xml:space="preserve"> </w:t>
      </w:r>
      <w:r>
        <w:rPr>
          <w:rFonts w:ascii="宋体" w:hAnsi="宋体" w:eastAsia="宋体" w:cs="宋体"/>
          <w:spacing w:val="-4"/>
          <w:sz w:val="24"/>
          <w:szCs w:val="24"/>
          <w:highlight w:val="none"/>
          <w:lang w:eastAsia="zh-CN"/>
        </w:rPr>
        <w:t>中标人确定后，采购人不对未中标人就评标过程以及未能</w:t>
      </w:r>
      <w:r>
        <w:rPr>
          <w:rFonts w:ascii="宋体" w:hAnsi="宋体" w:eastAsia="宋体" w:cs="宋体"/>
          <w:spacing w:val="-5"/>
          <w:sz w:val="24"/>
          <w:szCs w:val="24"/>
          <w:highlight w:val="none"/>
          <w:lang w:eastAsia="zh-CN"/>
        </w:rPr>
        <w:t>中标原因作出任何</w:t>
      </w:r>
      <w:r>
        <w:rPr>
          <w:rFonts w:ascii="宋体" w:hAnsi="宋体" w:eastAsia="宋体" w:cs="宋体"/>
          <w:spacing w:val="-2"/>
          <w:sz w:val="24"/>
          <w:szCs w:val="24"/>
          <w:highlight w:val="none"/>
          <w:lang w:eastAsia="zh-CN"/>
        </w:rPr>
        <w:t>解释。未中标人不得向评标委员会组成人员或其</w:t>
      </w:r>
      <w:r>
        <w:rPr>
          <w:rFonts w:ascii="宋体" w:hAnsi="宋体" w:eastAsia="宋体" w:cs="宋体"/>
          <w:spacing w:val="-3"/>
          <w:sz w:val="24"/>
          <w:szCs w:val="24"/>
          <w:highlight w:val="none"/>
          <w:lang w:eastAsia="zh-CN"/>
        </w:rPr>
        <w:t>他有关人索问评标过程的情况和材料。</w:t>
      </w:r>
    </w:p>
    <w:p w14:paraId="14FAD956">
      <w:pPr>
        <w:spacing w:before="180" w:line="311" w:lineRule="auto"/>
        <w:ind w:left="406" w:right="202" w:firstLine="485"/>
        <w:rPr>
          <w:rFonts w:ascii="宋体" w:hAnsi="宋体" w:eastAsia="宋体" w:cs="宋体"/>
          <w:sz w:val="24"/>
          <w:szCs w:val="24"/>
          <w:highlight w:val="none"/>
        </w:rPr>
      </w:pPr>
      <w:r>
        <w:rPr>
          <w:rFonts w:ascii="宋体" w:hAnsi="宋体" w:eastAsia="宋体" w:cs="宋体"/>
          <w:spacing w:val="1"/>
          <w:sz w:val="24"/>
          <w:szCs w:val="24"/>
          <w:highlight w:val="none"/>
          <w:lang w:eastAsia="zh-CN"/>
        </w:rPr>
        <w:t>30.9 招标代理服务收费参照豫招协[2023]002 号河南省招标投标协会关于印发</w:t>
      </w:r>
      <w:r>
        <w:rPr>
          <w:rFonts w:ascii="宋体" w:hAnsi="宋体" w:eastAsia="宋体" w:cs="宋体"/>
          <w:spacing w:val="-2"/>
          <w:sz w:val="24"/>
          <w:szCs w:val="24"/>
          <w:highlight w:val="none"/>
          <w:lang w:eastAsia="zh-CN"/>
        </w:rPr>
        <w:t>《河南省招标代理服务收费指导意见》规定的收费标准收取中标服务费。</w:t>
      </w:r>
      <w:r>
        <w:rPr>
          <w:rFonts w:ascii="宋体" w:hAnsi="宋体" w:eastAsia="宋体" w:cs="宋体"/>
          <w:spacing w:val="-2"/>
          <w:sz w:val="24"/>
          <w:szCs w:val="24"/>
          <w:highlight w:val="none"/>
        </w:rPr>
        <w:t>河南省招标</w:t>
      </w:r>
      <w:r>
        <w:rPr>
          <w:rFonts w:ascii="宋体" w:hAnsi="宋体" w:eastAsia="宋体" w:cs="宋体"/>
          <w:spacing w:val="-1"/>
          <w:sz w:val="24"/>
          <w:szCs w:val="24"/>
          <w:highlight w:val="none"/>
        </w:rPr>
        <w:t>代理服务费计算标准</w:t>
      </w:r>
    </w:p>
    <w:p w14:paraId="2CC66162">
      <w:pPr>
        <w:spacing w:before="6"/>
        <w:rPr>
          <w:highlight w:val="none"/>
        </w:rPr>
      </w:pPr>
    </w:p>
    <w:p w14:paraId="3733B7E3">
      <w:pPr>
        <w:spacing w:before="5"/>
        <w:rPr>
          <w:highlight w:val="none"/>
        </w:rPr>
      </w:pPr>
    </w:p>
    <w:tbl>
      <w:tblPr>
        <w:tblStyle w:val="32"/>
        <w:tblW w:w="91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43"/>
        <w:gridCol w:w="1701"/>
        <w:gridCol w:w="1482"/>
        <w:gridCol w:w="1778"/>
      </w:tblGrid>
      <w:tr w14:paraId="3CA3F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4143" w:type="dxa"/>
          </w:tcPr>
          <w:p w14:paraId="760B48C8">
            <w:pPr>
              <w:pStyle w:val="33"/>
              <w:spacing w:before="223" w:line="220" w:lineRule="auto"/>
              <w:ind w:left="507"/>
              <w:rPr>
                <w:highlight w:val="none"/>
                <w:lang w:eastAsia="zh-CN"/>
              </w:rPr>
            </w:pPr>
            <w:r>
              <w:rPr>
                <w:spacing w:val="-3"/>
                <w:highlight w:val="none"/>
                <w:lang w:eastAsia="zh-CN"/>
              </w:rPr>
              <w:t>项目类型/（金额万元）</w:t>
            </w:r>
          </w:p>
        </w:tc>
        <w:tc>
          <w:tcPr>
            <w:tcW w:w="1701" w:type="dxa"/>
          </w:tcPr>
          <w:p w14:paraId="7657357E">
            <w:pPr>
              <w:pStyle w:val="33"/>
              <w:spacing w:before="224" w:line="220" w:lineRule="auto"/>
              <w:ind w:left="503"/>
              <w:rPr>
                <w:highlight w:val="none"/>
              </w:rPr>
            </w:pPr>
            <w:r>
              <w:rPr>
                <w:spacing w:val="-4"/>
                <w:highlight w:val="none"/>
              </w:rPr>
              <w:t>工程</w:t>
            </w:r>
          </w:p>
        </w:tc>
        <w:tc>
          <w:tcPr>
            <w:tcW w:w="1482" w:type="dxa"/>
          </w:tcPr>
          <w:p w14:paraId="33B67FF0">
            <w:pPr>
              <w:pStyle w:val="33"/>
              <w:spacing w:before="223" w:line="219" w:lineRule="auto"/>
              <w:ind w:left="505"/>
              <w:rPr>
                <w:highlight w:val="none"/>
              </w:rPr>
            </w:pPr>
            <w:r>
              <w:rPr>
                <w:spacing w:val="-4"/>
                <w:highlight w:val="none"/>
              </w:rPr>
              <w:t>货物</w:t>
            </w:r>
          </w:p>
        </w:tc>
        <w:tc>
          <w:tcPr>
            <w:tcW w:w="1778" w:type="dxa"/>
          </w:tcPr>
          <w:p w14:paraId="6FC9A27F">
            <w:pPr>
              <w:pStyle w:val="33"/>
              <w:spacing w:before="223" w:line="220" w:lineRule="auto"/>
              <w:ind w:left="503"/>
              <w:rPr>
                <w:highlight w:val="none"/>
              </w:rPr>
            </w:pPr>
            <w:r>
              <w:rPr>
                <w:spacing w:val="-3"/>
                <w:highlight w:val="none"/>
              </w:rPr>
              <w:t>服务</w:t>
            </w:r>
          </w:p>
        </w:tc>
      </w:tr>
      <w:tr w14:paraId="51330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4143" w:type="dxa"/>
          </w:tcPr>
          <w:p w14:paraId="0D957861">
            <w:pPr>
              <w:pStyle w:val="33"/>
              <w:spacing w:before="221" w:line="220" w:lineRule="auto"/>
              <w:ind w:left="521"/>
              <w:rPr>
                <w:highlight w:val="none"/>
              </w:rPr>
            </w:pPr>
            <w:r>
              <w:rPr>
                <w:spacing w:val="-6"/>
                <w:highlight w:val="none"/>
              </w:rPr>
              <w:t>100</w:t>
            </w:r>
            <w:r>
              <w:rPr>
                <w:spacing w:val="-45"/>
                <w:highlight w:val="none"/>
              </w:rPr>
              <w:t xml:space="preserve"> </w:t>
            </w:r>
            <w:r>
              <w:rPr>
                <w:spacing w:val="-6"/>
                <w:highlight w:val="none"/>
              </w:rPr>
              <w:t>万元以下（含</w:t>
            </w:r>
            <w:r>
              <w:rPr>
                <w:spacing w:val="-33"/>
                <w:highlight w:val="none"/>
              </w:rPr>
              <w:t xml:space="preserve"> </w:t>
            </w:r>
            <w:r>
              <w:rPr>
                <w:spacing w:val="-6"/>
                <w:highlight w:val="none"/>
              </w:rPr>
              <w:t>100</w:t>
            </w:r>
            <w:r>
              <w:rPr>
                <w:spacing w:val="-45"/>
                <w:highlight w:val="none"/>
              </w:rPr>
              <w:t xml:space="preserve"> </w:t>
            </w:r>
            <w:r>
              <w:rPr>
                <w:spacing w:val="-6"/>
                <w:highlight w:val="none"/>
              </w:rPr>
              <w:t>万元）</w:t>
            </w:r>
          </w:p>
        </w:tc>
        <w:tc>
          <w:tcPr>
            <w:tcW w:w="1701" w:type="dxa"/>
          </w:tcPr>
          <w:p w14:paraId="166A60D8">
            <w:pPr>
              <w:pStyle w:val="33"/>
              <w:spacing w:before="221" w:line="239" w:lineRule="auto"/>
              <w:ind w:left="518"/>
              <w:rPr>
                <w:highlight w:val="none"/>
              </w:rPr>
            </w:pPr>
            <w:r>
              <w:rPr>
                <w:spacing w:val="-5"/>
                <w:highlight w:val="none"/>
              </w:rPr>
              <w:t>1.20%</w:t>
            </w:r>
          </w:p>
        </w:tc>
        <w:tc>
          <w:tcPr>
            <w:tcW w:w="1482" w:type="dxa"/>
          </w:tcPr>
          <w:p w14:paraId="67D2096C">
            <w:pPr>
              <w:pStyle w:val="33"/>
              <w:spacing w:before="221" w:line="239" w:lineRule="auto"/>
              <w:ind w:left="517"/>
              <w:rPr>
                <w:highlight w:val="none"/>
              </w:rPr>
            </w:pPr>
            <w:r>
              <w:rPr>
                <w:spacing w:val="-5"/>
                <w:highlight w:val="none"/>
              </w:rPr>
              <w:t>1.70%</w:t>
            </w:r>
          </w:p>
        </w:tc>
        <w:tc>
          <w:tcPr>
            <w:tcW w:w="1778" w:type="dxa"/>
          </w:tcPr>
          <w:p w14:paraId="5E6037BD">
            <w:pPr>
              <w:pStyle w:val="33"/>
              <w:spacing w:before="221" w:line="239" w:lineRule="auto"/>
              <w:ind w:left="521"/>
              <w:rPr>
                <w:highlight w:val="none"/>
              </w:rPr>
            </w:pPr>
            <w:r>
              <w:rPr>
                <w:spacing w:val="-5"/>
                <w:highlight w:val="none"/>
              </w:rPr>
              <w:t>1.70%</w:t>
            </w:r>
          </w:p>
        </w:tc>
      </w:tr>
      <w:tr w14:paraId="0FF51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4143" w:type="dxa"/>
          </w:tcPr>
          <w:p w14:paraId="6F03B552">
            <w:pPr>
              <w:pStyle w:val="33"/>
              <w:spacing w:before="220" w:line="220" w:lineRule="auto"/>
              <w:ind w:left="521"/>
              <w:rPr>
                <w:highlight w:val="none"/>
              </w:rPr>
            </w:pPr>
            <w:r>
              <w:rPr>
                <w:spacing w:val="-5"/>
                <w:highlight w:val="none"/>
              </w:rPr>
              <w:t>100-500</w:t>
            </w:r>
            <w:r>
              <w:rPr>
                <w:spacing w:val="-38"/>
                <w:highlight w:val="none"/>
              </w:rPr>
              <w:t xml:space="preserve"> </w:t>
            </w:r>
            <w:r>
              <w:rPr>
                <w:spacing w:val="-5"/>
                <w:highlight w:val="none"/>
              </w:rPr>
              <w:t>万元（含</w:t>
            </w:r>
            <w:r>
              <w:rPr>
                <w:spacing w:val="-46"/>
                <w:highlight w:val="none"/>
              </w:rPr>
              <w:t xml:space="preserve"> </w:t>
            </w:r>
            <w:r>
              <w:rPr>
                <w:spacing w:val="-5"/>
                <w:highlight w:val="none"/>
              </w:rPr>
              <w:t>500</w:t>
            </w:r>
            <w:r>
              <w:rPr>
                <w:spacing w:val="-45"/>
                <w:highlight w:val="none"/>
              </w:rPr>
              <w:t xml:space="preserve"> </w:t>
            </w:r>
            <w:r>
              <w:rPr>
                <w:spacing w:val="-5"/>
                <w:highlight w:val="none"/>
              </w:rPr>
              <w:t>万元）</w:t>
            </w:r>
          </w:p>
        </w:tc>
        <w:tc>
          <w:tcPr>
            <w:tcW w:w="1701" w:type="dxa"/>
          </w:tcPr>
          <w:p w14:paraId="3BDDA934">
            <w:pPr>
              <w:pStyle w:val="33"/>
              <w:spacing w:before="220" w:line="239" w:lineRule="auto"/>
              <w:ind w:left="518"/>
              <w:rPr>
                <w:highlight w:val="none"/>
              </w:rPr>
            </w:pPr>
            <w:r>
              <w:rPr>
                <w:spacing w:val="-5"/>
                <w:highlight w:val="none"/>
              </w:rPr>
              <w:t>1.00%</w:t>
            </w:r>
          </w:p>
        </w:tc>
        <w:tc>
          <w:tcPr>
            <w:tcW w:w="1482" w:type="dxa"/>
          </w:tcPr>
          <w:p w14:paraId="24A5751F">
            <w:pPr>
              <w:pStyle w:val="33"/>
              <w:spacing w:before="220" w:line="239" w:lineRule="auto"/>
              <w:ind w:left="517"/>
              <w:rPr>
                <w:highlight w:val="none"/>
              </w:rPr>
            </w:pPr>
            <w:r>
              <w:rPr>
                <w:spacing w:val="-5"/>
                <w:highlight w:val="none"/>
              </w:rPr>
              <w:t>1.20%</w:t>
            </w:r>
          </w:p>
        </w:tc>
        <w:tc>
          <w:tcPr>
            <w:tcW w:w="1778" w:type="dxa"/>
          </w:tcPr>
          <w:p w14:paraId="4DBD13C9">
            <w:pPr>
              <w:pStyle w:val="33"/>
              <w:spacing w:before="220" w:line="239" w:lineRule="auto"/>
              <w:ind w:left="521"/>
              <w:rPr>
                <w:highlight w:val="none"/>
              </w:rPr>
            </w:pPr>
            <w:r>
              <w:rPr>
                <w:spacing w:val="-5"/>
                <w:highlight w:val="none"/>
              </w:rPr>
              <w:t>1.20%</w:t>
            </w:r>
          </w:p>
        </w:tc>
      </w:tr>
      <w:tr w14:paraId="5ACB4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4143" w:type="dxa"/>
          </w:tcPr>
          <w:p w14:paraId="74667674">
            <w:pPr>
              <w:pStyle w:val="33"/>
              <w:spacing w:before="223" w:line="220" w:lineRule="auto"/>
              <w:ind w:left="508"/>
              <w:rPr>
                <w:highlight w:val="none"/>
              </w:rPr>
            </w:pPr>
            <w:r>
              <w:rPr>
                <w:spacing w:val="-5"/>
                <w:highlight w:val="none"/>
              </w:rPr>
              <w:t>500-1000</w:t>
            </w:r>
            <w:r>
              <w:rPr>
                <w:spacing w:val="-28"/>
                <w:highlight w:val="none"/>
              </w:rPr>
              <w:t xml:space="preserve"> </w:t>
            </w:r>
            <w:r>
              <w:rPr>
                <w:spacing w:val="-5"/>
                <w:highlight w:val="none"/>
              </w:rPr>
              <w:t>万元（含</w:t>
            </w:r>
            <w:r>
              <w:rPr>
                <w:spacing w:val="-33"/>
                <w:highlight w:val="none"/>
              </w:rPr>
              <w:t xml:space="preserve"> </w:t>
            </w:r>
            <w:r>
              <w:rPr>
                <w:spacing w:val="-5"/>
                <w:highlight w:val="none"/>
              </w:rPr>
              <w:t>1000</w:t>
            </w:r>
            <w:r>
              <w:rPr>
                <w:spacing w:val="-45"/>
                <w:highlight w:val="none"/>
              </w:rPr>
              <w:t xml:space="preserve"> </w:t>
            </w:r>
            <w:r>
              <w:rPr>
                <w:spacing w:val="-5"/>
                <w:highlight w:val="none"/>
              </w:rPr>
              <w:t>万元）</w:t>
            </w:r>
          </w:p>
        </w:tc>
        <w:tc>
          <w:tcPr>
            <w:tcW w:w="1701" w:type="dxa"/>
          </w:tcPr>
          <w:p w14:paraId="749AB59F">
            <w:pPr>
              <w:pStyle w:val="33"/>
              <w:spacing w:before="223" w:line="239" w:lineRule="auto"/>
              <w:ind w:left="502"/>
              <w:rPr>
                <w:highlight w:val="none"/>
              </w:rPr>
            </w:pPr>
            <w:r>
              <w:rPr>
                <w:spacing w:val="-2"/>
                <w:highlight w:val="none"/>
              </w:rPr>
              <w:t>0.70%</w:t>
            </w:r>
          </w:p>
        </w:tc>
        <w:tc>
          <w:tcPr>
            <w:tcW w:w="1482" w:type="dxa"/>
          </w:tcPr>
          <w:p w14:paraId="0A5604F1">
            <w:pPr>
              <w:pStyle w:val="33"/>
              <w:spacing w:before="223" w:line="239" w:lineRule="auto"/>
              <w:ind w:left="501"/>
              <w:rPr>
                <w:highlight w:val="none"/>
              </w:rPr>
            </w:pPr>
            <w:r>
              <w:rPr>
                <w:spacing w:val="-2"/>
                <w:highlight w:val="none"/>
              </w:rPr>
              <w:t>0.80%</w:t>
            </w:r>
          </w:p>
        </w:tc>
        <w:tc>
          <w:tcPr>
            <w:tcW w:w="1778" w:type="dxa"/>
          </w:tcPr>
          <w:p w14:paraId="6AB72C39">
            <w:pPr>
              <w:pStyle w:val="33"/>
              <w:spacing w:before="223" w:line="239" w:lineRule="auto"/>
              <w:ind w:left="505"/>
              <w:rPr>
                <w:highlight w:val="none"/>
              </w:rPr>
            </w:pPr>
            <w:r>
              <w:rPr>
                <w:spacing w:val="-2"/>
                <w:highlight w:val="none"/>
              </w:rPr>
              <w:t>0.70%</w:t>
            </w:r>
          </w:p>
        </w:tc>
      </w:tr>
      <w:tr w14:paraId="6065C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4143" w:type="dxa"/>
          </w:tcPr>
          <w:p w14:paraId="26455514">
            <w:pPr>
              <w:pStyle w:val="33"/>
              <w:spacing w:before="222" w:line="220" w:lineRule="auto"/>
              <w:ind w:left="521"/>
              <w:rPr>
                <w:highlight w:val="none"/>
              </w:rPr>
            </w:pPr>
            <w:r>
              <w:rPr>
                <w:spacing w:val="-4"/>
                <w:highlight w:val="none"/>
              </w:rPr>
              <w:t>1000-5000</w:t>
            </w:r>
            <w:r>
              <w:rPr>
                <w:spacing w:val="-43"/>
                <w:highlight w:val="none"/>
              </w:rPr>
              <w:t xml:space="preserve"> </w:t>
            </w:r>
            <w:r>
              <w:rPr>
                <w:spacing w:val="-4"/>
                <w:highlight w:val="none"/>
              </w:rPr>
              <w:t>万元（含</w:t>
            </w:r>
            <w:r>
              <w:rPr>
                <w:spacing w:val="-46"/>
                <w:highlight w:val="none"/>
              </w:rPr>
              <w:t xml:space="preserve"> </w:t>
            </w:r>
            <w:r>
              <w:rPr>
                <w:spacing w:val="-4"/>
                <w:highlight w:val="none"/>
              </w:rPr>
              <w:t>5000</w:t>
            </w:r>
            <w:r>
              <w:rPr>
                <w:spacing w:val="-45"/>
                <w:highlight w:val="none"/>
              </w:rPr>
              <w:t xml:space="preserve"> </w:t>
            </w:r>
            <w:r>
              <w:rPr>
                <w:spacing w:val="-4"/>
                <w:highlight w:val="none"/>
              </w:rPr>
              <w:t>万元）</w:t>
            </w:r>
          </w:p>
        </w:tc>
        <w:tc>
          <w:tcPr>
            <w:tcW w:w="1701" w:type="dxa"/>
          </w:tcPr>
          <w:p w14:paraId="446FED34">
            <w:pPr>
              <w:pStyle w:val="33"/>
              <w:spacing w:before="222" w:line="239" w:lineRule="auto"/>
              <w:ind w:left="502"/>
              <w:rPr>
                <w:highlight w:val="none"/>
              </w:rPr>
            </w:pPr>
            <w:r>
              <w:rPr>
                <w:spacing w:val="-3"/>
                <w:highlight w:val="none"/>
              </w:rPr>
              <w:t>0.40%</w:t>
            </w:r>
          </w:p>
        </w:tc>
        <w:tc>
          <w:tcPr>
            <w:tcW w:w="1482" w:type="dxa"/>
          </w:tcPr>
          <w:p w14:paraId="7E106274">
            <w:pPr>
              <w:pStyle w:val="33"/>
              <w:spacing w:before="222" w:line="239" w:lineRule="auto"/>
              <w:ind w:left="501"/>
              <w:rPr>
                <w:highlight w:val="none"/>
              </w:rPr>
            </w:pPr>
            <w:r>
              <w:rPr>
                <w:spacing w:val="-2"/>
                <w:highlight w:val="none"/>
              </w:rPr>
              <w:t>0.50%</w:t>
            </w:r>
          </w:p>
        </w:tc>
        <w:tc>
          <w:tcPr>
            <w:tcW w:w="1778" w:type="dxa"/>
          </w:tcPr>
          <w:p w14:paraId="5CB590FE">
            <w:pPr>
              <w:pStyle w:val="33"/>
              <w:spacing w:before="222" w:line="239" w:lineRule="auto"/>
              <w:ind w:left="505"/>
              <w:rPr>
                <w:highlight w:val="none"/>
              </w:rPr>
            </w:pPr>
            <w:r>
              <w:rPr>
                <w:spacing w:val="-3"/>
                <w:highlight w:val="none"/>
              </w:rPr>
              <w:t>0.40%</w:t>
            </w:r>
          </w:p>
        </w:tc>
      </w:tr>
    </w:tbl>
    <w:p w14:paraId="36FE05B8">
      <w:pPr>
        <w:spacing w:before="92"/>
        <w:rPr>
          <w:rFonts w:eastAsiaTheme="minorEastAsia"/>
          <w:highlight w:val="none"/>
          <w:lang w:eastAsia="zh-CN"/>
        </w:rPr>
      </w:pPr>
    </w:p>
    <w:tbl>
      <w:tblPr>
        <w:tblStyle w:val="32"/>
        <w:tblW w:w="91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43"/>
        <w:gridCol w:w="1701"/>
        <w:gridCol w:w="1482"/>
        <w:gridCol w:w="1778"/>
      </w:tblGrid>
      <w:tr w14:paraId="455CD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4143" w:type="dxa"/>
          </w:tcPr>
          <w:p w14:paraId="2DCF35EC">
            <w:pPr>
              <w:pStyle w:val="33"/>
              <w:spacing w:before="225" w:line="220" w:lineRule="auto"/>
              <w:ind w:left="508"/>
              <w:rPr>
                <w:highlight w:val="none"/>
              </w:rPr>
            </w:pPr>
            <w:r>
              <w:rPr>
                <w:spacing w:val="-5"/>
                <w:highlight w:val="none"/>
              </w:rPr>
              <w:t>5000</w:t>
            </w:r>
            <w:r>
              <w:rPr>
                <w:spacing w:val="-45"/>
                <w:highlight w:val="none"/>
              </w:rPr>
              <w:t xml:space="preserve"> </w:t>
            </w:r>
            <w:r>
              <w:rPr>
                <w:spacing w:val="-5"/>
                <w:highlight w:val="none"/>
              </w:rPr>
              <w:t>万元--1</w:t>
            </w:r>
            <w:r>
              <w:rPr>
                <w:spacing w:val="-50"/>
                <w:highlight w:val="none"/>
              </w:rPr>
              <w:t xml:space="preserve"> </w:t>
            </w:r>
            <w:r>
              <w:rPr>
                <w:spacing w:val="-5"/>
                <w:highlight w:val="none"/>
              </w:rPr>
              <w:t>亿元（含</w:t>
            </w:r>
            <w:r>
              <w:rPr>
                <w:spacing w:val="-33"/>
                <w:highlight w:val="none"/>
              </w:rPr>
              <w:t xml:space="preserve"> </w:t>
            </w:r>
            <w:r>
              <w:rPr>
                <w:spacing w:val="-5"/>
                <w:highlight w:val="none"/>
              </w:rPr>
              <w:t>1</w:t>
            </w:r>
            <w:r>
              <w:rPr>
                <w:spacing w:val="-49"/>
                <w:highlight w:val="none"/>
              </w:rPr>
              <w:t xml:space="preserve"> </w:t>
            </w:r>
            <w:r>
              <w:rPr>
                <w:spacing w:val="-5"/>
                <w:highlight w:val="none"/>
              </w:rPr>
              <w:t>亿元）</w:t>
            </w:r>
          </w:p>
        </w:tc>
        <w:tc>
          <w:tcPr>
            <w:tcW w:w="1701" w:type="dxa"/>
          </w:tcPr>
          <w:p w14:paraId="0DF83364">
            <w:pPr>
              <w:pStyle w:val="33"/>
              <w:spacing w:before="226" w:line="239" w:lineRule="auto"/>
              <w:ind w:left="502"/>
              <w:rPr>
                <w:highlight w:val="none"/>
              </w:rPr>
            </w:pPr>
            <w:r>
              <w:rPr>
                <w:spacing w:val="-2"/>
                <w:highlight w:val="none"/>
              </w:rPr>
              <w:t>0.25%</w:t>
            </w:r>
          </w:p>
        </w:tc>
        <w:tc>
          <w:tcPr>
            <w:tcW w:w="1482" w:type="dxa"/>
          </w:tcPr>
          <w:p w14:paraId="2B0FC90F">
            <w:pPr>
              <w:pStyle w:val="33"/>
              <w:spacing w:before="226" w:line="239" w:lineRule="auto"/>
              <w:ind w:left="501"/>
              <w:rPr>
                <w:highlight w:val="none"/>
              </w:rPr>
            </w:pPr>
            <w:r>
              <w:rPr>
                <w:spacing w:val="-2"/>
                <w:highlight w:val="none"/>
              </w:rPr>
              <w:t>0.30%</w:t>
            </w:r>
          </w:p>
        </w:tc>
        <w:tc>
          <w:tcPr>
            <w:tcW w:w="1778" w:type="dxa"/>
          </w:tcPr>
          <w:p w14:paraId="02DFA0CA">
            <w:pPr>
              <w:pStyle w:val="33"/>
              <w:spacing w:before="226" w:line="239" w:lineRule="auto"/>
              <w:ind w:left="505"/>
              <w:rPr>
                <w:highlight w:val="none"/>
              </w:rPr>
            </w:pPr>
            <w:r>
              <w:rPr>
                <w:spacing w:val="-2"/>
                <w:highlight w:val="none"/>
              </w:rPr>
              <w:t>0.25%</w:t>
            </w:r>
          </w:p>
        </w:tc>
      </w:tr>
      <w:tr w14:paraId="5CDB7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4143" w:type="dxa"/>
          </w:tcPr>
          <w:p w14:paraId="2ED484BD">
            <w:pPr>
              <w:pStyle w:val="33"/>
              <w:spacing w:before="219" w:line="220" w:lineRule="auto"/>
              <w:ind w:left="521"/>
              <w:rPr>
                <w:highlight w:val="none"/>
              </w:rPr>
            </w:pPr>
            <w:r>
              <w:rPr>
                <w:spacing w:val="-7"/>
                <w:highlight w:val="none"/>
              </w:rPr>
              <w:t>1</w:t>
            </w:r>
            <w:r>
              <w:rPr>
                <w:spacing w:val="-40"/>
                <w:highlight w:val="none"/>
              </w:rPr>
              <w:t xml:space="preserve"> </w:t>
            </w:r>
            <w:r>
              <w:rPr>
                <w:spacing w:val="-7"/>
                <w:highlight w:val="none"/>
              </w:rPr>
              <w:t>亿--5</w:t>
            </w:r>
            <w:r>
              <w:rPr>
                <w:spacing w:val="-49"/>
                <w:highlight w:val="none"/>
              </w:rPr>
              <w:t xml:space="preserve"> </w:t>
            </w:r>
            <w:r>
              <w:rPr>
                <w:spacing w:val="-7"/>
                <w:highlight w:val="none"/>
              </w:rPr>
              <w:t>亿元（含</w:t>
            </w:r>
            <w:r>
              <w:rPr>
                <w:spacing w:val="-46"/>
                <w:highlight w:val="none"/>
              </w:rPr>
              <w:t xml:space="preserve"> </w:t>
            </w:r>
            <w:r>
              <w:rPr>
                <w:spacing w:val="-7"/>
                <w:highlight w:val="none"/>
              </w:rPr>
              <w:t>5</w:t>
            </w:r>
            <w:r>
              <w:rPr>
                <w:spacing w:val="-49"/>
                <w:highlight w:val="none"/>
              </w:rPr>
              <w:t xml:space="preserve"> </w:t>
            </w:r>
            <w:r>
              <w:rPr>
                <w:spacing w:val="-7"/>
                <w:highlight w:val="none"/>
              </w:rPr>
              <w:t>亿元）</w:t>
            </w:r>
          </w:p>
        </w:tc>
        <w:tc>
          <w:tcPr>
            <w:tcW w:w="1701" w:type="dxa"/>
          </w:tcPr>
          <w:p w14:paraId="300D68C5">
            <w:pPr>
              <w:pStyle w:val="33"/>
              <w:spacing w:before="219" w:line="239" w:lineRule="auto"/>
              <w:ind w:left="502"/>
              <w:rPr>
                <w:highlight w:val="none"/>
              </w:rPr>
            </w:pPr>
            <w:r>
              <w:rPr>
                <w:spacing w:val="-1"/>
                <w:highlight w:val="none"/>
              </w:rPr>
              <w:t>0.10%</w:t>
            </w:r>
          </w:p>
        </w:tc>
        <w:tc>
          <w:tcPr>
            <w:tcW w:w="1482" w:type="dxa"/>
          </w:tcPr>
          <w:p w14:paraId="52437BAD">
            <w:pPr>
              <w:pStyle w:val="33"/>
              <w:spacing w:before="219" w:line="239" w:lineRule="auto"/>
              <w:ind w:left="501"/>
              <w:rPr>
                <w:highlight w:val="none"/>
              </w:rPr>
            </w:pPr>
            <w:r>
              <w:rPr>
                <w:spacing w:val="-1"/>
                <w:highlight w:val="none"/>
              </w:rPr>
              <w:t>0.10%</w:t>
            </w:r>
          </w:p>
        </w:tc>
        <w:tc>
          <w:tcPr>
            <w:tcW w:w="1778" w:type="dxa"/>
          </w:tcPr>
          <w:p w14:paraId="3DCD9F80">
            <w:pPr>
              <w:pStyle w:val="33"/>
              <w:spacing w:before="219" w:line="239" w:lineRule="auto"/>
              <w:ind w:left="505"/>
              <w:rPr>
                <w:highlight w:val="none"/>
              </w:rPr>
            </w:pPr>
            <w:r>
              <w:rPr>
                <w:spacing w:val="-1"/>
                <w:highlight w:val="none"/>
              </w:rPr>
              <w:t>0.10%</w:t>
            </w:r>
          </w:p>
        </w:tc>
      </w:tr>
      <w:tr w14:paraId="6915F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4143" w:type="dxa"/>
          </w:tcPr>
          <w:p w14:paraId="0961C6C0">
            <w:pPr>
              <w:pStyle w:val="33"/>
              <w:spacing w:before="222" w:line="220" w:lineRule="auto"/>
              <w:ind w:left="508"/>
              <w:rPr>
                <w:highlight w:val="none"/>
              </w:rPr>
            </w:pPr>
            <w:r>
              <w:rPr>
                <w:spacing w:val="-6"/>
                <w:highlight w:val="none"/>
              </w:rPr>
              <w:t>5</w:t>
            </w:r>
            <w:r>
              <w:rPr>
                <w:spacing w:val="-41"/>
                <w:highlight w:val="none"/>
              </w:rPr>
              <w:t xml:space="preserve"> </w:t>
            </w:r>
            <w:r>
              <w:rPr>
                <w:spacing w:val="-6"/>
                <w:highlight w:val="none"/>
              </w:rPr>
              <w:t>亿--10</w:t>
            </w:r>
            <w:r>
              <w:rPr>
                <w:spacing w:val="-49"/>
                <w:highlight w:val="none"/>
              </w:rPr>
              <w:t xml:space="preserve"> </w:t>
            </w:r>
            <w:r>
              <w:rPr>
                <w:spacing w:val="-6"/>
                <w:highlight w:val="none"/>
              </w:rPr>
              <w:t>亿元（含</w:t>
            </w:r>
            <w:r>
              <w:rPr>
                <w:spacing w:val="-33"/>
                <w:highlight w:val="none"/>
              </w:rPr>
              <w:t xml:space="preserve"> </w:t>
            </w:r>
            <w:r>
              <w:rPr>
                <w:spacing w:val="-6"/>
                <w:highlight w:val="none"/>
              </w:rPr>
              <w:t>10</w:t>
            </w:r>
            <w:r>
              <w:rPr>
                <w:spacing w:val="-49"/>
                <w:highlight w:val="none"/>
              </w:rPr>
              <w:t xml:space="preserve"> </w:t>
            </w:r>
            <w:r>
              <w:rPr>
                <w:spacing w:val="-6"/>
                <w:highlight w:val="none"/>
              </w:rPr>
              <w:t>亿元）</w:t>
            </w:r>
          </w:p>
        </w:tc>
        <w:tc>
          <w:tcPr>
            <w:tcW w:w="1701" w:type="dxa"/>
          </w:tcPr>
          <w:p w14:paraId="203C83E8">
            <w:pPr>
              <w:pStyle w:val="33"/>
              <w:spacing w:before="223" w:line="239" w:lineRule="auto"/>
              <w:ind w:left="502"/>
              <w:rPr>
                <w:highlight w:val="none"/>
              </w:rPr>
            </w:pPr>
            <w:r>
              <w:rPr>
                <w:spacing w:val="-2"/>
                <w:highlight w:val="none"/>
              </w:rPr>
              <w:t>0.045%</w:t>
            </w:r>
          </w:p>
        </w:tc>
        <w:tc>
          <w:tcPr>
            <w:tcW w:w="1482" w:type="dxa"/>
          </w:tcPr>
          <w:p w14:paraId="02695620">
            <w:pPr>
              <w:pStyle w:val="33"/>
              <w:spacing w:before="223" w:line="239" w:lineRule="auto"/>
              <w:ind w:left="501"/>
              <w:rPr>
                <w:highlight w:val="none"/>
              </w:rPr>
            </w:pPr>
            <w:r>
              <w:rPr>
                <w:spacing w:val="-2"/>
                <w:highlight w:val="none"/>
              </w:rPr>
              <w:t>0.045%</w:t>
            </w:r>
          </w:p>
        </w:tc>
        <w:tc>
          <w:tcPr>
            <w:tcW w:w="1778" w:type="dxa"/>
          </w:tcPr>
          <w:p w14:paraId="07D59A34">
            <w:pPr>
              <w:pStyle w:val="33"/>
              <w:spacing w:before="223" w:line="239" w:lineRule="auto"/>
              <w:ind w:left="505"/>
              <w:rPr>
                <w:highlight w:val="none"/>
              </w:rPr>
            </w:pPr>
            <w:r>
              <w:rPr>
                <w:spacing w:val="-2"/>
                <w:highlight w:val="none"/>
              </w:rPr>
              <w:t>0.045%</w:t>
            </w:r>
          </w:p>
        </w:tc>
      </w:tr>
      <w:tr w14:paraId="583EF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4143" w:type="dxa"/>
          </w:tcPr>
          <w:p w14:paraId="2E34CE05">
            <w:pPr>
              <w:pStyle w:val="33"/>
              <w:spacing w:before="221" w:line="220" w:lineRule="auto"/>
              <w:ind w:left="521"/>
              <w:rPr>
                <w:highlight w:val="none"/>
              </w:rPr>
            </w:pPr>
            <w:r>
              <w:rPr>
                <w:spacing w:val="-5"/>
                <w:highlight w:val="none"/>
              </w:rPr>
              <w:t>10</w:t>
            </w:r>
            <w:r>
              <w:rPr>
                <w:spacing w:val="-50"/>
                <w:highlight w:val="none"/>
              </w:rPr>
              <w:t xml:space="preserve"> </w:t>
            </w:r>
            <w:r>
              <w:rPr>
                <w:spacing w:val="-5"/>
                <w:highlight w:val="none"/>
              </w:rPr>
              <w:t>亿--50</w:t>
            </w:r>
            <w:r>
              <w:rPr>
                <w:spacing w:val="-50"/>
                <w:highlight w:val="none"/>
              </w:rPr>
              <w:t xml:space="preserve"> </w:t>
            </w:r>
            <w:r>
              <w:rPr>
                <w:spacing w:val="-5"/>
                <w:highlight w:val="none"/>
              </w:rPr>
              <w:t>亿元（含</w:t>
            </w:r>
            <w:r>
              <w:rPr>
                <w:spacing w:val="-46"/>
                <w:highlight w:val="none"/>
              </w:rPr>
              <w:t xml:space="preserve"> </w:t>
            </w:r>
            <w:r>
              <w:rPr>
                <w:spacing w:val="-5"/>
                <w:highlight w:val="none"/>
              </w:rPr>
              <w:t>50</w:t>
            </w:r>
            <w:r>
              <w:rPr>
                <w:spacing w:val="-49"/>
                <w:highlight w:val="none"/>
              </w:rPr>
              <w:t xml:space="preserve"> </w:t>
            </w:r>
            <w:r>
              <w:rPr>
                <w:spacing w:val="-5"/>
                <w:highlight w:val="none"/>
              </w:rPr>
              <w:t>亿元）</w:t>
            </w:r>
          </w:p>
        </w:tc>
        <w:tc>
          <w:tcPr>
            <w:tcW w:w="1701" w:type="dxa"/>
          </w:tcPr>
          <w:p w14:paraId="69C25DFF">
            <w:pPr>
              <w:pStyle w:val="33"/>
              <w:spacing w:before="221" w:line="239" w:lineRule="auto"/>
              <w:ind w:left="502"/>
              <w:rPr>
                <w:highlight w:val="none"/>
              </w:rPr>
            </w:pPr>
            <w:r>
              <w:rPr>
                <w:spacing w:val="-2"/>
                <w:highlight w:val="none"/>
              </w:rPr>
              <w:t>0.010%</w:t>
            </w:r>
          </w:p>
        </w:tc>
        <w:tc>
          <w:tcPr>
            <w:tcW w:w="1482" w:type="dxa"/>
          </w:tcPr>
          <w:p w14:paraId="35A1D14D">
            <w:pPr>
              <w:pStyle w:val="33"/>
              <w:spacing w:before="221" w:line="239" w:lineRule="auto"/>
              <w:ind w:left="501"/>
              <w:rPr>
                <w:highlight w:val="none"/>
              </w:rPr>
            </w:pPr>
            <w:r>
              <w:rPr>
                <w:spacing w:val="-2"/>
                <w:highlight w:val="none"/>
              </w:rPr>
              <w:t>0.010%</w:t>
            </w:r>
          </w:p>
        </w:tc>
        <w:tc>
          <w:tcPr>
            <w:tcW w:w="1778" w:type="dxa"/>
          </w:tcPr>
          <w:p w14:paraId="30FD837A">
            <w:pPr>
              <w:pStyle w:val="33"/>
              <w:spacing w:before="221" w:line="239" w:lineRule="auto"/>
              <w:ind w:left="505"/>
              <w:rPr>
                <w:highlight w:val="none"/>
              </w:rPr>
            </w:pPr>
            <w:r>
              <w:rPr>
                <w:spacing w:val="-2"/>
                <w:highlight w:val="none"/>
              </w:rPr>
              <w:t>0.010%</w:t>
            </w:r>
          </w:p>
        </w:tc>
      </w:tr>
      <w:tr w14:paraId="109C2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4143" w:type="dxa"/>
          </w:tcPr>
          <w:p w14:paraId="653312A6">
            <w:pPr>
              <w:pStyle w:val="33"/>
              <w:spacing w:before="224" w:line="220" w:lineRule="auto"/>
              <w:ind w:left="508"/>
              <w:rPr>
                <w:highlight w:val="none"/>
              </w:rPr>
            </w:pPr>
            <w:r>
              <w:rPr>
                <w:spacing w:val="-5"/>
                <w:highlight w:val="none"/>
              </w:rPr>
              <w:t>50</w:t>
            </w:r>
            <w:r>
              <w:rPr>
                <w:spacing w:val="-41"/>
                <w:highlight w:val="none"/>
              </w:rPr>
              <w:t xml:space="preserve"> </w:t>
            </w:r>
            <w:r>
              <w:rPr>
                <w:spacing w:val="-5"/>
                <w:highlight w:val="none"/>
              </w:rPr>
              <w:t>亿--100</w:t>
            </w:r>
            <w:r>
              <w:rPr>
                <w:spacing w:val="-49"/>
                <w:highlight w:val="none"/>
              </w:rPr>
              <w:t xml:space="preserve"> </w:t>
            </w:r>
            <w:r>
              <w:rPr>
                <w:spacing w:val="-5"/>
                <w:highlight w:val="none"/>
              </w:rPr>
              <w:t>亿元（含</w:t>
            </w:r>
            <w:r>
              <w:rPr>
                <w:spacing w:val="-33"/>
                <w:highlight w:val="none"/>
              </w:rPr>
              <w:t xml:space="preserve"> </w:t>
            </w:r>
            <w:r>
              <w:rPr>
                <w:spacing w:val="-5"/>
                <w:highlight w:val="none"/>
              </w:rPr>
              <w:t>100</w:t>
            </w:r>
            <w:r>
              <w:rPr>
                <w:spacing w:val="-49"/>
                <w:highlight w:val="none"/>
              </w:rPr>
              <w:t xml:space="preserve"> </w:t>
            </w:r>
            <w:r>
              <w:rPr>
                <w:spacing w:val="-5"/>
                <w:highlight w:val="none"/>
              </w:rPr>
              <w:t>亿元）</w:t>
            </w:r>
          </w:p>
        </w:tc>
        <w:tc>
          <w:tcPr>
            <w:tcW w:w="1701" w:type="dxa"/>
          </w:tcPr>
          <w:p w14:paraId="6599A982">
            <w:pPr>
              <w:pStyle w:val="33"/>
              <w:spacing w:before="225" w:line="239" w:lineRule="auto"/>
              <w:ind w:left="502"/>
              <w:rPr>
                <w:highlight w:val="none"/>
              </w:rPr>
            </w:pPr>
            <w:r>
              <w:rPr>
                <w:spacing w:val="-2"/>
                <w:highlight w:val="none"/>
              </w:rPr>
              <w:t>0.008%</w:t>
            </w:r>
          </w:p>
        </w:tc>
        <w:tc>
          <w:tcPr>
            <w:tcW w:w="1482" w:type="dxa"/>
          </w:tcPr>
          <w:p w14:paraId="50F811DB">
            <w:pPr>
              <w:pStyle w:val="33"/>
              <w:spacing w:before="225" w:line="239" w:lineRule="auto"/>
              <w:ind w:left="501"/>
              <w:rPr>
                <w:highlight w:val="none"/>
              </w:rPr>
            </w:pPr>
            <w:r>
              <w:rPr>
                <w:spacing w:val="-2"/>
                <w:highlight w:val="none"/>
              </w:rPr>
              <w:t>0.008%</w:t>
            </w:r>
          </w:p>
        </w:tc>
        <w:tc>
          <w:tcPr>
            <w:tcW w:w="1778" w:type="dxa"/>
          </w:tcPr>
          <w:p w14:paraId="57483BA9">
            <w:pPr>
              <w:pStyle w:val="33"/>
              <w:spacing w:before="225" w:line="239" w:lineRule="auto"/>
              <w:ind w:left="505"/>
              <w:rPr>
                <w:highlight w:val="none"/>
              </w:rPr>
            </w:pPr>
            <w:r>
              <w:rPr>
                <w:spacing w:val="-2"/>
                <w:highlight w:val="none"/>
              </w:rPr>
              <w:t>0.008%</w:t>
            </w:r>
          </w:p>
        </w:tc>
      </w:tr>
      <w:tr w14:paraId="2B4BA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4143" w:type="dxa"/>
          </w:tcPr>
          <w:p w14:paraId="029212BC">
            <w:pPr>
              <w:pStyle w:val="33"/>
              <w:spacing w:before="224" w:line="220" w:lineRule="auto"/>
              <w:ind w:left="521"/>
              <w:rPr>
                <w:highlight w:val="none"/>
              </w:rPr>
            </w:pPr>
            <w:r>
              <w:rPr>
                <w:spacing w:val="-5"/>
                <w:highlight w:val="none"/>
              </w:rPr>
              <w:t>100</w:t>
            </w:r>
            <w:r>
              <w:rPr>
                <w:spacing w:val="-50"/>
                <w:highlight w:val="none"/>
              </w:rPr>
              <w:t xml:space="preserve"> </w:t>
            </w:r>
            <w:r>
              <w:rPr>
                <w:spacing w:val="-5"/>
                <w:highlight w:val="none"/>
              </w:rPr>
              <w:t>亿元以上</w:t>
            </w:r>
          </w:p>
        </w:tc>
        <w:tc>
          <w:tcPr>
            <w:tcW w:w="1701" w:type="dxa"/>
          </w:tcPr>
          <w:p w14:paraId="0A6CC660">
            <w:pPr>
              <w:pStyle w:val="33"/>
              <w:spacing w:before="223" w:line="239" w:lineRule="auto"/>
              <w:ind w:left="502"/>
              <w:rPr>
                <w:highlight w:val="none"/>
              </w:rPr>
            </w:pPr>
            <w:r>
              <w:rPr>
                <w:spacing w:val="-2"/>
                <w:highlight w:val="none"/>
              </w:rPr>
              <w:t>0.004%</w:t>
            </w:r>
          </w:p>
        </w:tc>
        <w:tc>
          <w:tcPr>
            <w:tcW w:w="1482" w:type="dxa"/>
          </w:tcPr>
          <w:p w14:paraId="4DAADF24">
            <w:pPr>
              <w:pStyle w:val="33"/>
              <w:spacing w:before="223" w:line="239" w:lineRule="auto"/>
              <w:ind w:left="501"/>
              <w:rPr>
                <w:highlight w:val="none"/>
              </w:rPr>
            </w:pPr>
            <w:r>
              <w:rPr>
                <w:spacing w:val="-2"/>
                <w:highlight w:val="none"/>
              </w:rPr>
              <w:t>0.004%</w:t>
            </w:r>
          </w:p>
        </w:tc>
        <w:tc>
          <w:tcPr>
            <w:tcW w:w="1778" w:type="dxa"/>
          </w:tcPr>
          <w:p w14:paraId="75B8FABB">
            <w:pPr>
              <w:pStyle w:val="33"/>
              <w:spacing w:before="223" w:line="239" w:lineRule="auto"/>
              <w:ind w:left="505"/>
              <w:rPr>
                <w:highlight w:val="none"/>
              </w:rPr>
            </w:pPr>
            <w:r>
              <w:rPr>
                <w:spacing w:val="-2"/>
                <w:highlight w:val="none"/>
              </w:rPr>
              <w:t>0.004%</w:t>
            </w:r>
          </w:p>
        </w:tc>
      </w:tr>
    </w:tbl>
    <w:p w14:paraId="423A86AD">
      <w:pPr>
        <w:pStyle w:val="4"/>
        <w:spacing w:line="241" w:lineRule="auto"/>
        <w:rPr>
          <w:highlight w:val="none"/>
        </w:rPr>
      </w:pPr>
    </w:p>
    <w:p w14:paraId="785B1521">
      <w:pPr>
        <w:pStyle w:val="4"/>
        <w:spacing w:line="241" w:lineRule="auto"/>
        <w:rPr>
          <w:highlight w:val="none"/>
        </w:rPr>
      </w:pPr>
    </w:p>
    <w:p w14:paraId="771D1050">
      <w:pPr>
        <w:spacing w:before="78" w:line="357" w:lineRule="auto"/>
        <w:ind w:left="31" w:right="89" w:firstLine="477"/>
        <w:rPr>
          <w:rFonts w:ascii="宋体" w:hAnsi="宋体" w:eastAsia="宋体" w:cs="宋体"/>
          <w:sz w:val="24"/>
          <w:szCs w:val="24"/>
          <w:highlight w:val="none"/>
          <w:lang w:eastAsia="zh-CN"/>
        </w:rPr>
      </w:pPr>
      <w:r>
        <w:rPr>
          <w:rFonts w:ascii="宋体" w:hAnsi="宋体" w:eastAsia="宋体" w:cs="宋体"/>
          <w:spacing w:val="-6"/>
          <w:sz w:val="24"/>
          <w:szCs w:val="24"/>
          <w:highlight w:val="none"/>
          <w:lang w:eastAsia="zh-CN"/>
        </w:rPr>
        <w:t>注：1.按本表费率计算的收费金额为招标代理服务费的基准价格，不含工程量清单、</w:t>
      </w:r>
      <w:r>
        <w:rPr>
          <w:rFonts w:ascii="宋体" w:hAnsi="宋体" w:eastAsia="宋体" w:cs="宋体"/>
          <w:spacing w:val="-2"/>
          <w:sz w:val="24"/>
          <w:szCs w:val="24"/>
          <w:highlight w:val="none"/>
          <w:lang w:eastAsia="zh-CN"/>
        </w:rPr>
        <w:t>最高投标限价（招标控制价）或标底的编制费</w:t>
      </w:r>
      <w:r>
        <w:rPr>
          <w:rFonts w:ascii="宋体" w:hAnsi="宋体" w:eastAsia="宋体" w:cs="宋体"/>
          <w:spacing w:val="-3"/>
          <w:sz w:val="24"/>
          <w:szCs w:val="24"/>
          <w:highlight w:val="none"/>
          <w:lang w:eastAsia="zh-CN"/>
        </w:rPr>
        <w:t>用。</w:t>
      </w:r>
    </w:p>
    <w:p w14:paraId="445DC274">
      <w:pPr>
        <w:spacing w:line="219" w:lineRule="auto"/>
        <w:ind w:left="511"/>
        <w:rPr>
          <w:rFonts w:ascii="宋体" w:hAnsi="宋体" w:eastAsia="宋体" w:cs="宋体"/>
          <w:sz w:val="24"/>
          <w:szCs w:val="24"/>
          <w:highlight w:val="none"/>
          <w:lang w:eastAsia="zh-CN"/>
        </w:rPr>
      </w:pPr>
      <w:r>
        <w:rPr>
          <w:rFonts w:ascii="宋体" w:hAnsi="宋体" w:eastAsia="宋体" w:cs="宋体"/>
          <w:spacing w:val="-3"/>
          <w:sz w:val="24"/>
          <w:szCs w:val="24"/>
          <w:highlight w:val="none"/>
          <w:lang w:eastAsia="zh-CN"/>
        </w:rPr>
        <w:t>2.招标代理服务收费按差额定率累进法计算。</w:t>
      </w:r>
    </w:p>
    <w:p w14:paraId="753A6D35">
      <w:pPr>
        <w:spacing w:before="177" w:line="218" w:lineRule="auto"/>
        <w:ind w:left="508"/>
        <w:rPr>
          <w:rFonts w:ascii="宋体" w:hAnsi="宋体" w:eastAsia="宋体" w:cs="宋体"/>
          <w:sz w:val="24"/>
          <w:szCs w:val="24"/>
          <w:highlight w:val="none"/>
          <w:lang w:eastAsia="zh-CN"/>
        </w:rPr>
      </w:pPr>
      <w:r>
        <w:rPr>
          <w:rFonts w:ascii="宋体" w:hAnsi="宋体" w:eastAsia="宋体" w:cs="宋体"/>
          <w:spacing w:val="-3"/>
          <w:sz w:val="24"/>
          <w:szCs w:val="24"/>
          <w:highlight w:val="none"/>
          <w:lang w:eastAsia="zh-CN"/>
        </w:rPr>
        <w:t>例如: 某工程招标代理业务，项目预算金额（招标控制价）为</w:t>
      </w:r>
      <w:r>
        <w:rPr>
          <w:rFonts w:ascii="宋体" w:hAnsi="宋体" w:eastAsia="宋体" w:cs="宋体"/>
          <w:spacing w:val="-15"/>
          <w:sz w:val="24"/>
          <w:szCs w:val="24"/>
          <w:highlight w:val="none"/>
          <w:lang w:eastAsia="zh-CN"/>
        </w:rPr>
        <w:t xml:space="preserve"> </w:t>
      </w:r>
      <w:r>
        <w:rPr>
          <w:rFonts w:ascii="宋体" w:hAnsi="宋体" w:eastAsia="宋体" w:cs="宋体"/>
          <w:spacing w:val="-3"/>
          <w:sz w:val="24"/>
          <w:szCs w:val="24"/>
          <w:highlight w:val="none"/>
          <w:lang w:eastAsia="zh-CN"/>
        </w:rPr>
        <w:t>10000</w:t>
      </w:r>
      <w:r>
        <w:rPr>
          <w:rFonts w:ascii="宋体" w:hAnsi="宋体" w:eastAsia="宋体" w:cs="宋体"/>
          <w:spacing w:val="-44"/>
          <w:sz w:val="24"/>
          <w:szCs w:val="24"/>
          <w:highlight w:val="none"/>
          <w:lang w:eastAsia="zh-CN"/>
        </w:rPr>
        <w:t xml:space="preserve"> </w:t>
      </w:r>
      <w:r>
        <w:rPr>
          <w:rFonts w:ascii="宋体" w:hAnsi="宋体" w:eastAsia="宋体" w:cs="宋体"/>
          <w:spacing w:val="-3"/>
          <w:sz w:val="24"/>
          <w:szCs w:val="24"/>
          <w:highlight w:val="none"/>
          <w:lang w:eastAsia="zh-CN"/>
        </w:rPr>
        <w:t>万元，招标代</w:t>
      </w:r>
    </w:p>
    <w:p w14:paraId="1F1DAE73">
      <w:pPr>
        <w:spacing w:before="181" w:line="220" w:lineRule="auto"/>
        <w:ind w:left="31"/>
        <w:rPr>
          <w:rFonts w:ascii="宋体" w:hAnsi="宋体" w:eastAsia="宋体" w:cs="宋体"/>
          <w:sz w:val="24"/>
          <w:szCs w:val="24"/>
          <w:highlight w:val="none"/>
          <w:lang w:eastAsia="zh-CN"/>
        </w:rPr>
      </w:pPr>
      <w:r>
        <w:rPr>
          <w:rFonts w:ascii="宋体" w:hAnsi="宋体" w:eastAsia="宋体" w:cs="宋体"/>
          <w:spacing w:val="3"/>
          <w:sz w:val="24"/>
          <w:szCs w:val="24"/>
          <w:highlight w:val="none"/>
          <w:lang w:eastAsia="zh-CN"/>
        </w:rPr>
        <w:t>理服务收费计算如下:</w:t>
      </w:r>
    </w:p>
    <w:p w14:paraId="3917CDB6">
      <w:pPr>
        <w:spacing w:before="178" w:line="220" w:lineRule="auto"/>
        <w:ind w:left="646"/>
        <w:rPr>
          <w:rFonts w:ascii="宋体" w:hAnsi="宋体" w:eastAsia="宋体" w:cs="宋体"/>
          <w:sz w:val="24"/>
          <w:szCs w:val="24"/>
          <w:highlight w:val="none"/>
          <w:lang w:eastAsia="zh-CN"/>
        </w:rPr>
      </w:pPr>
      <w:r>
        <w:rPr>
          <w:rFonts w:ascii="宋体" w:hAnsi="宋体" w:eastAsia="宋体" w:cs="宋体"/>
          <w:spacing w:val="-4"/>
          <w:sz w:val="24"/>
          <w:szCs w:val="24"/>
          <w:highlight w:val="none"/>
          <w:lang w:eastAsia="zh-CN"/>
        </w:rPr>
        <w:t>100</w:t>
      </w:r>
      <w:r>
        <w:rPr>
          <w:rFonts w:ascii="宋体" w:hAnsi="宋体" w:eastAsia="宋体" w:cs="宋体"/>
          <w:spacing w:val="-32"/>
          <w:sz w:val="24"/>
          <w:szCs w:val="24"/>
          <w:highlight w:val="none"/>
          <w:lang w:eastAsia="zh-CN"/>
        </w:rPr>
        <w:t xml:space="preserve"> </w:t>
      </w:r>
      <w:r>
        <w:rPr>
          <w:rFonts w:ascii="宋体" w:hAnsi="宋体" w:eastAsia="宋体" w:cs="宋体"/>
          <w:spacing w:val="-4"/>
          <w:sz w:val="24"/>
          <w:szCs w:val="24"/>
          <w:highlight w:val="none"/>
          <w:lang w:eastAsia="zh-CN"/>
        </w:rPr>
        <w:t>万元×1.2%=1.2</w:t>
      </w:r>
      <w:r>
        <w:rPr>
          <w:rFonts w:ascii="宋体" w:hAnsi="宋体" w:eastAsia="宋体" w:cs="宋体"/>
          <w:spacing w:val="-44"/>
          <w:sz w:val="24"/>
          <w:szCs w:val="24"/>
          <w:highlight w:val="none"/>
          <w:lang w:eastAsia="zh-CN"/>
        </w:rPr>
        <w:t xml:space="preserve"> </w:t>
      </w:r>
      <w:r>
        <w:rPr>
          <w:rFonts w:ascii="宋体" w:hAnsi="宋体" w:eastAsia="宋体" w:cs="宋体"/>
          <w:spacing w:val="-4"/>
          <w:sz w:val="24"/>
          <w:szCs w:val="24"/>
          <w:highlight w:val="none"/>
          <w:lang w:eastAsia="zh-CN"/>
        </w:rPr>
        <w:t>万元</w:t>
      </w:r>
    </w:p>
    <w:p w14:paraId="69BCA923">
      <w:pPr>
        <w:spacing w:before="177" w:line="220" w:lineRule="auto"/>
        <w:ind w:left="515"/>
        <w:rPr>
          <w:rFonts w:ascii="宋体" w:hAnsi="宋体" w:eastAsia="宋体" w:cs="宋体"/>
          <w:sz w:val="24"/>
          <w:szCs w:val="24"/>
          <w:highlight w:val="none"/>
        </w:rPr>
      </w:pPr>
      <w:r>
        <w:rPr>
          <w:rFonts w:ascii="宋体" w:hAnsi="宋体" w:eastAsia="宋体" w:cs="宋体"/>
          <w:spacing w:val="-2"/>
          <w:sz w:val="24"/>
          <w:szCs w:val="24"/>
          <w:highlight w:val="none"/>
        </w:rPr>
        <w:t>（500-100）万元×1.0%=4</w:t>
      </w:r>
      <w:r>
        <w:rPr>
          <w:rFonts w:ascii="宋体" w:hAnsi="宋体" w:eastAsia="宋体" w:cs="宋体"/>
          <w:spacing w:val="-29"/>
          <w:sz w:val="24"/>
          <w:szCs w:val="24"/>
          <w:highlight w:val="none"/>
        </w:rPr>
        <w:t xml:space="preserve"> </w:t>
      </w:r>
      <w:r>
        <w:rPr>
          <w:rFonts w:ascii="宋体" w:hAnsi="宋体" w:eastAsia="宋体" w:cs="宋体"/>
          <w:spacing w:val="-2"/>
          <w:sz w:val="24"/>
          <w:szCs w:val="24"/>
          <w:highlight w:val="none"/>
        </w:rPr>
        <w:t>万元</w:t>
      </w:r>
    </w:p>
    <w:p w14:paraId="6D4FDAB1">
      <w:pPr>
        <w:spacing w:before="180" w:line="220" w:lineRule="auto"/>
        <w:ind w:left="515"/>
        <w:rPr>
          <w:rFonts w:ascii="宋体" w:hAnsi="宋体" w:eastAsia="宋体" w:cs="宋体"/>
          <w:sz w:val="24"/>
          <w:szCs w:val="24"/>
          <w:highlight w:val="none"/>
        </w:rPr>
      </w:pPr>
      <w:r>
        <w:rPr>
          <w:rFonts w:ascii="宋体" w:hAnsi="宋体" w:eastAsia="宋体" w:cs="宋体"/>
          <w:spacing w:val="-4"/>
          <w:sz w:val="24"/>
          <w:szCs w:val="24"/>
          <w:highlight w:val="none"/>
        </w:rPr>
        <w:t>（1000-500）</w:t>
      </w:r>
      <w:r>
        <w:rPr>
          <w:rFonts w:ascii="宋体" w:hAnsi="宋体" w:eastAsia="宋体" w:cs="宋体"/>
          <w:spacing w:val="-61"/>
          <w:sz w:val="24"/>
          <w:szCs w:val="24"/>
          <w:highlight w:val="none"/>
        </w:rPr>
        <w:t xml:space="preserve"> </w:t>
      </w:r>
      <w:r>
        <w:rPr>
          <w:rFonts w:ascii="宋体" w:hAnsi="宋体" w:eastAsia="宋体" w:cs="宋体"/>
          <w:spacing w:val="-4"/>
          <w:sz w:val="24"/>
          <w:szCs w:val="24"/>
          <w:highlight w:val="none"/>
        </w:rPr>
        <w:t>×0.7%=3.5</w:t>
      </w:r>
      <w:r>
        <w:rPr>
          <w:rFonts w:ascii="宋体" w:hAnsi="宋体" w:eastAsia="宋体" w:cs="宋体"/>
          <w:spacing w:val="-44"/>
          <w:sz w:val="24"/>
          <w:szCs w:val="24"/>
          <w:highlight w:val="none"/>
        </w:rPr>
        <w:t xml:space="preserve"> </w:t>
      </w:r>
      <w:r>
        <w:rPr>
          <w:rFonts w:ascii="宋体" w:hAnsi="宋体" w:eastAsia="宋体" w:cs="宋体"/>
          <w:spacing w:val="-4"/>
          <w:sz w:val="24"/>
          <w:szCs w:val="24"/>
          <w:highlight w:val="none"/>
        </w:rPr>
        <w:t>万元</w:t>
      </w:r>
    </w:p>
    <w:p w14:paraId="6272CE65">
      <w:pPr>
        <w:spacing w:before="177" w:line="220" w:lineRule="auto"/>
        <w:ind w:left="515"/>
        <w:rPr>
          <w:rFonts w:ascii="宋体" w:hAnsi="宋体" w:eastAsia="宋体" w:cs="宋体"/>
          <w:sz w:val="24"/>
          <w:szCs w:val="24"/>
          <w:highlight w:val="none"/>
          <w:lang w:eastAsia="zh-CN"/>
        </w:rPr>
      </w:pPr>
      <w:r>
        <w:rPr>
          <w:rFonts w:ascii="宋体" w:hAnsi="宋体" w:eastAsia="宋体" w:cs="宋体"/>
          <w:spacing w:val="-4"/>
          <w:sz w:val="24"/>
          <w:szCs w:val="24"/>
          <w:highlight w:val="none"/>
          <w:lang w:eastAsia="zh-CN"/>
        </w:rPr>
        <w:t>（5000-1000）</w:t>
      </w:r>
      <w:r>
        <w:rPr>
          <w:rFonts w:ascii="宋体" w:hAnsi="宋体" w:eastAsia="宋体" w:cs="宋体"/>
          <w:spacing w:val="-61"/>
          <w:sz w:val="24"/>
          <w:szCs w:val="24"/>
          <w:highlight w:val="none"/>
          <w:lang w:eastAsia="zh-CN"/>
        </w:rPr>
        <w:t xml:space="preserve"> </w:t>
      </w:r>
      <w:r>
        <w:rPr>
          <w:rFonts w:ascii="宋体" w:hAnsi="宋体" w:eastAsia="宋体" w:cs="宋体"/>
          <w:spacing w:val="-4"/>
          <w:sz w:val="24"/>
          <w:szCs w:val="24"/>
          <w:highlight w:val="none"/>
          <w:lang w:eastAsia="zh-CN"/>
        </w:rPr>
        <w:t>×0.4%=16</w:t>
      </w:r>
      <w:r>
        <w:rPr>
          <w:rFonts w:ascii="宋体" w:hAnsi="宋体" w:eastAsia="宋体" w:cs="宋体"/>
          <w:spacing w:val="-44"/>
          <w:sz w:val="24"/>
          <w:szCs w:val="24"/>
          <w:highlight w:val="none"/>
          <w:lang w:eastAsia="zh-CN"/>
        </w:rPr>
        <w:t xml:space="preserve"> </w:t>
      </w:r>
      <w:r>
        <w:rPr>
          <w:rFonts w:ascii="宋体" w:hAnsi="宋体" w:eastAsia="宋体" w:cs="宋体"/>
          <w:spacing w:val="-4"/>
          <w:sz w:val="24"/>
          <w:szCs w:val="24"/>
          <w:highlight w:val="none"/>
          <w:lang w:eastAsia="zh-CN"/>
        </w:rPr>
        <w:t>万元</w:t>
      </w:r>
    </w:p>
    <w:p w14:paraId="4AB3AEC5">
      <w:pPr>
        <w:spacing w:before="177" w:line="220" w:lineRule="auto"/>
        <w:ind w:left="515"/>
        <w:rPr>
          <w:rFonts w:ascii="宋体" w:hAnsi="宋体" w:eastAsia="宋体" w:cs="宋体"/>
          <w:sz w:val="24"/>
          <w:szCs w:val="24"/>
          <w:highlight w:val="none"/>
          <w:lang w:eastAsia="zh-CN"/>
        </w:rPr>
      </w:pPr>
      <w:r>
        <w:rPr>
          <w:rFonts w:ascii="宋体" w:hAnsi="宋体" w:eastAsia="宋体" w:cs="宋体"/>
          <w:spacing w:val="-1"/>
          <w:sz w:val="24"/>
          <w:szCs w:val="24"/>
          <w:highlight w:val="none"/>
          <w:lang w:eastAsia="zh-CN"/>
        </w:rPr>
        <w:t>（10000-5000）</w:t>
      </w:r>
      <w:r>
        <w:rPr>
          <w:rFonts w:ascii="宋体" w:hAnsi="宋体" w:eastAsia="宋体" w:cs="宋体"/>
          <w:spacing w:val="-77"/>
          <w:sz w:val="24"/>
          <w:szCs w:val="24"/>
          <w:highlight w:val="none"/>
          <w:lang w:eastAsia="zh-CN"/>
        </w:rPr>
        <w:t xml:space="preserve"> </w:t>
      </w:r>
      <w:r>
        <w:rPr>
          <w:rFonts w:ascii="宋体" w:hAnsi="宋体" w:eastAsia="宋体" w:cs="宋体"/>
          <w:spacing w:val="-1"/>
          <w:sz w:val="24"/>
          <w:szCs w:val="24"/>
          <w:highlight w:val="none"/>
          <w:lang w:eastAsia="zh-CN"/>
        </w:rPr>
        <w:t>×0.25%=12.5</w:t>
      </w:r>
      <w:r>
        <w:rPr>
          <w:rFonts w:ascii="宋体" w:hAnsi="宋体" w:eastAsia="宋体" w:cs="宋体"/>
          <w:spacing w:val="-44"/>
          <w:sz w:val="24"/>
          <w:szCs w:val="24"/>
          <w:highlight w:val="none"/>
          <w:lang w:eastAsia="zh-CN"/>
        </w:rPr>
        <w:t xml:space="preserve"> </w:t>
      </w:r>
      <w:r>
        <w:rPr>
          <w:rFonts w:ascii="宋体" w:hAnsi="宋体" w:eastAsia="宋体" w:cs="宋体"/>
          <w:spacing w:val="-1"/>
          <w:sz w:val="24"/>
          <w:szCs w:val="24"/>
          <w:highlight w:val="none"/>
          <w:lang w:eastAsia="zh-CN"/>
        </w:rPr>
        <w:t>万元</w:t>
      </w:r>
      <w:r>
        <w:rPr>
          <w:rFonts w:ascii="宋体" w:hAnsi="宋体" w:eastAsia="宋体" w:cs="宋体"/>
          <w:spacing w:val="-2"/>
          <w:sz w:val="24"/>
          <w:szCs w:val="24"/>
          <w:highlight w:val="none"/>
          <w:lang w:eastAsia="zh-CN"/>
        </w:rPr>
        <w:t>合计收费=1.2+4+3.5+16+12.5=37.2</w:t>
      </w:r>
      <w:r>
        <w:rPr>
          <w:rFonts w:ascii="宋体" w:hAnsi="宋体" w:eastAsia="宋体" w:cs="宋体"/>
          <w:spacing w:val="-44"/>
          <w:sz w:val="24"/>
          <w:szCs w:val="24"/>
          <w:highlight w:val="none"/>
          <w:lang w:eastAsia="zh-CN"/>
        </w:rPr>
        <w:t xml:space="preserve"> </w:t>
      </w:r>
      <w:r>
        <w:rPr>
          <w:rFonts w:ascii="宋体" w:hAnsi="宋体" w:eastAsia="宋体" w:cs="宋体"/>
          <w:spacing w:val="-2"/>
          <w:sz w:val="24"/>
          <w:szCs w:val="24"/>
          <w:highlight w:val="none"/>
          <w:lang w:eastAsia="zh-CN"/>
        </w:rPr>
        <w:t>万元</w:t>
      </w:r>
    </w:p>
    <w:p w14:paraId="3A6A4D24">
      <w:pPr>
        <w:spacing w:before="182" w:line="220" w:lineRule="auto"/>
        <w:ind w:left="3608"/>
        <w:rPr>
          <w:rFonts w:ascii="宋体" w:hAnsi="宋体" w:eastAsia="宋体" w:cs="宋体"/>
          <w:b/>
          <w:bCs/>
          <w:spacing w:val="-3"/>
          <w:sz w:val="24"/>
          <w:szCs w:val="24"/>
          <w:highlight w:val="none"/>
          <w:lang w:eastAsia="zh-CN"/>
        </w:rPr>
      </w:pPr>
      <w:r>
        <w:rPr>
          <w:rFonts w:ascii="宋体" w:hAnsi="宋体" w:eastAsia="宋体" w:cs="宋体"/>
          <w:b/>
          <w:bCs/>
          <w:spacing w:val="-3"/>
          <w:sz w:val="24"/>
          <w:szCs w:val="24"/>
          <w:highlight w:val="none"/>
          <w:lang w:eastAsia="zh-CN"/>
        </w:rPr>
        <w:t>八、需要补充的其他内容</w:t>
      </w:r>
    </w:p>
    <w:p w14:paraId="08E57B0C">
      <w:pPr>
        <w:spacing w:before="181" w:line="220" w:lineRule="auto"/>
        <w:ind w:left="892"/>
        <w:rPr>
          <w:rFonts w:ascii="宋体" w:hAnsi="宋体" w:eastAsia="宋体" w:cs="宋体"/>
          <w:sz w:val="24"/>
          <w:szCs w:val="24"/>
          <w:highlight w:val="none"/>
          <w:lang w:eastAsia="zh-CN"/>
        </w:rPr>
      </w:pPr>
      <w:r>
        <w:rPr>
          <w:rFonts w:ascii="宋体" w:hAnsi="宋体" w:eastAsia="宋体" w:cs="宋体"/>
          <w:spacing w:val="-3"/>
          <w:sz w:val="24"/>
          <w:szCs w:val="24"/>
          <w:highlight w:val="none"/>
          <w:lang w:eastAsia="zh-CN"/>
        </w:rPr>
        <w:t>31.</w:t>
      </w:r>
      <w:r>
        <w:rPr>
          <w:rFonts w:hint="eastAsia" w:ascii="宋体" w:hAnsi="宋体" w:eastAsia="宋体" w:cs="宋体"/>
          <w:spacing w:val="-3"/>
          <w:sz w:val="24"/>
          <w:szCs w:val="24"/>
          <w:highlight w:val="none"/>
          <w:lang w:eastAsia="zh-CN"/>
        </w:rPr>
        <w:t>1</w:t>
      </w:r>
      <w:r>
        <w:rPr>
          <w:rFonts w:ascii="宋体" w:hAnsi="宋体" w:eastAsia="宋体" w:cs="宋体"/>
          <w:spacing w:val="-36"/>
          <w:sz w:val="24"/>
          <w:szCs w:val="24"/>
          <w:highlight w:val="none"/>
          <w:lang w:eastAsia="zh-CN"/>
        </w:rPr>
        <w:t xml:space="preserve"> </w:t>
      </w:r>
      <w:r>
        <w:rPr>
          <w:rFonts w:ascii="宋体" w:hAnsi="宋体" w:eastAsia="宋体" w:cs="宋体"/>
          <w:spacing w:val="-3"/>
          <w:sz w:val="24"/>
          <w:szCs w:val="24"/>
          <w:highlight w:val="none"/>
          <w:lang w:eastAsia="zh-CN"/>
        </w:rPr>
        <w:t>其它未尽事宜，按国家有关法律、法规执行。</w:t>
      </w:r>
    </w:p>
    <w:p w14:paraId="566E5DA7">
      <w:pPr>
        <w:spacing w:before="178" w:line="219" w:lineRule="auto"/>
        <w:ind w:left="892"/>
        <w:rPr>
          <w:rFonts w:ascii="宋体" w:hAnsi="宋体" w:eastAsia="宋体" w:cs="宋体"/>
          <w:sz w:val="24"/>
          <w:szCs w:val="24"/>
          <w:highlight w:val="none"/>
          <w:lang w:eastAsia="zh-CN"/>
        </w:rPr>
      </w:pPr>
      <w:r>
        <w:rPr>
          <w:rFonts w:ascii="宋体" w:hAnsi="宋体" w:eastAsia="宋体" w:cs="宋体"/>
          <w:spacing w:val="-4"/>
          <w:sz w:val="24"/>
          <w:szCs w:val="24"/>
          <w:highlight w:val="none"/>
          <w:lang w:eastAsia="zh-CN"/>
        </w:rPr>
        <w:t>31.</w:t>
      </w:r>
      <w:r>
        <w:rPr>
          <w:rFonts w:hint="eastAsia" w:ascii="宋体" w:hAnsi="宋体" w:eastAsia="宋体" w:cs="宋体"/>
          <w:spacing w:val="-4"/>
          <w:sz w:val="24"/>
          <w:szCs w:val="24"/>
          <w:highlight w:val="none"/>
          <w:lang w:eastAsia="zh-CN"/>
        </w:rPr>
        <w:t>2</w:t>
      </w:r>
      <w:r>
        <w:rPr>
          <w:rFonts w:ascii="宋体" w:hAnsi="宋体" w:eastAsia="宋体" w:cs="宋体"/>
          <w:spacing w:val="-39"/>
          <w:sz w:val="24"/>
          <w:szCs w:val="24"/>
          <w:highlight w:val="none"/>
          <w:lang w:eastAsia="zh-CN"/>
        </w:rPr>
        <w:t xml:space="preserve"> </w:t>
      </w:r>
      <w:r>
        <w:rPr>
          <w:rFonts w:ascii="宋体" w:hAnsi="宋体" w:eastAsia="宋体" w:cs="宋体"/>
          <w:spacing w:val="-4"/>
          <w:sz w:val="24"/>
          <w:szCs w:val="24"/>
          <w:highlight w:val="none"/>
          <w:lang w:eastAsia="zh-CN"/>
        </w:rPr>
        <w:t>本招标文件解释权归采购人。</w:t>
      </w:r>
    </w:p>
    <w:p w14:paraId="143F6B7F">
      <w:pPr>
        <w:spacing w:before="91" w:line="222" w:lineRule="auto"/>
        <w:ind w:left="295"/>
        <w:rPr>
          <w:rFonts w:ascii="宋体" w:hAnsi="宋体" w:eastAsia="宋体" w:cs="宋体"/>
          <w:b/>
          <w:bCs/>
          <w:spacing w:val="-5"/>
          <w:sz w:val="28"/>
          <w:szCs w:val="28"/>
          <w:highlight w:val="none"/>
          <w:lang w:eastAsia="zh-CN"/>
        </w:rPr>
      </w:pPr>
      <w:r>
        <w:rPr>
          <w:rFonts w:ascii="黑体" w:hAnsi="黑体" w:eastAsia="黑体" w:cs="黑体"/>
          <w:spacing w:val="-9"/>
          <w:sz w:val="28"/>
          <w:szCs w:val="28"/>
          <w:highlight w:val="none"/>
          <w:lang w:eastAsia="zh-CN"/>
        </w:rPr>
        <w:t>附件</w:t>
      </w:r>
      <w:r>
        <w:rPr>
          <w:rFonts w:ascii="黑体" w:hAnsi="黑体" w:eastAsia="黑体" w:cs="黑体"/>
          <w:spacing w:val="-45"/>
          <w:sz w:val="28"/>
          <w:szCs w:val="28"/>
          <w:highlight w:val="none"/>
          <w:lang w:eastAsia="zh-CN"/>
        </w:rPr>
        <w:t xml:space="preserve"> </w:t>
      </w:r>
      <w:r>
        <w:rPr>
          <w:rFonts w:ascii="黑体" w:hAnsi="黑体" w:eastAsia="黑体" w:cs="黑体"/>
          <w:spacing w:val="-9"/>
          <w:sz w:val="28"/>
          <w:szCs w:val="28"/>
          <w:highlight w:val="none"/>
          <w:lang w:eastAsia="zh-CN"/>
        </w:rPr>
        <w:t>1</w:t>
      </w:r>
      <w:r>
        <w:rPr>
          <w:rFonts w:hint="eastAsia" w:ascii="黑体" w:hAnsi="黑体" w:eastAsia="黑体" w:cs="黑体"/>
          <w:sz w:val="28"/>
          <w:szCs w:val="28"/>
          <w:highlight w:val="none"/>
          <w:lang w:eastAsia="zh-CN"/>
        </w:rPr>
        <w:t xml:space="preserve">                </w:t>
      </w:r>
      <w:r>
        <w:rPr>
          <w:rFonts w:ascii="宋体" w:hAnsi="宋体" w:eastAsia="宋体" w:cs="宋体"/>
          <w:b/>
          <w:bCs/>
          <w:spacing w:val="-5"/>
          <w:sz w:val="28"/>
          <w:szCs w:val="28"/>
          <w:highlight w:val="none"/>
          <w:lang w:eastAsia="zh-CN"/>
        </w:rPr>
        <w:t>中小企业划型标准规定</w:t>
      </w:r>
    </w:p>
    <w:p w14:paraId="6D306F71">
      <w:pPr>
        <w:spacing w:line="117" w:lineRule="exact"/>
        <w:rPr>
          <w:highlight w:val="none"/>
          <w:lang w:eastAsia="zh-CN"/>
        </w:rPr>
      </w:pPr>
    </w:p>
    <w:tbl>
      <w:tblPr>
        <w:tblStyle w:val="32"/>
        <w:tblW w:w="9358" w:type="dxa"/>
        <w:jc w:val="center"/>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0" w:type="dxa"/>
          <w:bottom w:w="0" w:type="dxa"/>
          <w:right w:w="0" w:type="dxa"/>
        </w:tblCellMar>
      </w:tblPr>
      <w:tblGrid>
        <w:gridCol w:w="1151"/>
        <w:gridCol w:w="1492"/>
        <w:gridCol w:w="726"/>
        <w:gridCol w:w="1244"/>
        <w:gridCol w:w="1961"/>
        <w:gridCol w:w="1756"/>
        <w:gridCol w:w="1028"/>
      </w:tblGrid>
      <w:tr w14:paraId="670BD15F">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54" w:hRule="atLeast"/>
          <w:jc w:val="center"/>
        </w:trPr>
        <w:tc>
          <w:tcPr>
            <w:tcW w:w="1151" w:type="dxa"/>
            <w:tcBorders>
              <w:bottom w:val="single" w:color="FFFFFF" w:sz="2" w:space="0"/>
              <w:right w:val="single" w:color="4F81BD" w:sz="2" w:space="0"/>
            </w:tcBorders>
            <w:shd w:val="clear" w:color="auto" w:fill="4F81BD"/>
          </w:tcPr>
          <w:p w14:paraId="4F63CC08">
            <w:pPr>
              <w:pStyle w:val="33"/>
              <w:spacing w:before="226" w:line="221" w:lineRule="auto"/>
              <w:ind w:left="126"/>
              <w:rPr>
                <w:sz w:val="21"/>
                <w:szCs w:val="21"/>
                <w:highlight w:val="none"/>
              </w:rPr>
            </w:pPr>
            <w:r>
              <w:rPr>
                <w:b/>
                <w:bCs/>
                <w:spacing w:val="7"/>
                <w:sz w:val="21"/>
                <w:szCs w:val="21"/>
                <w:highlight w:val="none"/>
              </w:rPr>
              <w:t>行业名称</w:t>
            </w:r>
          </w:p>
        </w:tc>
        <w:tc>
          <w:tcPr>
            <w:tcW w:w="1492" w:type="dxa"/>
            <w:tcBorders>
              <w:left w:val="single" w:color="4F81BD" w:sz="2" w:space="0"/>
              <w:bottom w:val="single" w:color="FFFFFF" w:sz="2" w:space="0"/>
              <w:right w:val="single" w:color="4F81BD" w:sz="2" w:space="0"/>
            </w:tcBorders>
            <w:shd w:val="clear" w:color="auto" w:fill="4F81BD"/>
          </w:tcPr>
          <w:p w14:paraId="309A43ED">
            <w:pPr>
              <w:pStyle w:val="33"/>
              <w:spacing w:before="226" w:line="221" w:lineRule="auto"/>
              <w:ind w:left="296"/>
              <w:rPr>
                <w:sz w:val="21"/>
                <w:szCs w:val="21"/>
                <w:highlight w:val="none"/>
              </w:rPr>
            </w:pPr>
            <w:r>
              <w:rPr>
                <w:b/>
                <w:bCs/>
                <w:spacing w:val="8"/>
                <w:sz w:val="21"/>
                <w:szCs w:val="21"/>
                <w:highlight w:val="none"/>
              </w:rPr>
              <w:t>指标名称</w:t>
            </w:r>
          </w:p>
        </w:tc>
        <w:tc>
          <w:tcPr>
            <w:tcW w:w="726" w:type="dxa"/>
            <w:tcBorders>
              <w:left w:val="single" w:color="4F81BD" w:sz="2" w:space="0"/>
              <w:bottom w:val="single" w:color="FFFFFF" w:sz="2" w:space="0"/>
              <w:right w:val="single" w:color="4F81BD" w:sz="2" w:space="0"/>
            </w:tcBorders>
            <w:shd w:val="clear" w:color="auto" w:fill="4F81BD"/>
          </w:tcPr>
          <w:p w14:paraId="441419E7">
            <w:pPr>
              <w:pStyle w:val="33"/>
              <w:spacing w:before="70" w:line="222" w:lineRule="auto"/>
              <w:ind w:left="137"/>
              <w:rPr>
                <w:sz w:val="21"/>
                <w:szCs w:val="21"/>
                <w:highlight w:val="none"/>
              </w:rPr>
            </w:pPr>
            <w:r>
              <w:rPr>
                <w:b/>
                <w:bCs/>
                <w:spacing w:val="3"/>
                <w:sz w:val="21"/>
                <w:szCs w:val="21"/>
                <w:highlight w:val="none"/>
              </w:rPr>
              <w:t>计量</w:t>
            </w:r>
          </w:p>
          <w:p w14:paraId="1DAAB56B">
            <w:pPr>
              <w:pStyle w:val="33"/>
              <w:spacing w:before="59" w:line="221" w:lineRule="auto"/>
              <w:ind w:left="139"/>
              <w:rPr>
                <w:sz w:val="21"/>
                <w:szCs w:val="21"/>
                <w:highlight w:val="none"/>
              </w:rPr>
            </w:pPr>
            <w:r>
              <w:rPr>
                <w:b/>
                <w:bCs/>
                <w:spacing w:val="2"/>
                <w:sz w:val="21"/>
                <w:szCs w:val="21"/>
                <w:highlight w:val="none"/>
              </w:rPr>
              <w:t>单位</w:t>
            </w:r>
          </w:p>
        </w:tc>
        <w:tc>
          <w:tcPr>
            <w:tcW w:w="1244" w:type="dxa"/>
            <w:tcBorders>
              <w:left w:val="single" w:color="4F81BD" w:sz="2" w:space="0"/>
              <w:bottom w:val="single" w:color="FFFFFF" w:sz="2" w:space="0"/>
              <w:right w:val="single" w:color="4F81BD" w:sz="2" w:space="0"/>
            </w:tcBorders>
            <w:shd w:val="clear" w:color="auto" w:fill="4F81BD"/>
          </w:tcPr>
          <w:p w14:paraId="1F6A1C1A">
            <w:pPr>
              <w:pStyle w:val="33"/>
              <w:spacing w:before="226" w:line="221" w:lineRule="auto"/>
              <w:ind w:left="402"/>
              <w:rPr>
                <w:sz w:val="21"/>
                <w:szCs w:val="21"/>
                <w:highlight w:val="none"/>
              </w:rPr>
            </w:pPr>
            <w:r>
              <w:rPr>
                <w:b/>
                <w:bCs/>
                <w:spacing w:val="2"/>
                <w:sz w:val="21"/>
                <w:szCs w:val="21"/>
                <w:highlight w:val="none"/>
              </w:rPr>
              <w:t>大型</w:t>
            </w:r>
          </w:p>
        </w:tc>
        <w:tc>
          <w:tcPr>
            <w:tcW w:w="1961" w:type="dxa"/>
            <w:tcBorders>
              <w:left w:val="single" w:color="4F81BD" w:sz="2" w:space="0"/>
              <w:bottom w:val="single" w:color="FFFFFF" w:sz="2" w:space="0"/>
              <w:right w:val="single" w:color="4F81BD" w:sz="2" w:space="0"/>
            </w:tcBorders>
            <w:shd w:val="clear" w:color="auto" w:fill="4F81BD"/>
          </w:tcPr>
          <w:p w14:paraId="61048BE4">
            <w:pPr>
              <w:pStyle w:val="33"/>
              <w:spacing w:before="226" w:line="221" w:lineRule="auto"/>
              <w:ind w:left="779"/>
              <w:rPr>
                <w:sz w:val="21"/>
                <w:szCs w:val="21"/>
                <w:highlight w:val="none"/>
              </w:rPr>
            </w:pPr>
            <w:r>
              <w:rPr>
                <w:b/>
                <w:bCs/>
                <w:spacing w:val="-5"/>
                <w:sz w:val="21"/>
                <w:szCs w:val="21"/>
                <w:highlight w:val="none"/>
              </w:rPr>
              <w:t>中型</w:t>
            </w:r>
          </w:p>
        </w:tc>
        <w:tc>
          <w:tcPr>
            <w:tcW w:w="1756" w:type="dxa"/>
            <w:tcBorders>
              <w:left w:val="single" w:color="4F81BD" w:sz="2" w:space="0"/>
              <w:bottom w:val="single" w:color="FFFFFF" w:sz="2" w:space="0"/>
              <w:right w:val="single" w:color="4F81BD" w:sz="2" w:space="0"/>
            </w:tcBorders>
            <w:shd w:val="clear" w:color="auto" w:fill="4F81BD"/>
          </w:tcPr>
          <w:p w14:paraId="0B4D9F9B">
            <w:pPr>
              <w:pStyle w:val="33"/>
              <w:spacing w:before="225" w:line="223" w:lineRule="auto"/>
              <w:ind w:left="664"/>
              <w:rPr>
                <w:sz w:val="21"/>
                <w:szCs w:val="21"/>
                <w:highlight w:val="none"/>
              </w:rPr>
            </w:pPr>
            <w:r>
              <w:rPr>
                <w:b/>
                <w:bCs/>
                <w:sz w:val="21"/>
                <w:szCs w:val="21"/>
                <w:highlight w:val="none"/>
              </w:rPr>
              <w:t>小型</w:t>
            </w:r>
          </w:p>
        </w:tc>
        <w:tc>
          <w:tcPr>
            <w:tcW w:w="1028" w:type="dxa"/>
            <w:tcBorders>
              <w:left w:val="single" w:color="4F81BD" w:sz="2" w:space="0"/>
              <w:bottom w:val="single" w:color="FFFFFF" w:sz="2" w:space="0"/>
              <w:right w:val="single" w:color="4F81BD" w:sz="2" w:space="0"/>
            </w:tcBorders>
            <w:shd w:val="clear" w:color="auto" w:fill="4F81BD"/>
          </w:tcPr>
          <w:p w14:paraId="3F087C9C">
            <w:pPr>
              <w:pStyle w:val="33"/>
              <w:spacing w:before="225" w:line="221" w:lineRule="auto"/>
              <w:ind w:left="295"/>
              <w:rPr>
                <w:sz w:val="21"/>
                <w:szCs w:val="21"/>
                <w:highlight w:val="none"/>
              </w:rPr>
            </w:pPr>
            <w:r>
              <w:rPr>
                <w:b/>
                <w:bCs/>
                <w:spacing w:val="3"/>
                <w:sz w:val="21"/>
                <w:szCs w:val="21"/>
                <w:highlight w:val="none"/>
              </w:rPr>
              <w:t>微型</w:t>
            </w:r>
          </w:p>
        </w:tc>
      </w:tr>
      <w:tr w14:paraId="52C702B1">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727" w:hRule="atLeast"/>
          <w:jc w:val="center"/>
        </w:trPr>
        <w:tc>
          <w:tcPr>
            <w:tcW w:w="1151" w:type="dxa"/>
            <w:tcBorders>
              <w:top w:val="single" w:color="FFFFFF" w:sz="2" w:space="0"/>
              <w:bottom w:val="single" w:color="000000" w:sz="2" w:space="0"/>
            </w:tcBorders>
            <w:shd w:val="clear" w:color="auto" w:fill="B8CCE4"/>
          </w:tcPr>
          <w:p w14:paraId="409C89AC">
            <w:pPr>
              <w:spacing w:line="41" w:lineRule="exact"/>
              <w:ind w:firstLine="4"/>
              <w:rPr>
                <w:highlight w:val="none"/>
              </w:rPr>
            </w:pPr>
            <w:r>
              <w:rPr>
                <w:highlight w:val="none"/>
              </w:rPr>
              <w:pict>
                <v:shape id="_x0000_s1036" o:spid="_x0000_s1036" style="height:2.2pt;width:56.55pt;" stroked="f" coordsize="1130,44" path="m0,43l1130,43,1130,0,0,0,0,43xe">
                  <v:path/>
                  <v:fill focussize="0,0"/>
                  <v:stroke on="f"/>
                  <v:imagedata o:title=""/>
                  <o:lock v:ext="edit"/>
                  <w10:wrap type="none"/>
                  <w10:anchorlock/>
                </v:shape>
              </w:pict>
            </w:r>
          </w:p>
          <w:p w14:paraId="6AA76A74">
            <w:pPr>
              <w:pStyle w:val="33"/>
              <w:spacing w:before="82" w:line="221" w:lineRule="auto"/>
              <w:ind w:left="125"/>
              <w:rPr>
                <w:sz w:val="21"/>
                <w:szCs w:val="21"/>
                <w:highlight w:val="none"/>
              </w:rPr>
            </w:pPr>
            <w:r>
              <w:rPr>
                <w:spacing w:val="2"/>
                <w:sz w:val="21"/>
                <w:szCs w:val="21"/>
                <w:highlight w:val="none"/>
              </w:rPr>
              <w:t>农、林、</w:t>
            </w:r>
          </w:p>
          <w:p w14:paraId="3C6DFE7D">
            <w:pPr>
              <w:pStyle w:val="33"/>
              <w:spacing w:before="60" w:line="221" w:lineRule="auto"/>
              <w:ind w:left="126"/>
              <w:rPr>
                <w:sz w:val="21"/>
                <w:szCs w:val="21"/>
                <w:highlight w:val="none"/>
              </w:rPr>
            </w:pPr>
            <w:r>
              <w:rPr>
                <w:spacing w:val="9"/>
                <w:sz w:val="21"/>
                <w:szCs w:val="21"/>
                <w:highlight w:val="none"/>
              </w:rPr>
              <w:t>牧、渔业</w:t>
            </w:r>
          </w:p>
        </w:tc>
        <w:tc>
          <w:tcPr>
            <w:tcW w:w="1492" w:type="dxa"/>
            <w:tcBorders>
              <w:top w:val="single" w:color="FFFFFF" w:sz="2" w:space="0"/>
              <w:bottom w:val="single" w:color="000000" w:sz="2" w:space="0"/>
            </w:tcBorders>
            <w:shd w:val="clear" w:color="auto" w:fill="B8CCE4"/>
          </w:tcPr>
          <w:p w14:paraId="785AA65B">
            <w:pPr>
              <w:spacing w:line="41" w:lineRule="exact"/>
              <w:ind w:firstLine="26"/>
              <w:rPr>
                <w:highlight w:val="none"/>
              </w:rPr>
            </w:pPr>
            <w:r>
              <w:rPr>
                <w:highlight w:val="none"/>
              </w:rPr>
              <w:pict>
                <v:shape id="_x0000_s1035" o:spid="_x0000_s1035" style="height:2.2pt;width:72.55pt;" stroked="f" coordsize="1451,44" path="m0,43l1450,43,1450,0,0,0,0,43xe">
                  <v:path/>
                  <v:fill focussize="0,0"/>
                  <v:stroke on="f"/>
                  <v:imagedata o:title=""/>
                  <o:lock v:ext="edit"/>
                  <w10:wrap type="none"/>
                  <w10:anchorlock/>
                </v:shape>
              </w:pict>
            </w:r>
          </w:p>
          <w:p w14:paraId="4B92131D">
            <w:pPr>
              <w:pStyle w:val="33"/>
              <w:spacing w:before="238" w:line="221" w:lineRule="auto"/>
              <w:ind w:left="130"/>
              <w:rPr>
                <w:sz w:val="21"/>
                <w:szCs w:val="21"/>
                <w:highlight w:val="none"/>
              </w:rPr>
            </w:pPr>
            <w:r>
              <w:rPr>
                <w:spacing w:val="9"/>
                <w:sz w:val="21"/>
                <w:szCs w:val="21"/>
                <w:highlight w:val="none"/>
              </w:rPr>
              <w:t>营业收入(Y)</w:t>
            </w:r>
          </w:p>
        </w:tc>
        <w:tc>
          <w:tcPr>
            <w:tcW w:w="726" w:type="dxa"/>
            <w:tcBorders>
              <w:top w:val="single" w:color="FFFFFF" w:sz="2" w:space="0"/>
              <w:bottom w:val="single" w:color="000000" w:sz="2" w:space="0"/>
            </w:tcBorders>
            <w:shd w:val="clear" w:color="auto" w:fill="B8CCE4"/>
          </w:tcPr>
          <w:p w14:paraId="3C9E5A08">
            <w:pPr>
              <w:spacing w:line="41" w:lineRule="exact"/>
              <w:ind w:firstLine="28"/>
              <w:rPr>
                <w:highlight w:val="none"/>
              </w:rPr>
            </w:pPr>
            <w:r>
              <w:rPr>
                <w:highlight w:val="none"/>
              </w:rPr>
              <w:pict>
                <v:shape id="_x0000_s1034" o:spid="_x0000_s1034" style="height:2.2pt;width:34.2pt;" stroked="f" coordsize="684,44" path="m0,43l683,43,683,0,0,0,0,43xe">
                  <v:path/>
                  <v:fill focussize="0,0"/>
                  <v:stroke on="f"/>
                  <v:imagedata o:title=""/>
                  <o:lock v:ext="edit"/>
                  <w10:wrap type="none"/>
                  <w10:anchorlock/>
                </v:shape>
              </w:pict>
            </w:r>
          </w:p>
          <w:p w14:paraId="141F953E">
            <w:pPr>
              <w:pStyle w:val="33"/>
              <w:spacing w:before="238" w:line="221" w:lineRule="auto"/>
              <w:ind w:left="142"/>
              <w:rPr>
                <w:sz w:val="21"/>
                <w:szCs w:val="21"/>
                <w:highlight w:val="none"/>
              </w:rPr>
            </w:pPr>
            <w:r>
              <w:rPr>
                <w:spacing w:val="1"/>
                <w:sz w:val="21"/>
                <w:szCs w:val="21"/>
                <w:highlight w:val="none"/>
              </w:rPr>
              <w:t>万元</w:t>
            </w:r>
          </w:p>
        </w:tc>
        <w:tc>
          <w:tcPr>
            <w:tcW w:w="1244" w:type="dxa"/>
            <w:tcBorders>
              <w:top w:val="single" w:color="FFFFFF" w:sz="2" w:space="0"/>
              <w:bottom w:val="single" w:color="000000" w:sz="2" w:space="0"/>
            </w:tcBorders>
            <w:shd w:val="clear" w:color="auto" w:fill="B8CCE4"/>
          </w:tcPr>
          <w:p w14:paraId="3E45621B">
            <w:pPr>
              <w:spacing w:line="41" w:lineRule="exact"/>
              <w:ind w:firstLine="29"/>
              <w:rPr>
                <w:highlight w:val="none"/>
              </w:rPr>
            </w:pPr>
            <w:r>
              <w:rPr>
                <w:highlight w:val="none"/>
              </w:rPr>
              <w:pict>
                <v:shape id="_x0000_s1033" o:spid="_x0000_s1033" style="height:2.2pt;width:60.15pt;" stroked="f" coordsize="1203,44" path="m0,43l1202,43,1202,0,0,0,0,43xe">
                  <v:path/>
                  <v:fill focussize="0,0"/>
                  <v:stroke on="f"/>
                  <v:imagedata o:title=""/>
                  <o:lock v:ext="edit"/>
                  <w10:wrap type="none"/>
                  <w10:anchorlock/>
                </v:shape>
              </w:pict>
            </w:r>
          </w:p>
          <w:p w14:paraId="0377EE66">
            <w:pPr>
              <w:pStyle w:val="33"/>
              <w:spacing w:before="238" w:line="239" w:lineRule="auto"/>
              <w:ind w:left="168"/>
              <w:rPr>
                <w:sz w:val="21"/>
                <w:szCs w:val="21"/>
                <w:highlight w:val="none"/>
              </w:rPr>
            </w:pPr>
            <w:r>
              <w:rPr>
                <w:spacing w:val="7"/>
                <w:sz w:val="21"/>
                <w:szCs w:val="21"/>
                <w:highlight w:val="none"/>
              </w:rPr>
              <w:t>Y≥20000</w:t>
            </w:r>
          </w:p>
        </w:tc>
        <w:tc>
          <w:tcPr>
            <w:tcW w:w="1961" w:type="dxa"/>
            <w:tcBorders>
              <w:top w:val="single" w:color="FFFFFF" w:sz="2" w:space="0"/>
              <w:bottom w:val="single" w:color="000000" w:sz="2" w:space="0"/>
            </w:tcBorders>
            <w:shd w:val="clear" w:color="auto" w:fill="B8CCE4"/>
          </w:tcPr>
          <w:p w14:paraId="2A23504B">
            <w:pPr>
              <w:spacing w:line="41" w:lineRule="exact"/>
              <w:ind w:firstLine="31"/>
              <w:rPr>
                <w:highlight w:val="none"/>
              </w:rPr>
            </w:pPr>
            <w:r>
              <w:rPr>
                <w:highlight w:val="none"/>
              </w:rPr>
              <w:pict>
                <v:shape id="_x0000_s1032" o:spid="_x0000_s1032" style="height:2.2pt;width:96.05pt;" stroked="f" coordsize="1921,44" path="m0,43l1920,43,1920,0,0,0,0,43xe">
                  <v:path/>
                  <v:fill focussize="0,0"/>
                  <v:stroke on="f"/>
                  <v:imagedata o:title=""/>
                  <o:lock v:ext="edit"/>
                  <w10:wrap type="none"/>
                  <w10:anchorlock/>
                </v:shape>
              </w:pict>
            </w:r>
          </w:p>
          <w:p w14:paraId="4EEDAB0D">
            <w:pPr>
              <w:pStyle w:val="33"/>
              <w:spacing w:before="238" w:line="237" w:lineRule="auto"/>
              <w:ind w:left="252"/>
              <w:rPr>
                <w:sz w:val="21"/>
                <w:szCs w:val="21"/>
                <w:highlight w:val="none"/>
              </w:rPr>
            </w:pPr>
            <w:r>
              <w:rPr>
                <w:spacing w:val="7"/>
                <w:sz w:val="21"/>
                <w:szCs w:val="21"/>
                <w:highlight w:val="none"/>
              </w:rPr>
              <w:t>500≤Y＜20000</w:t>
            </w:r>
          </w:p>
        </w:tc>
        <w:tc>
          <w:tcPr>
            <w:tcW w:w="1756" w:type="dxa"/>
            <w:tcBorders>
              <w:top w:val="single" w:color="FFFFFF" w:sz="2" w:space="0"/>
              <w:bottom w:val="single" w:color="000000" w:sz="2" w:space="0"/>
            </w:tcBorders>
            <w:shd w:val="clear" w:color="auto" w:fill="B8CCE4"/>
          </w:tcPr>
          <w:p w14:paraId="560CA232">
            <w:pPr>
              <w:spacing w:line="41" w:lineRule="exact"/>
              <w:ind w:firstLine="33"/>
              <w:rPr>
                <w:highlight w:val="none"/>
              </w:rPr>
            </w:pPr>
            <w:r>
              <w:rPr>
                <w:highlight w:val="none"/>
              </w:rPr>
              <w:pict>
                <v:shape id="_x0000_s1031" o:spid="_x0000_s1031" style="height:2.2pt;width:85.75pt;" stroked="f" coordsize="1715,44" path="m0,43l1714,43,1714,0,0,0,0,43xe">
                  <v:path/>
                  <v:fill focussize="0,0"/>
                  <v:stroke on="f"/>
                  <v:imagedata o:title=""/>
                  <o:lock v:ext="edit"/>
                  <w10:wrap type="none"/>
                  <w10:anchorlock/>
                </v:shape>
              </w:pict>
            </w:r>
          </w:p>
          <w:p w14:paraId="290C9B47">
            <w:pPr>
              <w:pStyle w:val="33"/>
              <w:spacing w:before="238" w:line="237" w:lineRule="auto"/>
              <w:ind w:left="322"/>
              <w:rPr>
                <w:sz w:val="21"/>
                <w:szCs w:val="21"/>
                <w:highlight w:val="none"/>
              </w:rPr>
            </w:pPr>
            <w:r>
              <w:rPr>
                <w:spacing w:val="7"/>
                <w:sz w:val="21"/>
                <w:szCs w:val="21"/>
                <w:highlight w:val="none"/>
              </w:rPr>
              <w:t>50≤Y＜500</w:t>
            </w:r>
          </w:p>
        </w:tc>
        <w:tc>
          <w:tcPr>
            <w:tcW w:w="1028" w:type="dxa"/>
            <w:tcBorders>
              <w:top w:val="single" w:color="FFFFFF" w:sz="2" w:space="0"/>
              <w:bottom w:val="single" w:color="000000" w:sz="2" w:space="0"/>
            </w:tcBorders>
            <w:shd w:val="clear" w:color="auto" w:fill="B8CCE4"/>
          </w:tcPr>
          <w:p w14:paraId="00301ECF">
            <w:pPr>
              <w:spacing w:line="41" w:lineRule="exact"/>
              <w:ind w:firstLine="35"/>
              <w:rPr>
                <w:highlight w:val="none"/>
              </w:rPr>
            </w:pPr>
            <w:r>
              <w:rPr>
                <w:highlight w:val="none"/>
              </w:rPr>
              <w:pict>
                <v:shape id="_x0000_s1030" o:spid="_x0000_s1030" style="height:2.2pt;width:49pt;" stroked="f" coordsize="980,44" path="m0,43l979,43,979,0,0,0,0,43xe">
                  <v:path/>
                  <v:fill focussize="0,0"/>
                  <v:stroke on="f"/>
                  <v:imagedata o:title=""/>
                  <o:lock v:ext="edit"/>
                  <w10:wrap type="none"/>
                  <w10:anchorlock/>
                </v:shape>
              </w:pict>
            </w:r>
          </w:p>
          <w:p w14:paraId="2F5B35B9">
            <w:pPr>
              <w:pStyle w:val="33"/>
              <w:spacing w:before="238" w:line="241" w:lineRule="auto"/>
              <w:ind w:left="234"/>
              <w:rPr>
                <w:sz w:val="21"/>
                <w:szCs w:val="21"/>
                <w:highlight w:val="none"/>
              </w:rPr>
            </w:pPr>
            <w:r>
              <w:rPr>
                <w:spacing w:val="6"/>
                <w:sz w:val="21"/>
                <w:szCs w:val="21"/>
                <w:highlight w:val="none"/>
              </w:rPr>
              <w:t>Y＜50</w:t>
            </w:r>
          </w:p>
        </w:tc>
      </w:tr>
      <w:tr w14:paraId="50021D1C">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5" w:hRule="atLeast"/>
          <w:jc w:val="center"/>
        </w:trPr>
        <w:tc>
          <w:tcPr>
            <w:tcW w:w="1151" w:type="dxa"/>
            <w:vMerge w:val="restart"/>
            <w:tcBorders>
              <w:bottom w:val="nil"/>
              <w:right w:val="single" w:color="4F81BD" w:sz="2" w:space="0"/>
            </w:tcBorders>
          </w:tcPr>
          <w:p w14:paraId="3CBD3FC2">
            <w:pPr>
              <w:spacing w:line="424" w:lineRule="auto"/>
              <w:rPr>
                <w:highlight w:val="none"/>
              </w:rPr>
            </w:pPr>
          </w:p>
          <w:p w14:paraId="0E0C7656">
            <w:pPr>
              <w:pStyle w:val="33"/>
              <w:spacing w:before="68" w:line="233" w:lineRule="auto"/>
              <w:ind w:left="235"/>
              <w:rPr>
                <w:sz w:val="21"/>
                <w:szCs w:val="21"/>
                <w:highlight w:val="none"/>
              </w:rPr>
            </w:pPr>
            <w:r>
              <w:rPr>
                <w:spacing w:val="2"/>
                <w:sz w:val="21"/>
                <w:szCs w:val="21"/>
                <w:highlight w:val="none"/>
              </w:rPr>
              <w:t>工业</w:t>
            </w:r>
            <w:r>
              <w:rPr>
                <w:spacing w:val="36"/>
                <w:sz w:val="21"/>
                <w:szCs w:val="21"/>
                <w:highlight w:val="none"/>
              </w:rPr>
              <w:t xml:space="preserve"> </w:t>
            </w:r>
            <w:r>
              <w:rPr>
                <w:spacing w:val="2"/>
                <w:sz w:val="21"/>
                <w:szCs w:val="21"/>
                <w:highlight w:val="none"/>
              </w:rPr>
              <w:t>*</w:t>
            </w:r>
          </w:p>
        </w:tc>
        <w:tc>
          <w:tcPr>
            <w:tcW w:w="1492" w:type="dxa"/>
            <w:tcBorders>
              <w:left w:val="single" w:color="4F81BD" w:sz="2" w:space="0"/>
              <w:right w:val="single" w:color="4F81BD" w:sz="2" w:space="0"/>
            </w:tcBorders>
          </w:tcPr>
          <w:p w14:paraId="16E13F9F">
            <w:pPr>
              <w:pStyle w:val="33"/>
              <w:spacing w:before="193" w:line="221" w:lineRule="auto"/>
              <w:ind w:left="128"/>
              <w:rPr>
                <w:sz w:val="21"/>
                <w:szCs w:val="21"/>
                <w:highlight w:val="none"/>
              </w:rPr>
            </w:pPr>
            <w:r>
              <w:rPr>
                <w:spacing w:val="2"/>
                <w:sz w:val="21"/>
                <w:szCs w:val="21"/>
                <w:highlight w:val="none"/>
              </w:rPr>
              <w:t>从业人员</w:t>
            </w:r>
            <w:r>
              <w:rPr>
                <w:spacing w:val="-43"/>
                <w:sz w:val="21"/>
                <w:szCs w:val="21"/>
                <w:highlight w:val="none"/>
              </w:rPr>
              <w:t xml:space="preserve"> </w:t>
            </w:r>
            <w:r>
              <w:rPr>
                <w:spacing w:val="2"/>
                <w:sz w:val="21"/>
                <w:szCs w:val="21"/>
                <w:highlight w:val="none"/>
              </w:rPr>
              <w:t>(X)</w:t>
            </w:r>
          </w:p>
        </w:tc>
        <w:tc>
          <w:tcPr>
            <w:tcW w:w="726" w:type="dxa"/>
            <w:tcBorders>
              <w:left w:val="single" w:color="4F81BD" w:sz="2" w:space="0"/>
              <w:right w:val="single" w:color="4F81BD" w:sz="2" w:space="0"/>
            </w:tcBorders>
          </w:tcPr>
          <w:p w14:paraId="35B24463">
            <w:pPr>
              <w:pStyle w:val="33"/>
              <w:spacing w:before="193" w:line="223" w:lineRule="auto"/>
              <w:ind w:left="254"/>
              <w:rPr>
                <w:sz w:val="21"/>
                <w:szCs w:val="21"/>
                <w:highlight w:val="none"/>
              </w:rPr>
            </w:pPr>
            <w:r>
              <w:rPr>
                <w:sz w:val="21"/>
                <w:szCs w:val="21"/>
                <w:highlight w:val="none"/>
              </w:rPr>
              <w:t>人</w:t>
            </w:r>
          </w:p>
        </w:tc>
        <w:tc>
          <w:tcPr>
            <w:tcW w:w="1244" w:type="dxa"/>
            <w:tcBorders>
              <w:left w:val="single" w:color="4F81BD" w:sz="2" w:space="0"/>
              <w:right w:val="single" w:color="4F81BD" w:sz="2" w:space="0"/>
            </w:tcBorders>
          </w:tcPr>
          <w:p w14:paraId="0251D5CA">
            <w:pPr>
              <w:pStyle w:val="33"/>
              <w:spacing w:before="192" w:line="239" w:lineRule="auto"/>
              <w:ind w:left="227"/>
              <w:rPr>
                <w:sz w:val="21"/>
                <w:szCs w:val="21"/>
                <w:highlight w:val="none"/>
              </w:rPr>
            </w:pPr>
            <w:r>
              <w:rPr>
                <w:spacing w:val="6"/>
                <w:sz w:val="21"/>
                <w:szCs w:val="21"/>
                <w:highlight w:val="none"/>
              </w:rPr>
              <w:t>X≥1000</w:t>
            </w:r>
          </w:p>
        </w:tc>
        <w:tc>
          <w:tcPr>
            <w:tcW w:w="1961" w:type="dxa"/>
            <w:tcBorders>
              <w:left w:val="single" w:color="4F81BD" w:sz="2" w:space="0"/>
              <w:right w:val="single" w:color="4F81BD" w:sz="2" w:space="0"/>
            </w:tcBorders>
          </w:tcPr>
          <w:p w14:paraId="59AD0856">
            <w:pPr>
              <w:pStyle w:val="33"/>
              <w:spacing w:before="193" w:line="237" w:lineRule="auto"/>
              <w:ind w:left="312"/>
              <w:rPr>
                <w:sz w:val="21"/>
                <w:szCs w:val="21"/>
                <w:highlight w:val="none"/>
              </w:rPr>
            </w:pPr>
            <w:r>
              <w:rPr>
                <w:spacing w:val="1"/>
                <w:sz w:val="21"/>
                <w:szCs w:val="21"/>
                <w:highlight w:val="none"/>
              </w:rPr>
              <w:t>300≤X＜</w:t>
            </w:r>
            <w:r>
              <w:rPr>
                <w:spacing w:val="-42"/>
                <w:sz w:val="21"/>
                <w:szCs w:val="21"/>
                <w:highlight w:val="none"/>
              </w:rPr>
              <w:t xml:space="preserve"> </w:t>
            </w:r>
            <w:r>
              <w:rPr>
                <w:spacing w:val="1"/>
                <w:sz w:val="21"/>
                <w:szCs w:val="21"/>
                <w:highlight w:val="none"/>
              </w:rPr>
              <w:t>1000</w:t>
            </w:r>
          </w:p>
        </w:tc>
        <w:tc>
          <w:tcPr>
            <w:tcW w:w="1756" w:type="dxa"/>
            <w:tcBorders>
              <w:left w:val="single" w:color="4F81BD" w:sz="2" w:space="0"/>
              <w:right w:val="single" w:color="4F81BD" w:sz="2" w:space="0"/>
            </w:tcBorders>
          </w:tcPr>
          <w:p w14:paraId="2134B4CF">
            <w:pPr>
              <w:pStyle w:val="33"/>
              <w:spacing w:before="193" w:line="237" w:lineRule="auto"/>
              <w:ind w:left="322"/>
              <w:rPr>
                <w:sz w:val="21"/>
                <w:szCs w:val="21"/>
                <w:highlight w:val="none"/>
              </w:rPr>
            </w:pPr>
            <w:r>
              <w:rPr>
                <w:spacing w:val="7"/>
                <w:sz w:val="21"/>
                <w:szCs w:val="21"/>
                <w:highlight w:val="none"/>
              </w:rPr>
              <w:t>20≤X＜300</w:t>
            </w:r>
          </w:p>
        </w:tc>
        <w:tc>
          <w:tcPr>
            <w:tcW w:w="1028" w:type="dxa"/>
            <w:tcBorders>
              <w:left w:val="single" w:color="4F81BD" w:sz="2" w:space="0"/>
              <w:right w:val="single" w:color="4F81BD" w:sz="2" w:space="0"/>
            </w:tcBorders>
          </w:tcPr>
          <w:p w14:paraId="5883E64E">
            <w:pPr>
              <w:pStyle w:val="33"/>
              <w:spacing w:before="193" w:line="241" w:lineRule="auto"/>
              <w:ind w:left="237"/>
              <w:rPr>
                <w:sz w:val="21"/>
                <w:szCs w:val="21"/>
                <w:highlight w:val="none"/>
              </w:rPr>
            </w:pPr>
            <w:r>
              <w:rPr>
                <w:spacing w:val="6"/>
                <w:sz w:val="21"/>
                <w:szCs w:val="21"/>
                <w:highlight w:val="none"/>
              </w:rPr>
              <w:t>X＜20</w:t>
            </w:r>
          </w:p>
        </w:tc>
      </w:tr>
      <w:tr w14:paraId="55A580D8">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5" w:hRule="atLeast"/>
          <w:jc w:val="center"/>
        </w:trPr>
        <w:tc>
          <w:tcPr>
            <w:tcW w:w="1151" w:type="dxa"/>
            <w:vMerge w:val="continue"/>
            <w:tcBorders>
              <w:top w:val="nil"/>
              <w:right w:val="single" w:color="4F81BD" w:sz="2" w:space="0"/>
            </w:tcBorders>
          </w:tcPr>
          <w:p w14:paraId="17BD417D">
            <w:pPr>
              <w:rPr>
                <w:highlight w:val="none"/>
              </w:rPr>
            </w:pPr>
          </w:p>
        </w:tc>
        <w:tc>
          <w:tcPr>
            <w:tcW w:w="1492" w:type="dxa"/>
            <w:tcBorders>
              <w:left w:val="single" w:color="000000" w:sz="2" w:space="0"/>
            </w:tcBorders>
            <w:shd w:val="clear" w:color="auto" w:fill="B8CCE4"/>
          </w:tcPr>
          <w:p w14:paraId="18A6C2F2">
            <w:pPr>
              <w:pStyle w:val="33"/>
              <w:spacing w:before="192" w:line="221" w:lineRule="auto"/>
              <w:ind w:left="133"/>
              <w:rPr>
                <w:sz w:val="21"/>
                <w:szCs w:val="21"/>
                <w:highlight w:val="none"/>
              </w:rPr>
            </w:pPr>
            <w:r>
              <w:rPr>
                <w:spacing w:val="9"/>
                <w:sz w:val="21"/>
                <w:szCs w:val="21"/>
                <w:highlight w:val="none"/>
              </w:rPr>
              <w:t>营业收入(Y)</w:t>
            </w:r>
          </w:p>
        </w:tc>
        <w:tc>
          <w:tcPr>
            <w:tcW w:w="726" w:type="dxa"/>
            <w:shd w:val="clear" w:color="auto" w:fill="B8CCE4"/>
          </w:tcPr>
          <w:p w14:paraId="264D664F">
            <w:pPr>
              <w:pStyle w:val="33"/>
              <w:spacing w:before="193" w:line="221" w:lineRule="auto"/>
              <w:ind w:left="142"/>
              <w:rPr>
                <w:sz w:val="21"/>
                <w:szCs w:val="21"/>
                <w:highlight w:val="none"/>
              </w:rPr>
            </w:pPr>
            <w:r>
              <w:rPr>
                <w:spacing w:val="1"/>
                <w:sz w:val="21"/>
                <w:szCs w:val="21"/>
                <w:highlight w:val="none"/>
              </w:rPr>
              <w:t>万元</w:t>
            </w:r>
          </w:p>
        </w:tc>
        <w:tc>
          <w:tcPr>
            <w:tcW w:w="1244" w:type="dxa"/>
            <w:shd w:val="clear" w:color="auto" w:fill="B8CCE4"/>
          </w:tcPr>
          <w:p w14:paraId="41C25033">
            <w:pPr>
              <w:pStyle w:val="33"/>
              <w:spacing w:before="192" w:line="239" w:lineRule="auto"/>
              <w:ind w:left="168"/>
              <w:rPr>
                <w:sz w:val="21"/>
                <w:szCs w:val="21"/>
                <w:highlight w:val="none"/>
              </w:rPr>
            </w:pPr>
            <w:r>
              <w:rPr>
                <w:spacing w:val="7"/>
                <w:sz w:val="21"/>
                <w:szCs w:val="21"/>
                <w:highlight w:val="none"/>
              </w:rPr>
              <w:t>Y≥40000</w:t>
            </w:r>
          </w:p>
        </w:tc>
        <w:tc>
          <w:tcPr>
            <w:tcW w:w="1961" w:type="dxa"/>
            <w:shd w:val="clear" w:color="auto" w:fill="B8CCE4"/>
          </w:tcPr>
          <w:p w14:paraId="25F1CA24">
            <w:pPr>
              <w:pStyle w:val="33"/>
              <w:spacing w:before="193" w:line="237" w:lineRule="auto"/>
              <w:ind w:left="195"/>
              <w:rPr>
                <w:sz w:val="21"/>
                <w:szCs w:val="21"/>
                <w:highlight w:val="none"/>
              </w:rPr>
            </w:pPr>
            <w:r>
              <w:rPr>
                <w:spacing w:val="7"/>
                <w:sz w:val="21"/>
                <w:szCs w:val="21"/>
                <w:highlight w:val="none"/>
              </w:rPr>
              <w:t>2000≤Y＜40000</w:t>
            </w:r>
          </w:p>
        </w:tc>
        <w:tc>
          <w:tcPr>
            <w:tcW w:w="1756" w:type="dxa"/>
            <w:shd w:val="clear" w:color="auto" w:fill="B8CCE4"/>
          </w:tcPr>
          <w:p w14:paraId="4E9D41A0">
            <w:pPr>
              <w:pStyle w:val="33"/>
              <w:spacing w:before="193" w:line="237" w:lineRule="auto"/>
              <w:ind w:left="209"/>
              <w:rPr>
                <w:sz w:val="21"/>
                <w:szCs w:val="21"/>
                <w:highlight w:val="none"/>
              </w:rPr>
            </w:pPr>
            <w:r>
              <w:rPr>
                <w:spacing w:val="7"/>
                <w:sz w:val="21"/>
                <w:szCs w:val="21"/>
                <w:highlight w:val="none"/>
              </w:rPr>
              <w:t>300≤Y＜2000</w:t>
            </w:r>
          </w:p>
        </w:tc>
        <w:tc>
          <w:tcPr>
            <w:tcW w:w="1028" w:type="dxa"/>
            <w:shd w:val="clear" w:color="auto" w:fill="B8CCE4"/>
          </w:tcPr>
          <w:p w14:paraId="2BD78552">
            <w:pPr>
              <w:pStyle w:val="33"/>
              <w:spacing w:before="192" w:line="241" w:lineRule="auto"/>
              <w:ind w:left="176"/>
              <w:rPr>
                <w:sz w:val="21"/>
                <w:szCs w:val="21"/>
                <w:highlight w:val="none"/>
              </w:rPr>
            </w:pPr>
            <w:r>
              <w:rPr>
                <w:spacing w:val="6"/>
                <w:sz w:val="21"/>
                <w:szCs w:val="21"/>
                <w:highlight w:val="none"/>
              </w:rPr>
              <w:t>Y＜300</w:t>
            </w:r>
          </w:p>
        </w:tc>
      </w:tr>
      <w:tr w14:paraId="69B8A140">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3" w:hRule="atLeast"/>
          <w:jc w:val="center"/>
        </w:trPr>
        <w:tc>
          <w:tcPr>
            <w:tcW w:w="1151" w:type="dxa"/>
            <w:vMerge w:val="restart"/>
            <w:tcBorders>
              <w:bottom w:val="nil"/>
              <w:right w:val="single" w:color="4F81BD" w:sz="2" w:space="0"/>
            </w:tcBorders>
          </w:tcPr>
          <w:p w14:paraId="3349DBAF">
            <w:pPr>
              <w:spacing w:line="423" w:lineRule="auto"/>
              <w:rPr>
                <w:highlight w:val="none"/>
              </w:rPr>
            </w:pPr>
          </w:p>
          <w:p w14:paraId="64F63DD9">
            <w:pPr>
              <w:pStyle w:val="33"/>
              <w:spacing w:before="68" w:line="221" w:lineRule="auto"/>
              <w:ind w:left="240"/>
              <w:rPr>
                <w:sz w:val="21"/>
                <w:szCs w:val="21"/>
                <w:highlight w:val="none"/>
              </w:rPr>
            </w:pPr>
            <w:r>
              <w:rPr>
                <w:spacing w:val="7"/>
                <w:sz w:val="21"/>
                <w:szCs w:val="21"/>
                <w:highlight w:val="none"/>
              </w:rPr>
              <w:t>建筑业</w:t>
            </w:r>
          </w:p>
        </w:tc>
        <w:tc>
          <w:tcPr>
            <w:tcW w:w="1492" w:type="dxa"/>
            <w:tcBorders>
              <w:left w:val="single" w:color="4F81BD" w:sz="2" w:space="0"/>
              <w:right w:val="single" w:color="4F81BD" w:sz="2" w:space="0"/>
            </w:tcBorders>
          </w:tcPr>
          <w:p w14:paraId="02BC982F">
            <w:pPr>
              <w:pStyle w:val="33"/>
              <w:spacing w:before="193" w:line="221" w:lineRule="auto"/>
              <w:ind w:left="133"/>
              <w:rPr>
                <w:sz w:val="21"/>
                <w:szCs w:val="21"/>
                <w:highlight w:val="none"/>
              </w:rPr>
            </w:pPr>
            <w:r>
              <w:rPr>
                <w:spacing w:val="9"/>
                <w:sz w:val="21"/>
                <w:szCs w:val="21"/>
                <w:highlight w:val="none"/>
              </w:rPr>
              <w:t>营业收入(Y)</w:t>
            </w:r>
          </w:p>
        </w:tc>
        <w:tc>
          <w:tcPr>
            <w:tcW w:w="726" w:type="dxa"/>
            <w:tcBorders>
              <w:left w:val="single" w:color="4F81BD" w:sz="2" w:space="0"/>
              <w:right w:val="single" w:color="4F81BD" w:sz="2" w:space="0"/>
            </w:tcBorders>
          </w:tcPr>
          <w:p w14:paraId="04C3F846">
            <w:pPr>
              <w:pStyle w:val="33"/>
              <w:spacing w:before="193" w:line="221" w:lineRule="auto"/>
              <w:ind w:left="144"/>
              <w:rPr>
                <w:sz w:val="21"/>
                <w:szCs w:val="21"/>
                <w:highlight w:val="none"/>
              </w:rPr>
            </w:pPr>
            <w:r>
              <w:rPr>
                <w:spacing w:val="1"/>
                <w:sz w:val="21"/>
                <w:szCs w:val="21"/>
                <w:highlight w:val="none"/>
              </w:rPr>
              <w:t>万元</w:t>
            </w:r>
          </w:p>
        </w:tc>
        <w:tc>
          <w:tcPr>
            <w:tcW w:w="1244" w:type="dxa"/>
            <w:tcBorders>
              <w:left w:val="single" w:color="4F81BD" w:sz="2" w:space="0"/>
              <w:right w:val="single" w:color="4F81BD" w:sz="2" w:space="0"/>
            </w:tcBorders>
          </w:tcPr>
          <w:p w14:paraId="5C1DCBD5">
            <w:pPr>
              <w:pStyle w:val="33"/>
              <w:spacing w:before="193" w:line="239" w:lineRule="auto"/>
              <w:ind w:left="171"/>
              <w:rPr>
                <w:sz w:val="21"/>
                <w:szCs w:val="21"/>
                <w:highlight w:val="none"/>
              </w:rPr>
            </w:pPr>
            <w:r>
              <w:rPr>
                <w:spacing w:val="7"/>
                <w:sz w:val="21"/>
                <w:szCs w:val="21"/>
                <w:highlight w:val="none"/>
              </w:rPr>
              <w:t>Y≥80000</w:t>
            </w:r>
          </w:p>
        </w:tc>
        <w:tc>
          <w:tcPr>
            <w:tcW w:w="1961" w:type="dxa"/>
            <w:tcBorders>
              <w:left w:val="single" w:color="4F81BD" w:sz="2" w:space="0"/>
              <w:right w:val="single" w:color="4F81BD" w:sz="2" w:space="0"/>
            </w:tcBorders>
          </w:tcPr>
          <w:p w14:paraId="5D436162">
            <w:pPr>
              <w:pStyle w:val="33"/>
              <w:spacing w:before="193" w:line="237" w:lineRule="auto"/>
              <w:ind w:left="197"/>
              <w:rPr>
                <w:sz w:val="21"/>
                <w:szCs w:val="21"/>
                <w:highlight w:val="none"/>
              </w:rPr>
            </w:pPr>
            <w:r>
              <w:rPr>
                <w:spacing w:val="7"/>
                <w:sz w:val="21"/>
                <w:szCs w:val="21"/>
                <w:highlight w:val="none"/>
              </w:rPr>
              <w:t>6000≤Y＜80000</w:t>
            </w:r>
          </w:p>
        </w:tc>
        <w:tc>
          <w:tcPr>
            <w:tcW w:w="1756" w:type="dxa"/>
            <w:tcBorders>
              <w:left w:val="single" w:color="4F81BD" w:sz="2" w:space="0"/>
              <w:right w:val="single" w:color="4F81BD" w:sz="2" w:space="0"/>
            </w:tcBorders>
          </w:tcPr>
          <w:p w14:paraId="41AE6C93">
            <w:pPr>
              <w:pStyle w:val="33"/>
              <w:spacing w:before="193" w:line="237" w:lineRule="auto"/>
              <w:ind w:left="211"/>
              <w:rPr>
                <w:sz w:val="21"/>
                <w:szCs w:val="21"/>
                <w:highlight w:val="none"/>
              </w:rPr>
            </w:pPr>
            <w:r>
              <w:rPr>
                <w:spacing w:val="7"/>
                <w:sz w:val="21"/>
                <w:szCs w:val="21"/>
                <w:highlight w:val="none"/>
              </w:rPr>
              <w:t>300≤Y＜6000</w:t>
            </w:r>
          </w:p>
        </w:tc>
        <w:tc>
          <w:tcPr>
            <w:tcW w:w="1028" w:type="dxa"/>
            <w:tcBorders>
              <w:left w:val="single" w:color="4F81BD" w:sz="2" w:space="0"/>
              <w:right w:val="single" w:color="4F81BD" w:sz="2" w:space="0"/>
            </w:tcBorders>
          </w:tcPr>
          <w:p w14:paraId="487BDF15">
            <w:pPr>
              <w:pStyle w:val="33"/>
              <w:spacing w:before="193" w:line="241" w:lineRule="auto"/>
              <w:ind w:left="179"/>
              <w:rPr>
                <w:sz w:val="21"/>
                <w:szCs w:val="21"/>
                <w:highlight w:val="none"/>
              </w:rPr>
            </w:pPr>
            <w:r>
              <w:rPr>
                <w:spacing w:val="6"/>
                <w:sz w:val="21"/>
                <w:szCs w:val="21"/>
                <w:highlight w:val="none"/>
              </w:rPr>
              <w:t>Y＜300</w:t>
            </w:r>
          </w:p>
        </w:tc>
      </w:tr>
      <w:tr w14:paraId="5DCDF333">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5" w:hRule="atLeast"/>
          <w:jc w:val="center"/>
        </w:trPr>
        <w:tc>
          <w:tcPr>
            <w:tcW w:w="1151" w:type="dxa"/>
            <w:vMerge w:val="continue"/>
            <w:tcBorders>
              <w:top w:val="nil"/>
              <w:right w:val="single" w:color="4F81BD" w:sz="2" w:space="0"/>
            </w:tcBorders>
          </w:tcPr>
          <w:p w14:paraId="128FC964">
            <w:pPr>
              <w:rPr>
                <w:highlight w:val="none"/>
              </w:rPr>
            </w:pPr>
          </w:p>
        </w:tc>
        <w:tc>
          <w:tcPr>
            <w:tcW w:w="1492" w:type="dxa"/>
            <w:tcBorders>
              <w:left w:val="single" w:color="000000" w:sz="2" w:space="0"/>
            </w:tcBorders>
            <w:shd w:val="clear" w:color="auto" w:fill="B8CCE4"/>
          </w:tcPr>
          <w:p w14:paraId="7C5153D3">
            <w:pPr>
              <w:pStyle w:val="33"/>
              <w:spacing w:before="192" w:line="221" w:lineRule="auto"/>
              <w:ind w:left="135"/>
              <w:rPr>
                <w:sz w:val="21"/>
                <w:szCs w:val="21"/>
                <w:highlight w:val="none"/>
              </w:rPr>
            </w:pPr>
            <w:r>
              <w:rPr>
                <w:spacing w:val="8"/>
                <w:sz w:val="21"/>
                <w:szCs w:val="21"/>
                <w:highlight w:val="none"/>
              </w:rPr>
              <w:t>资产总额(Z)</w:t>
            </w:r>
          </w:p>
        </w:tc>
        <w:tc>
          <w:tcPr>
            <w:tcW w:w="726" w:type="dxa"/>
            <w:shd w:val="clear" w:color="auto" w:fill="B8CCE4"/>
          </w:tcPr>
          <w:p w14:paraId="224698B1">
            <w:pPr>
              <w:pStyle w:val="33"/>
              <w:spacing w:before="193" w:line="221" w:lineRule="auto"/>
              <w:ind w:left="142"/>
              <w:rPr>
                <w:sz w:val="21"/>
                <w:szCs w:val="21"/>
                <w:highlight w:val="none"/>
              </w:rPr>
            </w:pPr>
            <w:r>
              <w:rPr>
                <w:spacing w:val="1"/>
                <w:sz w:val="21"/>
                <w:szCs w:val="21"/>
                <w:highlight w:val="none"/>
              </w:rPr>
              <w:t>万元</w:t>
            </w:r>
          </w:p>
        </w:tc>
        <w:tc>
          <w:tcPr>
            <w:tcW w:w="1244" w:type="dxa"/>
            <w:shd w:val="clear" w:color="auto" w:fill="B8CCE4"/>
          </w:tcPr>
          <w:p w14:paraId="5C7E3BD4">
            <w:pPr>
              <w:pStyle w:val="33"/>
              <w:spacing w:before="192" w:line="239" w:lineRule="auto"/>
              <w:ind w:left="171"/>
              <w:rPr>
                <w:sz w:val="21"/>
                <w:szCs w:val="21"/>
                <w:highlight w:val="none"/>
              </w:rPr>
            </w:pPr>
            <w:r>
              <w:rPr>
                <w:spacing w:val="6"/>
                <w:sz w:val="21"/>
                <w:szCs w:val="21"/>
                <w:highlight w:val="none"/>
              </w:rPr>
              <w:t>Z≥80000</w:t>
            </w:r>
          </w:p>
        </w:tc>
        <w:tc>
          <w:tcPr>
            <w:tcW w:w="1961" w:type="dxa"/>
            <w:shd w:val="clear" w:color="auto" w:fill="B8CCE4"/>
          </w:tcPr>
          <w:p w14:paraId="0D90A638">
            <w:pPr>
              <w:pStyle w:val="33"/>
              <w:spacing w:before="193" w:line="237" w:lineRule="auto"/>
              <w:ind w:left="197"/>
              <w:rPr>
                <w:sz w:val="21"/>
                <w:szCs w:val="21"/>
                <w:highlight w:val="none"/>
              </w:rPr>
            </w:pPr>
            <w:r>
              <w:rPr>
                <w:spacing w:val="7"/>
                <w:sz w:val="21"/>
                <w:szCs w:val="21"/>
                <w:highlight w:val="none"/>
              </w:rPr>
              <w:t>5000≤Z＜80000</w:t>
            </w:r>
          </w:p>
        </w:tc>
        <w:tc>
          <w:tcPr>
            <w:tcW w:w="1756" w:type="dxa"/>
            <w:shd w:val="clear" w:color="auto" w:fill="B8CCE4"/>
          </w:tcPr>
          <w:p w14:paraId="2BE9EA64">
            <w:pPr>
              <w:pStyle w:val="33"/>
              <w:spacing w:before="193" w:line="237" w:lineRule="auto"/>
              <w:ind w:left="209"/>
              <w:rPr>
                <w:sz w:val="21"/>
                <w:szCs w:val="21"/>
                <w:highlight w:val="none"/>
              </w:rPr>
            </w:pPr>
            <w:r>
              <w:rPr>
                <w:spacing w:val="7"/>
                <w:sz w:val="21"/>
                <w:szCs w:val="21"/>
                <w:highlight w:val="none"/>
              </w:rPr>
              <w:t>300≤Z＜5000</w:t>
            </w:r>
          </w:p>
        </w:tc>
        <w:tc>
          <w:tcPr>
            <w:tcW w:w="1028" w:type="dxa"/>
            <w:shd w:val="clear" w:color="auto" w:fill="B8CCE4"/>
          </w:tcPr>
          <w:p w14:paraId="7A54D30D">
            <w:pPr>
              <w:pStyle w:val="33"/>
              <w:spacing w:before="192" w:line="241" w:lineRule="auto"/>
              <w:ind w:left="179"/>
              <w:rPr>
                <w:sz w:val="21"/>
                <w:szCs w:val="21"/>
                <w:highlight w:val="none"/>
              </w:rPr>
            </w:pPr>
            <w:r>
              <w:rPr>
                <w:spacing w:val="6"/>
                <w:sz w:val="21"/>
                <w:szCs w:val="21"/>
                <w:highlight w:val="none"/>
              </w:rPr>
              <w:t>Z＜300</w:t>
            </w:r>
          </w:p>
        </w:tc>
      </w:tr>
      <w:tr w14:paraId="0A1A76BD">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5" w:hRule="atLeast"/>
          <w:jc w:val="center"/>
        </w:trPr>
        <w:tc>
          <w:tcPr>
            <w:tcW w:w="1151" w:type="dxa"/>
            <w:vMerge w:val="restart"/>
            <w:tcBorders>
              <w:bottom w:val="nil"/>
              <w:right w:val="single" w:color="4F81BD" w:sz="2" w:space="0"/>
            </w:tcBorders>
          </w:tcPr>
          <w:p w14:paraId="662E6DD7">
            <w:pPr>
              <w:spacing w:line="424" w:lineRule="auto"/>
              <w:rPr>
                <w:highlight w:val="none"/>
              </w:rPr>
            </w:pPr>
          </w:p>
          <w:p w14:paraId="0EC51D6A">
            <w:pPr>
              <w:pStyle w:val="33"/>
              <w:spacing w:before="68" w:line="221" w:lineRule="auto"/>
              <w:ind w:left="237"/>
              <w:rPr>
                <w:sz w:val="21"/>
                <w:szCs w:val="21"/>
                <w:highlight w:val="none"/>
              </w:rPr>
            </w:pPr>
            <w:r>
              <w:rPr>
                <w:spacing w:val="8"/>
                <w:sz w:val="21"/>
                <w:szCs w:val="21"/>
                <w:highlight w:val="none"/>
              </w:rPr>
              <w:t>批发业</w:t>
            </w:r>
          </w:p>
        </w:tc>
        <w:tc>
          <w:tcPr>
            <w:tcW w:w="1492" w:type="dxa"/>
            <w:tcBorders>
              <w:left w:val="single" w:color="4F81BD" w:sz="2" w:space="0"/>
              <w:right w:val="single" w:color="4F81BD" w:sz="2" w:space="0"/>
            </w:tcBorders>
          </w:tcPr>
          <w:p w14:paraId="42F92FA3">
            <w:pPr>
              <w:pStyle w:val="33"/>
              <w:spacing w:before="193" w:line="221" w:lineRule="auto"/>
              <w:ind w:left="128"/>
              <w:rPr>
                <w:sz w:val="21"/>
                <w:szCs w:val="21"/>
                <w:highlight w:val="none"/>
              </w:rPr>
            </w:pPr>
            <w:r>
              <w:rPr>
                <w:spacing w:val="2"/>
                <w:sz w:val="21"/>
                <w:szCs w:val="21"/>
                <w:highlight w:val="none"/>
              </w:rPr>
              <w:t>从业人员</w:t>
            </w:r>
            <w:r>
              <w:rPr>
                <w:spacing w:val="-43"/>
                <w:sz w:val="21"/>
                <w:szCs w:val="21"/>
                <w:highlight w:val="none"/>
              </w:rPr>
              <w:t xml:space="preserve"> </w:t>
            </w:r>
            <w:r>
              <w:rPr>
                <w:spacing w:val="2"/>
                <w:sz w:val="21"/>
                <w:szCs w:val="21"/>
                <w:highlight w:val="none"/>
              </w:rPr>
              <w:t>(X)</w:t>
            </w:r>
          </w:p>
        </w:tc>
        <w:tc>
          <w:tcPr>
            <w:tcW w:w="726" w:type="dxa"/>
            <w:tcBorders>
              <w:left w:val="single" w:color="4F81BD" w:sz="2" w:space="0"/>
              <w:right w:val="single" w:color="4F81BD" w:sz="2" w:space="0"/>
            </w:tcBorders>
          </w:tcPr>
          <w:p w14:paraId="236B8BD2">
            <w:pPr>
              <w:pStyle w:val="33"/>
              <w:spacing w:before="193" w:line="223" w:lineRule="auto"/>
              <w:ind w:left="254"/>
              <w:rPr>
                <w:sz w:val="21"/>
                <w:szCs w:val="21"/>
                <w:highlight w:val="none"/>
              </w:rPr>
            </w:pPr>
            <w:r>
              <w:rPr>
                <w:sz w:val="21"/>
                <w:szCs w:val="21"/>
                <w:highlight w:val="none"/>
              </w:rPr>
              <w:t>人</w:t>
            </w:r>
          </w:p>
        </w:tc>
        <w:tc>
          <w:tcPr>
            <w:tcW w:w="1244" w:type="dxa"/>
            <w:tcBorders>
              <w:left w:val="single" w:color="4F81BD" w:sz="2" w:space="0"/>
              <w:right w:val="single" w:color="4F81BD" w:sz="2" w:space="0"/>
            </w:tcBorders>
          </w:tcPr>
          <w:p w14:paraId="3FAFBC0D">
            <w:pPr>
              <w:pStyle w:val="33"/>
              <w:spacing w:before="192" w:line="239" w:lineRule="auto"/>
              <w:ind w:left="284"/>
              <w:rPr>
                <w:sz w:val="21"/>
                <w:szCs w:val="21"/>
                <w:highlight w:val="none"/>
              </w:rPr>
            </w:pPr>
            <w:r>
              <w:rPr>
                <w:spacing w:val="6"/>
                <w:sz w:val="21"/>
                <w:szCs w:val="21"/>
                <w:highlight w:val="none"/>
              </w:rPr>
              <w:t>X≥200</w:t>
            </w:r>
          </w:p>
        </w:tc>
        <w:tc>
          <w:tcPr>
            <w:tcW w:w="1961" w:type="dxa"/>
            <w:tcBorders>
              <w:left w:val="single" w:color="4F81BD" w:sz="2" w:space="0"/>
              <w:right w:val="single" w:color="4F81BD" w:sz="2" w:space="0"/>
            </w:tcBorders>
          </w:tcPr>
          <w:p w14:paraId="1D7C299D">
            <w:pPr>
              <w:pStyle w:val="33"/>
              <w:spacing w:before="192" w:line="237" w:lineRule="auto"/>
              <w:ind w:left="423"/>
              <w:rPr>
                <w:sz w:val="21"/>
                <w:szCs w:val="21"/>
                <w:highlight w:val="none"/>
              </w:rPr>
            </w:pPr>
            <w:r>
              <w:rPr>
                <w:spacing w:val="7"/>
                <w:sz w:val="21"/>
                <w:szCs w:val="21"/>
                <w:highlight w:val="none"/>
              </w:rPr>
              <w:t>20≤X＜200</w:t>
            </w:r>
          </w:p>
        </w:tc>
        <w:tc>
          <w:tcPr>
            <w:tcW w:w="1756" w:type="dxa"/>
            <w:tcBorders>
              <w:left w:val="single" w:color="4F81BD" w:sz="2" w:space="0"/>
              <w:right w:val="single" w:color="4F81BD" w:sz="2" w:space="0"/>
            </w:tcBorders>
          </w:tcPr>
          <w:p w14:paraId="5A318733">
            <w:pPr>
              <w:pStyle w:val="33"/>
              <w:spacing w:before="192" w:line="237" w:lineRule="auto"/>
              <w:ind w:left="437"/>
              <w:rPr>
                <w:sz w:val="21"/>
                <w:szCs w:val="21"/>
                <w:highlight w:val="none"/>
              </w:rPr>
            </w:pPr>
            <w:r>
              <w:rPr>
                <w:spacing w:val="7"/>
                <w:sz w:val="21"/>
                <w:szCs w:val="21"/>
                <w:highlight w:val="none"/>
              </w:rPr>
              <w:t>5≤X＜20</w:t>
            </w:r>
          </w:p>
        </w:tc>
        <w:tc>
          <w:tcPr>
            <w:tcW w:w="1028" w:type="dxa"/>
            <w:tcBorders>
              <w:left w:val="single" w:color="4F81BD" w:sz="2" w:space="0"/>
              <w:right w:val="single" w:color="4F81BD" w:sz="2" w:space="0"/>
            </w:tcBorders>
          </w:tcPr>
          <w:p w14:paraId="32AD5D89">
            <w:pPr>
              <w:pStyle w:val="33"/>
              <w:spacing w:before="192" w:line="241" w:lineRule="auto"/>
              <w:ind w:left="292"/>
              <w:rPr>
                <w:sz w:val="21"/>
                <w:szCs w:val="21"/>
                <w:highlight w:val="none"/>
              </w:rPr>
            </w:pPr>
            <w:r>
              <w:rPr>
                <w:spacing w:val="6"/>
                <w:sz w:val="21"/>
                <w:szCs w:val="21"/>
                <w:highlight w:val="none"/>
              </w:rPr>
              <w:t>X＜5</w:t>
            </w:r>
          </w:p>
        </w:tc>
      </w:tr>
      <w:tr w14:paraId="4C867C02">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2" w:hRule="atLeast"/>
          <w:jc w:val="center"/>
        </w:trPr>
        <w:tc>
          <w:tcPr>
            <w:tcW w:w="1151" w:type="dxa"/>
            <w:vMerge w:val="continue"/>
            <w:tcBorders>
              <w:top w:val="nil"/>
              <w:right w:val="single" w:color="4F81BD" w:sz="2" w:space="0"/>
            </w:tcBorders>
          </w:tcPr>
          <w:p w14:paraId="35C97505">
            <w:pPr>
              <w:rPr>
                <w:highlight w:val="none"/>
              </w:rPr>
            </w:pPr>
          </w:p>
        </w:tc>
        <w:tc>
          <w:tcPr>
            <w:tcW w:w="1492" w:type="dxa"/>
            <w:tcBorders>
              <w:left w:val="single" w:color="000000" w:sz="2" w:space="0"/>
            </w:tcBorders>
            <w:shd w:val="clear" w:color="auto" w:fill="B8CCE4"/>
          </w:tcPr>
          <w:p w14:paraId="325AB188">
            <w:pPr>
              <w:pStyle w:val="33"/>
              <w:spacing w:before="192" w:line="221" w:lineRule="auto"/>
              <w:ind w:left="133"/>
              <w:rPr>
                <w:sz w:val="21"/>
                <w:szCs w:val="21"/>
                <w:highlight w:val="none"/>
              </w:rPr>
            </w:pPr>
            <w:r>
              <w:rPr>
                <w:spacing w:val="9"/>
                <w:sz w:val="21"/>
                <w:szCs w:val="21"/>
                <w:highlight w:val="none"/>
              </w:rPr>
              <w:t>营业收入(Y)</w:t>
            </w:r>
          </w:p>
        </w:tc>
        <w:tc>
          <w:tcPr>
            <w:tcW w:w="726" w:type="dxa"/>
            <w:shd w:val="clear" w:color="auto" w:fill="B8CCE4"/>
          </w:tcPr>
          <w:p w14:paraId="303B4808">
            <w:pPr>
              <w:pStyle w:val="33"/>
              <w:spacing w:before="192" w:line="221" w:lineRule="auto"/>
              <w:ind w:left="142"/>
              <w:rPr>
                <w:sz w:val="21"/>
                <w:szCs w:val="21"/>
                <w:highlight w:val="none"/>
              </w:rPr>
            </w:pPr>
            <w:r>
              <w:rPr>
                <w:spacing w:val="1"/>
                <w:sz w:val="21"/>
                <w:szCs w:val="21"/>
                <w:highlight w:val="none"/>
              </w:rPr>
              <w:t>万元</w:t>
            </w:r>
          </w:p>
        </w:tc>
        <w:tc>
          <w:tcPr>
            <w:tcW w:w="1244" w:type="dxa"/>
            <w:shd w:val="clear" w:color="auto" w:fill="B8CCE4"/>
          </w:tcPr>
          <w:p w14:paraId="4B536D60">
            <w:pPr>
              <w:pStyle w:val="33"/>
              <w:spacing w:before="192" w:line="239" w:lineRule="auto"/>
              <w:ind w:left="168"/>
              <w:rPr>
                <w:sz w:val="21"/>
                <w:szCs w:val="21"/>
                <w:highlight w:val="none"/>
              </w:rPr>
            </w:pPr>
            <w:r>
              <w:rPr>
                <w:spacing w:val="7"/>
                <w:sz w:val="21"/>
                <w:szCs w:val="21"/>
                <w:highlight w:val="none"/>
              </w:rPr>
              <w:t>Y≥40000</w:t>
            </w:r>
          </w:p>
        </w:tc>
        <w:tc>
          <w:tcPr>
            <w:tcW w:w="1961" w:type="dxa"/>
            <w:shd w:val="clear" w:color="auto" w:fill="B8CCE4"/>
          </w:tcPr>
          <w:p w14:paraId="315B90DC">
            <w:pPr>
              <w:pStyle w:val="33"/>
              <w:spacing w:before="192" w:line="237" w:lineRule="auto"/>
              <w:ind w:left="197"/>
              <w:rPr>
                <w:sz w:val="21"/>
                <w:szCs w:val="21"/>
                <w:highlight w:val="none"/>
              </w:rPr>
            </w:pPr>
            <w:r>
              <w:rPr>
                <w:spacing w:val="7"/>
                <w:sz w:val="21"/>
                <w:szCs w:val="21"/>
                <w:highlight w:val="none"/>
              </w:rPr>
              <w:t>5000≤Y＜40000</w:t>
            </w:r>
          </w:p>
        </w:tc>
        <w:tc>
          <w:tcPr>
            <w:tcW w:w="1756" w:type="dxa"/>
            <w:shd w:val="clear" w:color="auto" w:fill="B8CCE4"/>
          </w:tcPr>
          <w:p w14:paraId="03BBB069">
            <w:pPr>
              <w:pStyle w:val="33"/>
              <w:spacing w:before="192" w:line="237" w:lineRule="auto"/>
              <w:ind w:left="165"/>
              <w:rPr>
                <w:sz w:val="21"/>
                <w:szCs w:val="21"/>
                <w:highlight w:val="none"/>
              </w:rPr>
            </w:pPr>
            <w:r>
              <w:rPr>
                <w:spacing w:val="6"/>
                <w:sz w:val="21"/>
                <w:szCs w:val="21"/>
                <w:highlight w:val="none"/>
              </w:rPr>
              <w:t>1000≤Y＜5000</w:t>
            </w:r>
          </w:p>
        </w:tc>
        <w:tc>
          <w:tcPr>
            <w:tcW w:w="1028" w:type="dxa"/>
            <w:shd w:val="clear" w:color="auto" w:fill="B8CCE4"/>
          </w:tcPr>
          <w:p w14:paraId="6C918F2D">
            <w:pPr>
              <w:pStyle w:val="33"/>
              <w:spacing w:before="192" w:line="241" w:lineRule="auto"/>
              <w:ind w:left="119"/>
              <w:rPr>
                <w:sz w:val="21"/>
                <w:szCs w:val="21"/>
                <w:highlight w:val="none"/>
              </w:rPr>
            </w:pPr>
            <w:r>
              <w:rPr>
                <w:spacing w:val="-4"/>
                <w:sz w:val="21"/>
                <w:szCs w:val="21"/>
                <w:highlight w:val="none"/>
              </w:rPr>
              <w:t>Y＜</w:t>
            </w:r>
            <w:r>
              <w:rPr>
                <w:spacing w:val="-40"/>
                <w:sz w:val="21"/>
                <w:szCs w:val="21"/>
                <w:highlight w:val="none"/>
              </w:rPr>
              <w:t xml:space="preserve"> </w:t>
            </w:r>
            <w:r>
              <w:rPr>
                <w:spacing w:val="-4"/>
                <w:sz w:val="21"/>
                <w:szCs w:val="21"/>
                <w:highlight w:val="none"/>
              </w:rPr>
              <w:t>1000</w:t>
            </w:r>
          </w:p>
        </w:tc>
      </w:tr>
      <w:tr w14:paraId="4460A6BA">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5" w:hRule="atLeast"/>
          <w:jc w:val="center"/>
        </w:trPr>
        <w:tc>
          <w:tcPr>
            <w:tcW w:w="1151" w:type="dxa"/>
            <w:vMerge w:val="restart"/>
            <w:tcBorders>
              <w:bottom w:val="nil"/>
              <w:right w:val="single" w:color="4F81BD" w:sz="2" w:space="0"/>
            </w:tcBorders>
          </w:tcPr>
          <w:p w14:paraId="0EEDF3B1">
            <w:pPr>
              <w:spacing w:line="424" w:lineRule="auto"/>
              <w:rPr>
                <w:highlight w:val="none"/>
              </w:rPr>
            </w:pPr>
          </w:p>
          <w:p w14:paraId="28DE5C8C">
            <w:pPr>
              <w:pStyle w:val="33"/>
              <w:spacing w:before="68" w:line="221" w:lineRule="auto"/>
              <w:ind w:left="239"/>
              <w:rPr>
                <w:sz w:val="21"/>
                <w:szCs w:val="21"/>
                <w:highlight w:val="none"/>
              </w:rPr>
            </w:pPr>
            <w:r>
              <w:rPr>
                <w:spacing w:val="7"/>
                <w:sz w:val="21"/>
                <w:szCs w:val="21"/>
                <w:highlight w:val="none"/>
              </w:rPr>
              <w:t>零售业</w:t>
            </w:r>
          </w:p>
        </w:tc>
        <w:tc>
          <w:tcPr>
            <w:tcW w:w="1492" w:type="dxa"/>
            <w:tcBorders>
              <w:left w:val="single" w:color="4F81BD" w:sz="2" w:space="0"/>
              <w:right w:val="single" w:color="4F81BD" w:sz="2" w:space="0"/>
            </w:tcBorders>
          </w:tcPr>
          <w:p w14:paraId="769CDD4A">
            <w:pPr>
              <w:pStyle w:val="33"/>
              <w:spacing w:before="193" w:line="221" w:lineRule="auto"/>
              <w:ind w:left="128"/>
              <w:rPr>
                <w:sz w:val="21"/>
                <w:szCs w:val="21"/>
                <w:highlight w:val="none"/>
              </w:rPr>
            </w:pPr>
            <w:r>
              <w:rPr>
                <w:spacing w:val="2"/>
                <w:sz w:val="21"/>
                <w:szCs w:val="21"/>
                <w:highlight w:val="none"/>
              </w:rPr>
              <w:t>从业人员</w:t>
            </w:r>
            <w:r>
              <w:rPr>
                <w:spacing w:val="-43"/>
                <w:sz w:val="21"/>
                <w:szCs w:val="21"/>
                <w:highlight w:val="none"/>
              </w:rPr>
              <w:t xml:space="preserve"> </w:t>
            </w:r>
            <w:r>
              <w:rPr>
                <w:spacing w:val="2"/>
                <w:sz w:val="21"/>
                <w:szCs w:val="21"/>
                <w:highlight w:val="none"/>
              </w:rPr>
              <w:t>(X)</w:t>
            </w:r>
          </w:p>
        </w:tc>
        <w:tc>
          <w:tcPr>
            <w:tcW w:w="726" w:type="dxa"/>
            <w:tcBorders>
              <w:left w:val="single" w:color="4F81BD" w:sz="2" w:space="0"/>
              <w:right w:val="single" w:color="4F81BD" w:sz="2" w:space="0"/>
            </w:tcBorders>
          </w:tcPr>
          <w:p w14:paraId="5A34E538">
            <w:pPr>
              <w:pStyle w:val="33"/>
              <w:spacing w:before="193" w:line="223" w:lineRule="auto"/>
              <w:ind w:left="254"/>
              <w:rPr>
                <w:sz w:val="21"/>
                <w:szCs w:val="21"/>
                <w:highlight w:val="none"/>
              </w:rPr>
            </w:pPr>
            <w:r>
              <w:rPr>
                <w:sz w:val="21"/>
                <w:szCs w:val="21"/>
                <w:highlight w:val="none"/>
              </w:rPr>
              <w:t>人</w:t>
            </w:r>
          </w:p>
        </w:tc>
        <w:tc>
          <w:tcPr>
            <w:tcW w:w="1244" w:type="dxa"/>
            <w:tcBorders>
              <w:left w:val="single" w:color="4F81BD" w:sz="2" w:space="0"/>
              <w:right w:val="single" w:color="4F81BD" w:sz="2" w:space="0"/>
            </w:tcBorders>
          </w:tcPr>
          <w:p w14:paraId="43F621F7">
            <w:pPr>
              <w:pStyle w:val="33"/>
              <w:spacing w:before="192" w:line="239" w:lineRule="auto"/>
              <w:ind w:left="284"/>
              <w:rPr>
                <w:sz w:val="21"/>
                <w:szCs w:val="21"/>
                <w:highlight w:val="none"/>
              </w:rPr>
            </w:pPr>
            <w:r>
              <w:rPr>
                <w:spacing w:val="6"/>
                <w:sz w:val="21"/>
                <w:szCs w:val="21"/>
                <w:highlight w:val="none"/>
              </w:rPr>
              <w:t>X≥300</w:t>
            </w:r>
          </w:p>
        </w:tc>
        <w:tc>
          <w:tcPr>
            <w:tcW w:w="1961" w:type="dxa"/>
            <w:tcBorders>
              <w:left w:val="single" w:color="4F81BD" w:sz="2" w:space="0"/>
              <w:right w:val="single" w:color="4F81BD" w:sz="2" w:space="0"/>
            </w:tcBorders>
          </w:tcPr>
          <w:p w14:paraId="41805058">
            <w:pPr>
              <w:pStyle w:val="33"/>
              <w:spacing w:before="193" w:line="237" w:lineRule="auto"/>
              <w:ind w:left="425"/>
              <w:rPr>
                <w:sz w:val="21"/>
                <w:szCs w:val="21"/>
                <w:highlight w:val="none"/>
              </w:rPr>
            </w:pPr>
            <w:r>
              <w:rPr>
                <w:spacing w:val="7"/>
                <w:sz w:val="21"/>
                <w:szCs w:val="21"/>
                <w:highlight w:val="none"/>
              </w:rPr>
              <w:t>50≤X＜300</w:t>
            </w:r>
          </w:p>
        </w:tc>
        <w:tc>
          <w:tcPr>
            <w:tcW w:w="1756" w:type="dxa"/>
            <w:tcBorders>
              <w:left w:val="single" w:color="4F81BD" w:sz="2" w:space="0"/>
              <w:right w:val="single" w:color="4F81BD" w:sz="2" w:space="0"/>
            </w:tcBorders>
          </w:tcPr>
          <w:p w14:paraId="3D5B141E">
            <w:pPr>
              <w:pStyle w:val="33"/>
              <w:spacing w:before="193" w:line="237" w:lineRule="auto"/>
              <w:ind w:left="393"/>
              <w:rPr>
                <w:sz w:val="21"/>
                <w:szCs w:val="21"/>
                <w:highlight w:val="none"/>
              </w:rPr>
            </w:pPr>
            <w:r>
              <w:rPr>
                <w:spacing w:val="5"/>
                <w:sz w:val="21"/>
                <w:szCs w:val="21"/>
                <w:highlight w:val="none"/>
              </w:rPr>
              <w:t>10≤X＜50</w:t>
            </w:r>
          </w:p>
        </w:tc>
        <w:tc>
          <w:tcPr>
            <w:tcW w:w="1028" w:type="dxa"/>
            <w:tcBorders>
              <w:left w:val="single" w:color="4F81BD" w:sz="2" w:space="0"/>
              <w:right w:val="single" w:color="4F81BD" w:sz="2" w:space="0"/>
            </w:tcBorders>
          </w:tcPr>
          <w:p w14:paraId="3773ED85">
            <w:pPr>
              <w:pStyle w:val="33"/>
              <w:spacing w:before="192" w:line="241" w:lineRule="auto"/>
              <w:ind w:left="237"/>
              <w:rPr>
                <w:sz w:val="21"/>
                <w:szCs w:val="21"/>
                <w:highlight w:val="none"/>
              </w:rPr>
            </w:pPr>
            <w:r>
              <w:rPr>
                <w:spacing w:val="-8"/>
                <w:sz w:val="21"/>
                <w:szCs w:val="21"/>
                <w:highlight w:val="none"/>
              </w:rPr>
              <w:t>X＜</w:t>
            </w:r>
            <w:r>
              <w:rPr>
                <w:spacing w:val="-41"/>
                <w:sz w:val="21"/>
                <w:szCs w:val="21"/>
                <w:highlight w:val="none"/>
              </w:rPr>
              <w:t xml:space="preserve"> </w:t>
            </w:r>
            <w:r>
              <w:rPr>
                <w:spacing w:val="-8"/>
                <w:sz w:val="21"/>
                <w:szCs w:val="21"/>
                <w:highlight w:val="none"/>
              </w:rPr>
              <w:t>10</w:t>
            </w:r>
          </w:p>
        </w:tc>
      </w:tr>
      <w:tr w14:paraId="110CF63A">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5" w:hRule="atLeast"/>
          <w:jc w:val="center"/>
        </w:trPr>
        <w:tc>
          <w:tcPr>
            <w:tcW w:w="1151" w:type="dxa"/>
            <w:vMerge w:val="continue"/>
            <w:tcBorders>
              <w:top w:val="nil"/>
              <w:right w:val="single" w:color="4F81BD" w:sz="2" w:space="0"/>
            </w:tcBorders>
          </w:tcPr>
          <w:p w14:paraId="447A2FF9">
            <w:pPr>
              <w:rPr>
                <w:highlight w:val="none"/>
              </w:rPr>
            </w:pPr>
          </w:p>
        </w:tc>
        <w:tc>
          <w:tcPr>
            <w:tcW w:w="1492" w:type="dxa"/>
            <w:tcBorders>
              <w:left w:val="single" w:color="000000" w:sz="2" w:space="0"/>
            </w:tcBorders>
            <w:shd w:val="clear" w:color="auto" w:fill="B8CCE4"/>
          </w:tcPr>
          <w:p w14:paraId="04819FB9">
            <w:pPr>
              <w:pStyle w:val="33"/>
              <w:spacing w:before="192" w:line="221" w:lineRule="auto"/>
              <w:ind w:left="133"/>
              <w:rPr>
                <w:sz w:val="21"/>
                <w:szCs w:val="21"/>
                <w:highlight w:val="none"/>
              </w:rPr>
            </w:pPr>
            <w:r>
              <w:rPr>
                <w:spacing w:val="9"/>
                <w:sz w:val="21"/>
                <w:szCs w:val="21"/>
                <w:highlight w:val="none"/>
              </w:rPr>
              <w:t>营业收入(Y)</w:t>
            </w:r>
          </w:p>
        </w:tc>
        <w:tc>
          <w:tcPr>
            <w:tcW w:w="726" w:type="dxa"/>
            <w:shd w:val="clear" w:color="auto" w:fill="B8CCE4"/>
          </w:tcPr>
          <w:p w14:paraId="5CB6445E">
            <w:pPr>
              <w:pStyle w:val="33"/>
              <w:spacing w:before="193" w:line="221" w:lineRule="auto"/>
              <w:ind w:left="142"/>
              <w:rPr>
                <w:sz w:val="21"/>
                <w:szCs w:val="21"/>
                <w:highlight w:val="none"/>
              </w:rPr>
            </w:pPr>
            <w:r>
              <w:rPr>
                <w:spacing w:val="1"/>
                <w:sz w:val="21"/>
                <w:szCs w:val="21"/>
                <w:highlight w:val="none"/>
              </w:rPr>
              <w:t>万元</w:t>
            </w:r>
          </w:p>
        </w:tc>
        <w:tc>
          <w:tcPr>
            <w:tcW w:w="1244" w:type="dxa"/>
            <w:shd w:val="clear" w:color="auto" w:fill="B8CCE4"/>
          </w:tcPr>
          <w:p w14:paraId="5F615C7A">
            <w:pPr>
              <w:pStyle w:val="33"/>
              <w:spacing w:before="192" w:line="239" w:lineRule="auto"/>
              <w:ind w:left="168"/>
              <w:rPr>
                <w:sz w:val="21"/>
                <w:szCs w:val="21"/>
                <w:highlight w:val="none"/>
              </w:rPr>
            </w:pPr>
            <w:r>
              <w:rPr>
                <w:spacing w:val="7"/>
                <w:sz w:val="21"/>
                <w:szCs w:val="21"/>
                <w:highlight w:val="none"/>
              </w:rPr>
              <w:t>Y≥20000</w:t>
            </w:r>
          </w:p>
        </w:tc>
        <w:tc>
          <w:tcPr>
            <w:tcW w:w="1961" w:type="dxa"/>
            <w:shd w:val="clear" w:color="auto" w:fill="B8CCE4"/>
          </w:tcPr>
          <w:p w14:paraId="7489B63C">
            <w:pPr>
              <w:pStyle w:val="33"/>
              <w:spacing w:before="192" w:line="237" w:lineRule="auto"/>
              <w:ind w:left="252"/>
              <w:rPr>
                <w:sz w:val="21"/>
                <w:szCs w:val="21"/>
                <w:highlight w:val="none"/>
              </w:rPr>
            </w:pPr>
            <w:r>
              <w:rPr>
                <w:spacing w:val="7"/>
                <w:sz w:val="21"/>
                <w:szCs w:val="21"/>
                <w:highlight w:val="none"/>
              </w:rPr>
              <w:t>500≤Y＜20000</w:t>
            </w:r>
          </w:p>
        </w:tc>
        <w:tc>
          <w:tcPr>
            <w:tcW w:w="1756" w:type="dxa"/>
            <w:shd w:val="clear" w:color="auto" w:fill="B8CCE4"/>
          </w:tcPr>
          <w:p w14:paraId="3A1DB3FB">
            <w:pPr>
              <w:pStyle w:val="33"/>
              <w:spacing w:before="192" w:line="237" w:lineRule="auto"/>
              <w:ind w:left="278"/>
              <w:rPr>
                <w:sz w:val="21"/>
                <w:szCs w:val="21"/>
                <w:highlight w:val="none"/>
              </w:rPr>
            </w:pPr>
            <w:r>
              <w:rPr>
                <w:spacing w:val="6"/>
                <w:sz w:val="21"/>
                <w:szCs w:val="21"/>
                <w:highlight w:val="none"/>
              </w:rPr>
              <w:t>100≤Y＜500</w:t>
            </w:r>
          </w:p>
        </w:tc>
        <w:tc>
          <w:tcPr>
            <w:tcW w:w="1028" w:type="dxa"/>
            <w:shd w:val="clear" w:color="auto" w:fill="B8CCE4"/>
          </w:tcPr>
          <w:p w14:paraId="197B559F">
            <w:pPr>
              <w:pStyle w:val="33"/>
              <w:spacing w:before="192" w:line="241" w:lineRule="auto"/>
              <w:ind w:left="176"/>
              <w:rPr>
                <w:sz w:val="21"/>
                <w:szCs w:val="21"/>
                <w:highlight w:val="none"/>
              </w:rPr>
            </w:pPr>
            <w:r>
              <w:rPr>
                <w:spacing w:val="-6"/>
                <w:sz w:val="21"/>
                <w:szCs w:val="21"/>
                <w:highlight w:val="none"/>
              </w:rPr>
              <w:t>Y＜</w:t>
            </w:r>
            <w:r>
              <w:rPr>
                <w:spacing w:val="-39"/>
                <w:sz w:val="21"/>
                <w:szCs w:val="21"/>
                <w:highlight w:val="none"/>
              </w:rPr>
              <w:t xml:space="preserve"> </w:t>
            </w:r>
            <w:r>
              <w:rPr>
                <w:spacing w:val="-6"/>
                <w:sz w:val="21"/>
                <w:szCs w:val="21"/>
                <w:highlight w:val="none"/>
              </w:rPr>
              <w:t>100</w:t>
            </w:r>
          </w:p>
        </w:tc>
      </w:tr>
      <w:tr w14:paraId="5DC958E6">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2" w:hRule="atLeast"/>
          <w:jc w:val="center"/>
        </w:trPr>
        <w:tc>
          <w:tcPr>
            <w:tcW w:w="1151" w:type="dxa"/>
            <w:vMerge w:val="restart"/>
            <w:tcBorders>
              <w:bottom w:val="nil"/>
              <w:right w:val="single" w:color="4F81BD" w:sz="2" w:space="0"/>
            </w:tcBorders>
          </w:tcPr>
          <w:p w14:paraId="63CBE5E7">
            <w:pPr>
              <w:spacing w:line="267" w:lineRule="auto"/>
              <w:rPr>
                <w:highlight w:val="none"/>
              </w:rPr>
            </w:pPr>
          </w:p>
          <w:p w14:paraId="0F0EE1CE">
            <w:pPr>
              <w:pStyle w:val="33"/>
              <w:spacing w:before="69" w:line="282" w:lineRule="auto"/>
              <w:ind w:left="344" w:right="138" w:hanging="215"/>
              <w:rPr>
                <w:sz w:val="21"/>
                <w:szCs w:val="21"/>
                <w:highlight w:val="none"/>
              </w:rPr>
            </w:pPr>
            <w:r>
              <w:rPr>
                <w:spacing w:val="8"/>
                <w:sz w:val="21"/>
                <w:szCs w:val="21"/>
                <w:highlight w:val="none"/>
              </w:rPr>
              <w:t>交通运输</w:t>
            </w:r>
            <w:r>
              <w:rPr>
                <w:spacing w:val="-4"/>
                <w:sz w:val="21"/>
                <w:szCs w:val="21"/>
                <w:highlight w:val="none"/>
              </w:rPr>
              <w:t>业</w:t>
            </w:r>
            <w:r>
              <w:rPr>
                <w:spacing w:val="37"/>
                <w:sz w:val="21"/>
                <w:szCs w:val="21"/>
                <w:highlight w:val="none"/>
              </w:rPr>
              <w:t xml:space="preserve"> </w:t>
            </w:r>
            <w:r>
              <w:rPr>
                <w:spacing w:val="-4"/>
                <w:sz w:val="21"/>
                <w:szCs w:val="21"/>
                <w:highlight w:val="none"/>
              </w:rPr>
              <w:t>*</w:t>
            </w:r>
          </w:p>
        </w:tc>
        <w:tc>
          <w:tcPr>
            <w:tcW w:w="1492" w:type="dxa"/>
            <w:tcBorders>
              <w:left w:val="single" w:color="4F81BD" w:sz="2" w:space="0"/>
              <w:right w:val="single" w:color="4F81BD" w:sz="2" w:space="0"/>
            </w:tcBorders>
          </w:tcPr>
          <w:p w14:paraId="21FAA757">
            <w:pPr>
              <w:pStyle w:val="33"/>
              <w:spacing w:before="193" w:line="221" w:lineRule="auto"/>
              <w:ind w:left="128"/>
              <w:rPr>
                <w:sz w:val="21"/>
                <w:szCs w:val="21"/>
                <w:highlight w:val="none"/>
              </w:rPr>
            </w:pPr>
            <w:r>
              <w:rPr>
                <w:spacing w:val="2"/>
                <w:sz w:val="21"/>
                <w:szCs w:val="21"/>
                <w:highlight w:val="none"/>
              </w:rPr>
              <w:t>从业人员</w:t>
            </w:r>
            <w:r>
              <w:rPr>
                <w:spacing w:val="-43"/>
                <w:sz w:val="21"/>
                <w:szCs w:val="21"/>
                <w:highlight w:val="none"/>
              </w:rPr>
              <w:t xml:space="preserve"> </w:t>
            </w:r>
            <w:r>
              <w:rPr>
                <w:spacing w:val="2"/>
                <w:sz w:val="21"/>
                <w:szCs w:val="21"/>
                <w:highlight w:val="none"/>
              </w:rPr>
              <w:t>(X)</w:t>
            </w:r>
          </w:p>
        </w:tc>
        <w:tc>
          <w:tcPr>
            <w:tcW w:w="726" w:type="dxa"/>
            <w:tcBorders>
              <w:left w:val="single" w:color="4F81BD" w:sz="2" w:space="0"/>
              <w:right w:val="single" w:color="4F81BD" w:sz="2" w:space="0"/>
            </w:tcBorders>
          </w:tcPr>
          <w:p w14:paraId="228398D6">
            <w:pPr>
              <w:pStyle w:val="33"/>
              <w:spacing w:before="193" w:line="223" w:lineRule="auto"/>
              <w:ind w:left="254"/>
              <w:rPr>
                <w:sz w:val="21"/>
                <w:szCs w:val="21"/>
                <w:highlight w:val="none"/>
              </w:rPr>
            </w:pPr>
            <w:r>
              <w:rPr>
                <w:sz w:val="21"/>
                <w:szCs w:val="21"/>
                <w:highlight w:val="none"/>
              </w:rPr>
              <w:t>人</w:t>
            </w:r>
          </w:p>
        </w:tc>
        <w:tc>
          <w:tcPr>
            <w:tcW w:w="1244" w:type="dxa"/>
            <w:tcBorders>
              <w:left w:val="single" w:color="4F81BD" w:sz="2" w:space="0"/>
              <w:right w:val="single" w:color="4F81BD" w:sz="2" w:space="0"/>
            </w:tcBorders>
          </w:tcPr>
          <w:p w14:paraId="3BE6DC87">
            <w:pPr>
              <w:pStyle w:val="33"/>
              <w:spacing w:before="192" w:line="239" w:lineRule="auto"/>
              <w:ind w:left="227"/>
              <w:rPr>
                <w:sz w:val="21"/>
                <w:szCs w:val="21"/>
                <w:highlight w:val="none"/>
              </w:rPr>
            </w:pPr>
            <w:r>
              <w:rPr>
                <w:spacing w:val="6"/>
                <w:sz w:val="21"/>
                <w:szCs w:val="21"/>
                <w:highlight w:val="none"/>
              </w:rPr>
              <w:t>X≥1000</w:t>
            </w:r>
          </w:p>
        </w:tc>
        <w:tc>
          <w:tcPr>
            <w:tcW w:w="1961" w:type="dxa"/>
            <w:tcBorders>
              <w:left w:val="single" w:color="4F81BD" w:sz="2" w:space="0"/>
              <w:right w:val="single" w:color="4F81BD" w:sz="2" w:space="0"/>
            </w:tcBorders>
          </w:tcPr>
          <w:p w14:paraId="6D570B41">
            <w:pPr>
              <w:pStyle w:val="33"/>
              <w:spacing w:before="193" w:line="237" w:lineRule="auto"/>
              <w:ind w:left="312"/>
              <w:rPr>
                <w:sz w:val="21"/>
                <w:szCs w:val="21"/>
                <w:highlight w:val="none"/>
              </w:rPr>
            </w:pPr>
            <w:r>
              <w:rPr>
                <w:spacing w:val="1"/>
                <w:sz w:val="21"/>
                <w:szCs w:val="21"/>
                <w:highlight w:val="none"/>
              </w:rPr>
              <w:t>300≤X＜</w:t>
            </w:r>
            <w:r>
              <w:rPr>
                <w:spacing w:val="-42"/>
                <w:sz w:val="21"/>
                <w:szCs w:val="21"/>
                <w:highlight w:val="none"/>
              </w:rPr>
              <w:t xml:space="preserve"> </w:t>
            </w:r>
            <w:r>
              <w:rPr>
                <w:spacing w:val="1"/>
                <w:sz w:val="21"/>
                <w:szCs w:val="21"/>
                <w:highlight w:val="none"/>
              </w:rPr>
              <w:t>1000</w:t>
            </w:r>
          </w:p>
        </w:tc>
        <w:tc>
          <w:tcPr>
            <w:tcW w:w="1756" w:type="dxa"/>
            <w:tcBorders>
              <w:left w:val="single" w:color="4F81BD" w:sz="2" w:space="0"/>
              <w:right w:val="single" w:color="4F81BD" w:sz="2" w:space="0"/>
            </w:tcBorders>
          </w:tcPr>
          <w:p w14:paraId="36906816">
            <w:pPr>
              <w:pStyle w:val="33"/>
              <w:spacing w:before="193" w:line="237" w:lineRule="auto"/>
              <w:ind w:left="322"/>
              <w:rPr>
                <w:sz w:val="21"/>
                <w:szCs w:val="21"/>
                <w:highlight w:val="none"/>
              </w:rPr>
            </w:pPr>
            <w:r>
              <w:rPr>
                <w:spacing w:val="7"/>
                <w:sz w:val="21"/>
                <w:szCs w:val="21"/>
                <w:highlight w:val="none"/>
              </w:rPr>
              <w:t>20≤X＜300</w:t>
            </w:r>
          </w:p>
        </w:tc>
        <w:tc>
          <w:tcPr>
            <w:tcW w:w="1028" w:type="dxa"/>
            <w:tcBorders>
              <w:left w:val="single" w:color="4F81BD" w:sz="2" w:space="0"/>
              <w:right w:val="single" w:color="4F81BD" w:sz="2" w:space="0"/>
            </w:tcBorders>
          </w:tcPr>
          <w:p w14:paraId="45864F3D">
            <w:pPr>
              <w:pStyle w:val="33"/>
              <w:spacing w:before="192" w:line="241" w:lineRule="auto"/>
              <w:ind w:left="237"/>
              <w:rPr>
                <w:sz w:val="21"/>
                <w:szCs w:val="21"/>
                <w:highlight w:val="none"/>
              </w:rPr>
            </w:pPr>
            <w:r>
              <w:rPr>
                <w:spacing w:val="6"/>
                <w:sz w:val="21"/>
                <w:szCs w:val="21"/>
                <w:highlight w:val="none"/>
              </w:rPr>
              <w:t>X＜20</w:t>
            </w:r>
          </w:p>
        </w:tc>
      </w:tr>
      <w:tr w14:paraId="3C11C27D">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5" w:hRule="atLeast"/>
          <w:jc w:val="center"/>
        </w:trPr>
        <w:tc>
          <w:tcPr>
            <w:tcW w:w="1151" w:type="dxa"/>
            <w:vMerge w:val="continue"/>
            <w:tcBorders>
              <w:top w:val="nil"/>
              <w:right w:val="single" w:color="4F81BD" w:sz="2" w:space="0"/>
            </w:tcBorders>
          </w:tcPr>
          <w:p w14:paraId="43B53F9C">
            <w:pPr>
              <w:rPr>
                <w:highlight w:val="none"/>
              </w:rPr>
            </w:pPr>
          </w:p>
        </w:tc>
        <w:tc>
          <w:tcPr>
            <w:tcW w:w="1492" w:type="dxa"/>
            <w:tcBorders>
              <w:left w:val="single" w:color="000000" w:sz="2" w:space="0"/>
            </w:tcBorders>
            <w:shd w:val="clear" w:color="auto" w:fill="B8CCE4"/>
          </w:tcPr>
          <w:p w14:paraId="1A0B8313">
            <w:pPr>
              <w:pStyle w:val="33"/>
              <w:spacing w:before="192" w:line="221" w:lineRule="auto"/>
              <w:ind w:left="133"/>
              <w:rPr>
                <w:sz w:val="21"/>
                <w:szCs w:val="21"/>
                <w:highlight w:val="none"/>
              </w:rPr>
            </w:pPr>
            <w:r>
              <w:rPr>
                <w:spacing w:val="9"/>
                <w:sz w:val="21"/>
                <w:szCs w:val="21"/>
                <w:highlight w:val="none"/>
              </w:rPr>
              <w:t>营业收入(Y)</w:t>
            </w:r>
          </w:p>
        </w:tc>
        <w:tc>
          <w:tcPr>
            <w:tcW w:w="726" w:type="dxa"/>
            <w:shd w:val="clear" w:color="auto" w:fill="B8CCE4"/>
          </w:tcPr>
          <w:p w14:paraId="3DB8FD8F">
            <w:pPr>
              <w:pStyle w:val="33"/>
              <w:spacing w:before="193" w:line="221" w:lineRule="auto"/>
              <w:ind w:left="142"/>
              <w:rPr>
                <w:sz w:val="21"/>
                <w:szCs w:val="21"/>
                <w:highlight w:val="none"/>
              </w:rPr>
            </w:pPr>
            <w:r>
              <w:rPr>
                <w:spacing w:val="1"/>
                <w:sz w:val="21"/>
                <w:szCs w:val="21"/>
                <w:highlight w:val="none"/>
              </w:rPr>
              <w:t>万元</w:t>
            </w:r>
          </w:p>
        </w:tc>
        <w:tc>
          <w:tcPr>
            <w:tcW w:w="1244" w:type="dxa"/>
            <w:shd w:val="clear" w:color="auto" w:fill="B8CCE4"/>
          </w:tcPr>
          <w:p w14:paraId="2E80D122">
            <w:pPr>
              <w:pStyle w:val="33"/>
              <w:spacing w:before="192" w:line="239" w:lineRule="auto"/>
              <w:ind w:left="168"/>
              <w:rPr>
                <w:sz w:val="21"/>
                <w:szCs w:val="21"/>
                <w:highlight w:val="none"/>
              </w:rPr>
            </w:pPr>
            <w:r>
              <w:rPr>
                <w:spacing w:val="7"/>
                <w:sz w:val="21"/>
                <w:szCs w:val="21"/>
                <w:highlight w:val="none"/>
              </w:rPr>
              <w:t>Y≥30000</w:t>
            </w:r>
          </w:p>
        </w:tc>
        <w:tc>
          <w:tcPr>
            <w:tcW w:w="1961" w:type="dxa"/>
            <w:shd w:val="clear" w:color="auto" w:fill="B8CCE4"/>
          </w:tcPr>
          <w:p w14:paraId="5A3FB158">
            <w:pPr>
              <w:pStyle w:val="33"/>
              <w:spacing w:before="193" w:line="237" w:lineRule="auto"/>
              <w:ind w:left="197"/>
              <w:rPr>
                <w:sz w:val="21"/>
                <w:szCs w:val="21"/>
                <w:highlight w:val="none"/>
              </w:rPr>
            </w:pPr>
            <w:r>
              <w:rPr>
                <w:spacing w:val="7"/>
                <w:sz w:val="21"/>
                <w:szCs w:val="21"/>
                <w:highlight w:val="none"/>
              </w:rPr>
              <w:t>3000≤Y＜30000</w:t>
            </w:r>
          </w:p>
        </w:tc>
        <w:tc>
          <w:tcPr>
            <w:tcW w:w="1756" w:type="dxa"/>
            <w:shd w:val="clear" w:color="auto" w:fill="B8CCE4"/>
          </w:tcPr>
          <w:p w14:paraId="44B1A615">
            <w:pPr>
              <w:pStyle w:val="33"/>
              <w:spacing w:before="193" w:line="237" w:lineRule="auto"/>
              <w:ind w:left="207"/>
              <w:rPr>
                <w:sz w:val="21"/>
                <w:szCs w:val="21"/>
                <w:highlight w:val="none"/>
              </w:rPr>
            </w:pPr>
            <w:r>
              <w:rPr>
                <w:spacing w:val="7"/>
                <w:sz w:val="21"/>
                <w:szCs w:val="21"/>
                <w:highlight w:val="none"/>
              </w:rPr>
              <w:t>200≤Y＜3000</w:t>
            </w:r>
          </w:p>
        </w:tc>
        <w:tc>
          <w:tcPr>
            <w:tcW w:w="1028" w:type="dxa"/>
            <w:shd w:val="clear" w:color="auto" w:fill="B8CCE4"/>
          </w:tcPr>
          <w:p w14:paraId="02EEB980">
            <w:pPr>
              <w:pStyle w:val="33"/>
              <w:spacing w:before="193" w:line="241" w:lineRule="auto"/>
              <w:ind w:left="176"/>
              <w:rPr>
                <w:sz w:val="21"/>
                <w:szCs w:val="21"/>
                <w:highlight w:val="none"/>
              </w:rPr>
            </w:pPr>
            <w:r>
              <w:rPr>
                <w:spacing w:val="6"/>
                <w:sz w:val="21"/>
                <w:szCs w:val="21"/>
                <w:highlight w:val="none"/>
              </w:rPr>
              <w:t>Y＜200</w:t>
            </w:r>
          </w:p>
        </w:tc>
      </w:tr>
      <w:tr w14:paraId="463BAFBC">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5" w:hRule="atLeast"/>
          <w:jc w:val="center"/>
        </w:trPr>
        <w:tc>
          <w:tcPr>
            <w:tcW w:w="1151" w:type="dxa"/>
            <w:vMerge w:val="restart"/>
            <w:tcBorders>
              <w:bottom w:val="nil"/>
              <w:right w:val="single" w:color="4F81BD" w:sz="2" w:space="0"/>
            </w:tcBorders>
          </w:tcPr>
          <w:p w14:paraId="04172D2C">
            <w:pPr>
              <w:spacing w:line="425" w:lineRule="auto"/>
              <w:rPr>
                <w:highlight w:val="none"/>
              </w:rPr>
            </w:pPr>
          </w:p>
          <w:p w14:paraId="17EC3B61">
            <w:pPr>
              <w:pStyle w:val="33"/>
              <w:spacing w:before="68" w:line="221" w:lineRule="auto"/>
              <w:ind w:left="179"/>
              <w:rPr>
                <w:sz w:val="21"/>
                <w:szCs w:val="21"/>
                <w:highlight w:val="none"/>
              </w:rPr>
            </w:pPr>
            <w:r>
              <w:rPr>
                <w:spacing w:val="9"/>
                <w:sz w:val="21"/>
                <w:szCs w:val="21"/>
                <w:highlight w:val="none"/>
              </w:rPr>
              <w:t>仓储业*</w:t>
            </w:r>
          </w:p>
        </w:tc>
        <w:tc>
          <w:tcPr>
            <w:tcW w:w="1492" w:type="dxa"/>
            <w:tcBorders>
              <w:left w:val="single" w:color="4F81BD" w:sz="2" w:space="0"/>
              <w:right w:val="single" w:color="4F81BD" w:sz="2" w:space="0"/>
            </w:tcBorders>
          </w:tcPr>
          <w:p w14:paraId="354A534D">
            <w:pPr>
              <w:pStyle w:val="33"/>
              <w:spacing w:before="193" w:line="221" w:lineRule="auto"/>
              <w:ind w:left="128"/>
              <w:rPr>
                <w:sz w:val="21"/>
                <w:szCs w:val="21"/>
                <w:highlight w:val="none"/>
              </w:rPr>
            </w:pPr>
            <w:r>
              <w:rPr>
                <w:spacing w:val="2"/>
                <w:sz w:val="21"/>
                <w:szCs w:val="21"/>
                <w:highlight w:val="none"/>
              </w:rPr>
              <w:t>从业人员</w:t>
            </w:r>
            <w:r>
              <w:rPr>
                <w:spacing w:val="-43"/>
                <w:sz w:val="21"/>
                <w:szCs w:val="21"/>
                <w:highlight w:val="none"/>
              </w:rPr>
              <w:t xml:space="preserve"> </w:t>
            </w:r>
            <w:r>
              <w:rPr>
                <w:spacing w:val="2"/>
                <w:sz w:val="21"/>
                <w:szCs w:val="21"/>
                <w:highlight w:val="none"/>
              </w:rPr>
              <w:t>(X)</w:t>
            </w:r>
          </w:p>
        </w:tc>
        <w:tc>
          <w:tcPr>
            <w:tcW w:w="726" w:type="dxa"/>
            <w:tcBorders>
              <w:left w:val="single" w:color="4F81BD" w:sz="2" w:space="0"/>
              <w:right w:val="single" w:color="4F81BD" w:sz="2" w:space="0"/>
            </w:tcBorders>
          </w:tcPr>
          <w:p w14:paraId="14387CDF">
            <w:pPr>
              <w:pStyle w:val="33"/>
              <w:spacing w:before="193" w:line="223" w:lineRule="auto"/>
              <w:ind w:left="254"/>
              <w:rPr>
                <w:sz w:val="21"/>
                <w:szCs w:val="21"/>
                <w:highlight w:val="none"/>
              </w:rPr>
            </w:pPr>
            <w:r>
              <w:rPr>
                <w:sz w:val="21"/>
                <w:szCs w:val="21"/>
                <w:highlight w:val="none"/>
              </w:rPr>
              <w:t>人</w:t>
            </w:r>
          </w:p>
        </w:tc>
        <w:tc>
          <w:tcPr>
            <w:tcW w:w="1244" w:type="dxa"/>
            <w:tcBorders>
              <w:left w:val="single" w:color="4F81BD" w:sz="2" w:space="0"/>
              <w:right w:val="single" w:color="4F81BD" w:sz="2" w:space="0"/>
            </w:tcBorders>
          </w:tcPr>
          <w:p w14:paraId="6E333251">
            <w:pPr>
              <w:pStyle w:val="33"/>
              <w:spacing w:before="192" w:line="239" w:lineRule="auto"/>
              <w:ind w:left="284"/>
              <w:rPr>
                <w:sz w:val="21"/>
                <w:szCs w:val="21"/>
                <w:highlight w:val="none"/>
              </w:rPr>
            </w:pPr>
            <w:r>
              <w:rPr>
                <w:spacing w:val="6"/>
                <w:sz w:val="21"/>
                <w:szCs w:val="21"/>
                <w:highlight w:val="none"/>
              </w:rPr>
              <w:t>X≥200</w:t>
            </w:r>
          </w:p>
        </w:tc>
        <w:tc>
          <w:tcPr>
            <w:tcW w:w="1961" w:type="dxa"/>
            <w:tcBorders>
              <w:left w:val="single" w:color="4F81BD" w:sz="2" w:space="0"/>
              <w:right w:val="single" w:color="4F81BD" w:sz="2" w:space="0"/>
            </w:tcBorders>
          </w:tcPr>
          <w:p w14:paraId="35ABC3B5">
            <w:pPr>
              <w:pStyle w:val="33"/>
              <w:spacing w:before="193" w:line="237" w:lineRule="auto"/>
              <w:ind w:left="379"/>
              <w:rPr>
                <w:sz w:val="21"/>
                <w:szCs w:val="21"/>
                <w:highlight w:val="none"/>
              </w:rPr>
            </w:pPr>
            <w:r>
              <w:rPr>
                <w:spacing w:val="6"/>
                <w:sz w:val="21"/>
                <w:szCs w:val="21"/>
                <w:highlight w:val="none"/>
              </w:rPr>
              <w:t>100≤X＜200</w:t>
            </w:r>
          </w:p>
        </w:tc>
        <w:tc>
          <w:tcPr>
            <w:tcW w:w="1756" w:type="dxa"/>
            <w:tcBorders>
              <w:left w:val="single" w:color="4F81BD" w:sz="2" w:space="0"/>
              <w:right w:val="single" w:color="4F81BD" w:sz="2" w:space="0"/>
            </w:tcBorders>
          </w:tcPr>
          <w:p w14:paraId="0620C090">
            <w:pPr>
              <w:pStyle w:val="33"/>
              <w:spacing w:before="193" w:line="237" w:lineRule="auto"/>
              <w:ind w:left="322"/>
              <w:rPr>
                <w:sz w:val="21"/>
                <w:szCs w:val="21"/>
                <w:highlight w:val="none"/>
              </w:rPr>
            </w:pPr>
            <w:r>
              <w:rPr>
                <w:spacing w:val="-1"/>
                <w:sz w:val="21"/>
                <w:szCs w:val="21"/>
                <w:highlight w:val="none"/>
              </w:rPr>
              <w:t>20≤X＜</w:t>
            </w:r>
            <w:r>
              <w:rPr>
                <w:spacing w:val="-35"/>
                <w:sz w:val="21"/>
                <w:szCs w:val="21"/>
                <w:highlight w:val="none"/>
              </w:rPr>
              <w:t xml:space="preserve"> </w:t>
            </w:r>
            <w:r>
              <w:rPr>
                <w:spacing w:val="-1"/>
                <w:sz w:val="21"/>
                <w:szCs w:val="21"/>
                <w:highlight w:val="none"/>
              </w:rPr>
              <w:t>100</w:t>
            </w:r>
          </w:p>
        </w:tc>
        <w:tc>
          <w:tcPr>
            <w:tcW w:w="1028" w:type="dxa"/>
            <w:tcBorders>
              <w:left w:val="single" w:color="4F81BD" w:sz="2" w:space="0"/>
              <w:right w:val="single" w:color="4F81BD" w:sz="2" w:space="0"/>
            </w:tcBorders>
          </w:tcPr>
          <w:p w14:paraId="3FEA5275">
            <w:pPr>
              <w:pStyle w:val="33"/>
              <w:spacing w:before="192" w:line="241" w:lineRule="auto"/>
              <w:ind w:left="237"/>
              <w:rPr>
                <w:sz w:val="21"/>
                <w:szCs w:val="21"/>
                <w:highlight w:val="none"/>
              </w:rPr>
            </w:pPr>
            <w:r>
              <w:rPr>
                <w:spacing w:val="6"/>
                <w:sz w:val="21"/>
                <w:szCs w:val="21"/>
                <w:highlight w:val="none"/>
              </w:rPr>
              <w:t>X＜20</w:t>
            </w:r>
          </w:p>
        </w:tc>
      </w:tr>
      <w:tr w14:paraId="6C7663F7">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2" w:hRule="atLeast"/>
          <w:jc w:val="center"/>
        </w:trPr>
        <w:tc>
          <w:tcPr>
            <w:tcW w:w="1151" w:type="dxa"/>
            <w:vMerge w:val="continue"/>
            <w:tcBorders>
              <w:top w:val="nil"/>
              <w:right w:val="single" w:color="4F81BD" w:sz="2" w:space="0"/>
            </w:tcBorders>
          </w:tcPr>
          <w:p w14:paraId="170580BE">
            <w:pPr>
              <w:rPr>
                <w:highlight w:val="none"/>
              </w:rPr>
            </w:pPr>
          </w:p>
        </w:tc>
        <w:tc>
          <w:tcPr>
            <w:tcW w:w="1492" w:type="dxa"/>
            <w:tcBorders>
              <w:left w:val="single" w:color="000000" w:sz="2" w:space="0"/>
            </w:tcBorders>
            <w:shd w:val="clear" w:color="auto" w:fill="B8CCE4"/>
          </w:tcPr>
          <w:p w14:paraId="46E60451">
            <w:pPr>
              <w:pStyle w:val="33"/>
              <w:spacing w:before="192" w:line="221" w:lineRule="auto"/>
              <w:ind w:left="133"/>
              <w:rPr>
                <w:sz w:val="21"/>
                <w:szCs w:val="21"/>
                <w:highlight w:val="none"/>
              </w:rPr>
            </w:pPr>
            <w:r>
              <w:rPr>
                <w:spacing w:val="9"/>
                <w:sz w:val="21"/>
                <w:szCs w:val="21"/>
                <w:highlight w:val="none"/>
              </w:rPr>
              <w:t>营业收入(Y)</w:t>
            </w:r>
          </w:p>
        </w:tc>
        <w:tc>
          <w:tcPr>
            <w:tcW w:w="726" w:type="dxa"/>
            <w:shd w:val="clear" w:color="auto" w:fill="B8CCE4"/>
          </w:tcPr>
          <w:p w14:paraId="0E31E5BF">
            <w:pPr>
              <w:pStyle w:val="33"/>
              <w:spacing w:before="193" w:line="221" w:lineRule="auto"/>
              <w:ind w:left="142"/>
              <w:rPr>
                <w:sz w:val="21"/>
                <w:szCs w:val="21"/>
                <w:highlight w:val="none"/>
              </w:rPr>
            </w:pPr>
            <w:r>
              <w:rPr>
                <w:spacing w:val="1"/>
                <w:sz w:val="21"/>
                <w:szCs w:val="21"/>
                <w:highlight w:val="none"/>
              </w:rPr>
              <w:t>万元</w:t>
            </w:r>
          </w:p>
        </w:tc>
        <w:tc>
          <w:tcPr>
            <w:tcW w:w="1244" w:type="dxa"/>
            <w:shd w:val="clear" w:color="auto" w:fill="B8CCE4"/>
          </w:tcPr>
          <w:p w14:paraId="4E3CCB83">
            <w:pPr>
              <w:pStyle w:val="33"/>
              <w:spacing w:before="192" w:line="239" w:lineRule="auto"/>
              <w:ind w:left="168"/>
              <w:rPr>
                <w:sz w:val="21"/>
                <w:szCs w:val="21"/>
                <w:highlight w:val="none"/>
              </w:rPr>
            </w:pPr>
            <w:r>
              <w:rPr>
                <w:spacing w:val="7"/>
                <w:sz w:val="21"/>
                <w:szCs w:val="21"/>
                <w:highlight w:val="none"/>
              </w:rPr>
              <w:t>Y≥30000</w:t>
            </w:r>
          </w:p>
        </w:tc>
        <w:tc>
          <w:tcPr>
            <w:tcW w:w="1961" w:type="dxa"/>
            <w:shd w:val="clear" w:color="auto" w:fill="B8CCE4"/>
          </w:tcPr>
          <w:p w14:paraId="43258F7B">
            <w:pPr>
              <w:pStyle w:val="33"/>
              <w:spacing w:before="193" w:line="237" w:lineRule="auto"/>
              <w:ind w:left="208"/>
              <w:rPr>
                <w:sz w:val="21"/>
                <w:szCs w:val="21"/>
                <w:highlight w:val="none"/>
              </w:rPr>
            </w:pPr>
            <w:r>
              <w:rPr>
                <w:spacing w:val="6"/>
                <w:sz w:val="21"/>
                <w:szCs w:val="21"/>
                <w:highlight w:val="none"/>
              </w:rPr>
              <w:t>1000≤Y＜30000</w:t>
            </w:r>
          </w:p>
        </w:tc>
        <w:tc>
          <w:tcPr>
            <w:tcW w:w="1756" w:type="dxa"/>
            <w:shd w:val="clear" w:color="auto" w:fill="B8CCE4"/>
          </w:tcPr>
          <w:p w14:paraId="2C2E9C06">
            <w:pPr>
              <w:pStyle w:val="33"/>
              <w:spacing w:before="193" w:line="237" w:lineRule="auto"/>
              <w:ind w:left="220"/>
              <w:rPr>
                <w:sz w:val="21"/>
                <w:szCs w:val="21"/>
                <w:highlight w:val="none"/>
              </w:rPr>
            </w:pPr>
            <w:r>
              <w:rPr>
                <w:spacing w:val="-1"/>
                <w:sz w:val="21"/>
                <w:szCs w:val="21"/>
                <w:highlight w:val="none"/>
              </w:rPr>
              <w:t>100≤Y＜</w:t>
            </w:r>
            <w:r>
              <w:rPr>
                <w:spacing w:val="-33"/>
                <w:sz w:val="21"/>
                <w:szCs w:val="21"/>
                <w:highlight w:val="none"/>
              </w:rPr>
              <w:t xml:space="preserve"> </w:t>
            </w:r>
            <w:r>
              <w:rPr>
                <w:spacing w:val="-1"/>
                <w:sz w:val="21"/>
                <w:szCs w:val="21"/>
                <w:highlight w:val="none"/>
              </w:rPr>
              <w:t>1000</w:t>
            </w:r>
          </w:p>
        </w:tc>
        <w:tc>
          <w:tcPr>
            <w:tcW w:w="1028" w:type="dxa"/>
            <w:shd w:val="clear" w:color="auto" w:fill="B8CCE4"/>
          </w:tcPr>
          <w:p w14:paraId="6DB595C0">
            <w:pPr>
              <w:pStyle w:val="33"/>
              <w:spacing w:before="192" w:line="241" w:lineRule="auto"/>
              <w:ind w:left="176"/>
              <w:rPr>
                <w:sz w:val="21"/>
                <w:szCs w:val="21"/>
                <w:highlight w:val="none"/>
              </w:rPr>
            </w:pPr>
            <w:r>
              <w:rPr>
                <w:spacing w:val="-6"/>
                <w:sz w:val="21"/>
                <w:szCs w:val="21"/>
                <w:highlight w:val="none"/>
              </w:rPr>
              <w:t>Y＜</w:t>
            </w:r>
            <w:r>
              <w:rPr>
                <w:spacing w:val="-39"/>
                <w:sz w:val="21"/>
                <w:szCs w:val="21"/>
                <w:highlight w:val="none"/>
              </w:rPr>
              <w:t xml:space="preserve"> </w:t>
            </w:r>
            <w:r>
              <w:rPr>
                <w:spacing w:val="-6"/>
                <w:sz w:val="21"/>
                <w:szCs w:val="21"/>
                <w:highlight w:val="none"/>
              </w:rPr>
              <w:t>100</w:t>
            </w:r>
          </w:p>
        </w:tc>
      </w:tr>
      <w:tr w14:paraId="29D7F1D1">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5" w:hRule="atLeast"/>
          <w:jc w:val="center"/>
        </w:trPr>
        <w:tc>
          <w:tcPr>
            <w:tcW w:w="1151" w:type="dxa"/>
            <w:vMerge w:val="restart"/>
            <w:tcBorders>
              <w:bottom w:val="nil"/>
              <w:right w:val="single" w:color="4F81BD" w:sz="2" w:space="0"/>
            </w:tcBorders>
          </w:tcPr>
          <w:p w14:paraId="783D706A">
            <w:pPr>
              <w:spacing w:line="424" w:lineRule="auto"/>
              <w:rPr>
                <w:highlight w:val="none"/>
              </w:rPr>
            </w:pPr>
          </w:p>
          <w:p w14:paraId="76F7EACE">
            <w:pPr>
              <w:pStyle w:val="33"/>
              <w:spacing w:before="69" w:line="222" w:lineRule="auto"/>
              <w:ind w:left="253"/>
              <w:rPr>
                <w:sz w:val="21"/>
                <w:szCs w:val="21"/>
                <w:highlight w:val="none"/>
              </w:rPr>
            </w:pPr>
            <w:r>
              <w:rPr>
                <w:spacing w:val="2"/>
                <w:sz w:val="21"/>
                <w:szCs w:val="21"/>
                <w:highlight w:val="none"/>
              </w:rPr>
              <w:t>邮政业</w:t>
            </w:r>
          </w:p>
        </w:tc>
        <w:tc>
          <w:tcPr>
            <w:tcW w:w="1492" w:type="dxa"/>
            <w:tcBorders>
              <w:left w:val="single" w:color="4F81BD" w:sz="2" w:space="0"/>
              <w:right w:val="single" w:color="4F81BD" w:sz="2" w:space="0"/>
            </w:tcBorders>
          </w:tcPr>
          <w:p w14:paraId="24569A03">
            <w:pPr>
              <w:pStyle w:val="33"/>
              <w:spacing w:before="193" w:line="221" w:lineRule="auto"/>
              <w:ind w:left="128"/>
              <w:rPr>
                <w:sz w:val="21"/>
                <w:szCs w:val="21"/>
                <w:highlight w:val="none"/>
              </w:rPr>
            </w:pPr>
            <w:r>
              <w:rPr>
                <w:spacing w:val="2"/>
                <w:sz w:val="21"/>
                <w:szCs w:val="21"/>
                <w:highlight w:val="none"/>
              </w:rPr>
              <w:t>从业人员</w:t>
            </w:r>
            <w:r>
              <w:rPr>
                <w:spacing w:val="-43"/>
                <w:sz w:val="21"/>
                <w:szCs w:val="21"/>
                <w:highlight w:val="none"/>
              </w:rPr>
              <w:t xml:space="preserve"> </w:t>
            </w:r>
            <w:r>
              <w:rPr>
                <w:spacing w:val="2"/>
                <w:sz w:val="21"/>
                <w:szCs w:val="21"/>
                <w:highlight w:val="none"/>
              </w:rPr>
              <w:t>(X)</w:t>
            </w:r>
          </w:p>
        </w:tc>
        <w:tc>
          <w:tcPr>
            <w:tcW w:w="726" w:type="dxa"/>
            <w:tcBorders>
              <w:left w:val="single" w:color="4F81BD" w:sz="2" w:space="0"/>
              <w:right w:val="single" w:color="4F81BD" w:sz="2" w:space="0"/>
            </w:tcBorders>
          </w:tcPr>
          <w:p w14:paraId="1A56AF3F">
            <w:pPr>
              <w:pStyle w:val="33"/>
              <w:spacing w:before="193" w:line="223" w:lineRule="auto"/>
              <w:ind w:left="254"/>
              <w:rPr>
                <w:sz w:val="21"/>
                <w:szCs w:val="21"/>
                <w:highlight w:val="none"/>
              </w:rPr>
            </w:pPr>
            <w:r>
              <w:rPr>
                <w:sz w:val="21"/>
                <w:szCs w:val="21"/>
                <w:highlight w:val="none"/>
              </w:rPr>
              <w:t>人</w:t>
            </w:r>
          </w:p>
        </w:tc>
        <w:tc>
          <w:tcPr>
            <w:tcW w:w="1244" w:type="dxa"/>
            <w:tcBorders>
              <w:left w:val="single" w:color="4F81BD" w:sz="2" w:space="0"/>
              <w:right w:val="single" w:color="4F81BD" w:sz="2" w:space="0"/>
            </w:tcBorders>
          </w:tcPr>
          <w:p w14:paraId="674E8E34">
            <w:pPr>
              <w:pStyle w:val="33"/>
              <w:spacing w:before="192" w:line="239" w:lineRule="auto"/>
              <w:ind w:left="227"/>
              <w:rPr>
                <w:sz w:val="21"/>
                <w:szCs w:val="21"/>
                <w:highlight w:val="none"/>
              </w:rPr>
            </w:pPr>
            <w:r>
              <w:rPr>
                <w:spacing w:val="6"/>
                <w:sz w:val="21"/>
                <w:szCs w:val="21"/>
                <w:highlight w:val="none"/>
              </w:rPr>
              <w:t>X≥1000</w:t>
            </w:r>
          </w:p>
        </w:tc>
        <w:tc>
          <w:tcPr>
            <w:tcW w:w="1961" w:type="dxa"/>
            <w:tcBorders>
              <w:left w:val="single" w:color="4F81BD" w:sz="2" w:space="0"/>
              <w:right w:val="single" w:color="4F81BD" w:sz="2" w:space="0"/>
            </w:tcBorders>
          </w:tcPr>
          <w:p w14:paraId="55C2F3A1">
            <w:pPr>
              <w:pStyle w:val="33"/>
              <w:spacing w:before="193" w:line="237" w:lineRule="auto"/>
              <w:ind w:left="312"/>
              <w:rPr>
                <w:sz w:val="21"/>
                <w:szCs w:val="21"/>
                <w:highlight w:val="none"/>
              </w:rPr>
            </w:pPr>
            <w:r>
              <w:rPr>
                <w:spacing w:val="1"/>
                <w:sz w:val="21"/>
                <w:szCs w:val="21"/>
                <w:highlight w:val="none"/>
              </w:rPr>
              <w:t>300≤X＜</w:t>
            </w:r>
            <w:r>
              <w:rPr>
                <w:spacing w:val="-42"/>
                <w:sz w:val="21"/>
                <w:szCs w:val="21"/>
                <w:highlight w:val="none"/>
              </w:rPr>
              <w:t xml:space="preserve"> </w:t>
            </w:r>
            <w:r>
              <w:rPr>
                <w:spacing w:val="1"/>
                <w:sz w:val="21"/>
                <w:szCs w:val="21"/>
                <w:highlight w:val="none"/>
              </w:rPr>
              <w:t>1000</w:t>
            </w:r>
          </w:p>
        </w:tc>
        <w:tc>
          <w:tcPr>
            <w:tcW w:w="1756" w:type="dxa"/>
            <w:tcBorders>
              <w:left w:val="single" w:color="4F81BD" w:sz="2" w:space="0"/>
              <w:right w:val="single" w:color="4F81BD" w:sz="2" w:space="0"/>
            </w:tcBorders>
          </w:tcPr>
          <w:p w14:paraId="48D3AF87">
            <w:pPr>
              <w:pStyle w:val="33"/>
              <w:spacing w:before="193" w:line="237" w:lineRule="auto"/>
              <w:ind w:left="322"/>
              <w:rPr>
                <w:sz w:val="21"/>
                <w:szCs w:val="21"/>
                <w:highlight w:val="none"/>
              </w:rPr>
            </w:pPr>
            <w:r>
              <w:rPr>
                <w:spacing w:val="7"/>
                <w:sz w:val="21"/>
                <w:szCs w:val="21"/>
                <w:highlight w:val="none"/>
              </w:rPr>
              <w:t>20≤X＜300</w:t>
            </w:r>
          </w:p>
        </w:tc>
        <w:tc>
          <w:tcPr>
            <w:tcW w:w="1028" w:type="dxa"/>
            <w:tcBorders>
              <w:left w:val="single" w:color="4F81BD" w:sz="2" w:space="0"/>
              <w:right w:val="single" w:color="4F81BD" w:sz="2" w:space="0"/>
            </w:tcBorders>
          </w:tcPr>
          <w:p w14:paraId="56C0F403">
            <w:pPr>
              <w:pStyle w:val="33"/>
              <w:spacing w:before="193" w:line="241" w:lineRule="auto"/>
              <w:ind w:left="237"/>
              <w:rPr>
                <w:sz w:val="21"/>
                <w:szCs w:val="21"/>
                <w:highlight w:val="none"/>
              </w:rPr>
            </w:pPr>
            <w:r>
              <w:rPr>
                <w:spacing w:val="6"/>
                <w:sz w:val="21"/>
                <w:szCs w:val="21"/>
                <w:highlight w:val="none"/>
              </w:rPr>
              <w:t>X＜20</w:t>
            </w:r>
          </w:p>
        </w:tc>
      </w:tr>
      <w:tr w14:paraId="26A91C96">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5" w:hRule="atLeast"/>
          <w:jc w:val="center"/>
        </w:trPr>
        <w:tc>
          <w:tcPr>
            <w:tcW w:w="1151" w:type="dxa"/>
            <w:vMerge w:val="continue"/>
            <w:tcBorders>
              <w:top w:val="nil"/>
              <w:right w:val="single" w:color="4F81BD" w:sz="2" w:space="0"/>
            </w:tcBorders>
          </w:tcPr>
          <w:p w14:paraId="615727A5">
            <w:pPr>
              <w:rPr>
                <w:highlight w:val="none"/>
              </w:rPr>
            </w:pPr>
          </w:p>
        </w:tc>
        <w:tc>
          <w:tcPr>
            <w:tcW w:w="1492" w:type="dxa"/>
            <w:tcBorders>
              <w:left w:val="single" w:color="000000" w:sz="2" w:space="0"/>
            </w:tcBorders>
            <w:shd w:val="clear" w:color="auto" w:fill="B8CCE4"/>
          </w:tcPr>
          <w:p w14:paraId="525ED333">
            <w:pPr>
              <w:pStyle w:val="33"/>
              <w:spacing w:before="192" w:line="221" w:lineRule="auto"/>
              <w:ind w:left="133"/>
              <w:rPr>
                <w:sz w:val="21"/>
                <w:szCs w:val="21"/>
                <w:highlight w:val="none"/>
              </w:rPr>
            </w:pPr>
            <w:r>
              <w:rPr>
                <w:spacing w:val="9"/>
                <w:sz w:val="21"/>
                <w:szCs w:val="21"/>
                <w:highlight w:val="none"/>
              </w:rPr>
              <w:t>营业收入(Y)</w:t>
            </w:r>
          </w:p>
        </w:tc>
        <w:tc>
          <w:tcPr>
            <w:tcW w:w="726" w:type="dxa"/>
            <w:shd w:val="clear" w:color="auto" w:fill="B8CCE4"/>
          </w:tcPr>
          <w:p w14:paraId="7E87B87A">
            <w:pPr>
              <w:pStyle w:val="33"/>
              <w:spacing w:before="193" w:line="221" w:lineRule="auto"/>
              <w:ind w:left="142"/>
              <w:rPr>
                <w:sz w:val="21"/>
                <w:szCs w:val="21"/>
                <w:highlight w:val="none"/>
              </w:rPr>
            </w:pPr>
            <w:r>
              <w:rPr>
                <w:spacing w:val="1"/>
                <w:sz w:val="21"/>
                <w:szCs w:val="21"/>
                <w:highlight w:val="none"/>
              </w:rPr>
              <w:t>万元</w:t>
            </w:r>
          </w:p>
        </w:tc>
        <w:tc>
          <w:tcPr>
            <w:tcW w:w="1244" w:type="dxa"/>
            <w:shd w:val="clear" w:color="auto" w:fill="B8CCE4"/>
          </w:tcPr>
          <w:p w14:paraId="4454B2E8">
            <w:pPr>
              <w:pStyle w:val="33"/>
              <w:spacing w:before="192" w:line="239" w:lineRule="auto"/>
              <w:ind w:left="168"/>
              <w:rPr>
                <w:sz w:val="21"/>
                <w:szCs w:val="21"/>
                <w:highlight w:val="none"/>
              </w:rPr>
            </w:pPr>
            <w:r>
              <w:rPr>
                <w:spacing w:val="7"/>
                <w:sz w:val="21"/>
                <w:szCs w:val="21"/>
                <w:highlight w:val="none"/>
              </w:rPr>
              <w:t>Y≥30000</w:t>
            </w:r>
          </w:p>
        </w:tc>
        <w:tc>
          <w:tcPr>
            <w:tcW w:w="1961" w:type="dxa"/>
            <w:shd w:val="clear" w:color="auto" w:fill="B8CCE4"/>
          </w:tcPr>
          <w:p w14:paraId="68B2F90F">
            <w:pPr>
              <w:pStyle w:val="33"/>
              <w:spacing w:before="193" w:line="237" w:lineRule="auto"/>
              <w:ind w:left="195"/>
              <w:rPr>
                <w:sz w:val="21"/>
                <w:szCs w:val="21"/>
                <w:highlight w:val="none"/>
              </w:rPr>
            </w:pPr>
            <w:r>
              <w:rPr>
                <w:spacing w:val="7"/>
                <w:sz w:val="21"/>
                <w:szCs w:val="21"/>
                <w:highlight w:val="none"/>
              </w:rPr>
              <w:t>2000≤Y＜30000</w:t>
            </w:r>
          </w:p>
        </w:tc>
        <w:tc>
          <w:tcPr>
            <w:tcW w:w="1756" w:type="dxa"/>
            <w:shd w:val="clear" w:color="auto" w:fill="B8CCE4"/>
          </w:tcPr>
          <w:p w14:paraId="011DBB6F">
            <w:pPr>
              <w:pStyle w:val="33"/>
              <w:spacing w:before="193" w:line="237" w:lineRule="auto"/>
              <w:ind w:left="220"/>
              <w:rPr>
                <w:sz w:val="21"/>
                <w:szCs w:val="21"/>
                <w:highlight w:val="none"/>
              </w:rPr>
            </w:pPr>
            <w:r>
              <w:rPr>
                <w:spacing w:val="6"/>
                <w:sz w:val="21"/>
                <w:szCs w:val="21"/>
                <w:highlight w:val="none"/>
              </w:rPr>
              <w:t>100≤Y＜2000</w:t>
            </w:r>
          </w:p>
        </w:tc>
        <w:tc>
          <w:tcPr>
            <w:tcW w:w="1028" w:type="dxa"/>
            <w:shd w:val="clear" w:color="auto" w:fill="B8CCE4"/>
          </w:tcPr>
          <w:p w14:paraId="4B86411D">
            <w:pPr>
              <w:pStyle w:val="33"/>
              <w:spacing w:before="192" w:line="241" w:lineRule="auto"/>
              <w:ind w:left="176"/>
              <w:rPr>
                <w:sz w:val="21"/>
                <w:szCs w:val="21"/>
                <w:highlight w:val="none"/>
              </w:rPr>
            </w:pPr>
            <w:r>
              <w:rPr>
                <w:spacing w:val="-6"/>
                <w:sz w:val="21"/>
                <w:szCs w:val="21"/>
                <w:highlight w:val="none"/>
              </w:rPr>
              <w:t>Y＜</w:t>
            </w:r>
            <w:r>
              <w:rPr>
                <w:spacing w:val="-39"/>
                <w:sz w:val="21"/>
                <w:szCs w:val="21"/>
                <w:highlight w:val="none"/>
              </w:rPr>
              <w:t xml:space="preserve"> </w:t>
            </w:r>
            <w:r>
              <w:rPr>
                <w:spacing w:val="-6"/>
                <w:sz w:val="21"/>
                <w:szCs w:val="21"/>
                <w:highlight w:val="none"/>
              </w:rPr>
              <w:t>100</w:t>
            </w:r>
          </w:p>
        </w:tc>
      </w:tr>
      <w:tr w14:paraId="4F52C11F">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2" w:hRule="atLeast"/>
          <w:jc w:val="center"/>
        </w:trPr>
        <w:tc>
          <w:tcPr>
            <w:tcW w:w="1151" w:type="dxa"/>
            <w:vMerge w:val="restart"/>
            <w:tcBorders>
              <w:bottom w:val="nil"/>
              <w:right w:val="single" w:color="4F81BD" w:sz="2" w:space="0"/>
            </w:tcBorders>
          </w:tcPr>
          <w:p w14:paraId="74539EDE">
            <w:pPr>
              <w:spacing w:line="422" w:lineRule="auto"/>
              <w:rPr>
                <w:highlight w:val="none"/>
              </w:rPr>
            </w:pPr>
          </w:p>
          <w:p w14:paraId="5BB3197A">
            <w:pPr>
              <w:pStyle w:val="33"/>
              <w:spacing w:before="68" w:line="221" w:lineRule="auto"/>
              <w:ind w:left="237"/>
              <w:rPr>
                <w:sz w:val="21"/>
                <w:szCs w:val="21"/>
                <w:highlight w:val="none"/>
              </w:rPr>
            </w:pPr>
            <w:r>
              <w:rPr>
                <w:spacing w:val="8"/>
                <w:sz w:val="21"/>
                <w:szCs w:val="21"/>
                <w:highlight w:val="none"/>
              </w:rPr>
              <w:t>住宿业</w:t>
            </w:r>
          </w:p>
        </w:tc>
        <w:tc>
          <w:tcPr>
            <w:tcW w:w="1492" w:type="dxa"/>
            <w:tcBorders>
              <w:left w:val="single" w:color="4F81BD" w:sz="2" w:space="0"/>
              <w:right w:val="single" w:color="4F81BD" w:sz="2" w:space="0"/>
            </w:tcBorders>
          </w:tcPr>
          <w:p w14:paraId="6EE74323">
            <w:pPr>
              <w:pStyle w:val="33"/>
              <w:spacing w:before="193" w:line="221" w:lineRule="auto"/>
              <w:ind w:left="128"/>
              <w:rPr>
                <w:sz w:val="21"/>
                <w:szCs w:val="21"/>
                <w:highlight w:val="none"/>
              </w:rPr>
            </w:pPr>
            <w:r>
              <w:rPr>
                <w:spacing w:val="2"/>
                <w:sz w:val="21"/>
                <w:szCs w:val="21"/>
                <w:highlight w:val="none"/>
              </w:rPr>
              <w:t>从业人员</w:t>
            </w:r>
            <w:r>
              <w:rPr>
                <w:spacing w:val="-43"/>
                <w:sz w:val="21"/>
                <w:szCs w:val="21"/>
                <w:highlight w:val="none"/>
              </w:rPr>
              <w:t xml:space="preserve"> </w:t>
            </w:r>
            <w:r>
              <w:rPr>
                <w:spacing w:val="2"/>
                <w:sz w:val="21"/>
                <w:szCs w:val="21"/>
                <w:highlight w:val="none"/>
              </w:rPr>
              <w:t>(X)</w:t>
            </w:r>
          </w:p>
        </w:tc>
        <w:tc>
          <w:tcPr>
            <w:tcW w:w="726" w:type="dxa"/>
            <w:tcBorders>
              <w:left w:val="single" w:color="4F81BD" w:sz="2" w:space="0"/>
              <w:right w:val="single" w:color="4F81BD" w:sz="2" w:space="0"/>
            </w:tcBorders>
          </w:tcPr>
          <w:p w14:paraId="375BAA8F">
            <w:pPr>
              <w:pStyle w:val="33"/>
              <w:spacing w:before="194" w:line="223" w:lineRule="auto"/>
              <w:ind w:left="254"/>
              <w:rPr>
                <w:sz w:val="21"/>
                <w:szCs w:val="21"/>
                <w:highlight w:val="none"/>
              </w:rPr>
            </w:pPr>
            <w:r>
              <w:rPr>
                <w:sz w:val="21"/>
                <w:szCs w:val="21"/>
                <w:highlight w:val="none"/>
              </w:rPr>
              <w:t>人</w:t>
            </w:r>
          </w:p>
        </w:tc>
        <w:tc>
          <w:tcPr>
            <w:tcW w:w="1244" w:type="dxa"/>
            <w:tcBorders>
              <w:left w:val="single" w:color="4F81BD" w:sz="2" w:space="0"/>
              <w:right w:val="single" w:color="4F81BD" w:sz="2" w:space="0"/>
            </w:tcBorders>
          </w:tcPr>
          <w:p w14:paraId="39F524E4">
            <w:pPr>
              <w:pStyle w:val="33"/>
              <w:spacing w:before="193" w:line="239" w:lineRule="auto"/>
              <w:ind w:left="284"/>
              <w:rPr>
                <w:sz w:val="21"/>
                <w:szCs w:val="21"/>
                <w:highlight w:val="none"/>
              </w:rPr>
            </w:pPr>
            <w:r>
              <w:rPr>
                <w:spacing w:val="6"/>
                <w:sz w:val="21"/>
                <w:szCs w:val="21"/>
                <w:highlight w:val="none"/>
              </w:rPr>
              <w:t>X≥300</w:t>
            </w:r>
          </w:p>
        </w:tc>
        <w:tc>
          <w:tcPr>
            <w:tcW w:w="1961" w:type="dxa"/>
            <w:tcBorders>
              <w:left w:val="single" w:color="4F81BD" w:sz="2" w:space="0"/>
              <w:right w:val="single" w:color="4F81BD" w:sz="2" w:space="0"/>
            </w:tcBorders>
          </w:tcPr>
          <w:p w14:paraId="79A5F63E">
            <w:pPr>
              <w:pStyle w:val="33"/>
              <w:spacing w:before="193" w:line="237" w:lineRule="auto"/>
              <w:ind w:left="379"/>
              <w:rPr>
                <w:sz w:val="21"/>
                <w:szCs w:val="21"/>
                <w:highlight w:val="none"/>
              </w:rPr>
            </w:pPr>
            <w:r>
              <w:rPr>
                <w:spacing w:val="6"/>
                <w:sz w:val="21"/>
                <w:szCs w:val="21"/>
                <w:highlight w:val="none"/>
              </w:rPr>
              <w:t>100≤X＜300</w:t>
            </w:r>
          </w:p>
        </w:tc>
        <w:tc>
          <w:tcPr>
            <w:tcW w:w="1756" w:type="dxa"/>
            <w:tcBorders>
              <w:left w:val="single" w:color="4F81BD" w:sz="2" w:space="0"/>
              <w:right w:val="single" w:color="4F81BD" w:sz="2" w:space="0"/>
            </w:tcBorders>
          </w:tcPr>
          <w:p w14:paraId="0E2F168D">
            <w:pPr>
              <w:pStyle w:val="33"/>
              <w:spacing w:before="193" w:line="237" w:lineRule="auto"/>
              <w:ind w:left="336"/>
              <w:rPr>
                <w:sz w:val="21"/>
                <w:szCs w:val="21"/>
                <w:highlight w:val="none"/>
              </w:rPr>
            </w:pPr>
            <w:r>
              <w:rPr>
                <w:spacing w:val="-2"/>
                <w:sz w:val="21"/>
                <w:szCs w:val="21"/>
                <w:highlight w:val="none"/>
              </w:rPr>
              <w:t>10≤X＜</w:t>
            </w:r>
            <w:r>
              <w:rPr>
                <w:spacing w:val="-40"/>
                <w:sz w:val="21"/>
                <w:szCs w:val="21"/>
                <w:highlight w:val="none"/>
              </w:rPr>
              <w:t xml:space="preserve"> </w:t>
            </w:r>
            <w:r>
              <w:rPr>
                <w:spacing w:val="-2"/>
                <w:sz w:val="21"/>
                <w:szCs w:val="21"/>
                <w:highlight w:val="none"/>
              </w:rPr>
              <w:t>100</w:t>
            </w:r>
          </w:p>
        </w:tc>
        <w:tc>
          <w:tcPr>
            <w:tcW w:w="1028" w:type="dxa"/>
            <w:tcBorders>
              <w:left w:val="single" w:color="4F81BD" w:sz="2" w:space="0"/>
              <w:right w:val="single" w:color="4F81BD" w:sz="2" w:space="0"/>
            </w:tcBorders>
          </w:tcPr>
          <w:p w14:paraId="4F7BA62C">
            <w:pPr>
              <w:pStyle w:val="33"/>
              <w:spacing w:before="193" w:line="241" w:lineRule="auto"/>
              <w:ind w:left="237"/>
              <w:rPr>
                <w:sz w:val="21"/>
                <w:szCs w:val="21"/>
                <w:highlight w:val="none"/>
              </w:rPr>
            </w:pPr>
            <w:r>
              <w:rPr>
                <w:spacing w:val="-8"/>
                <w:sz w:val="21"/>
                <w:szCs w:val="21"/>
                <w:highlight w:val="none"/>
              </w:rPr>
              <w:t>X＜</w:t>
            </w:r>
            <w:r>
              <w:rPr>
                <w:spacing w:val="-41"/>
                <w:sz w:val="21"/>
                <w:szCs w:val="21"/>
                <w:highlight w:val="none"/>
              </w:rPr>
              <w:t xml:space="preserve"> </w:t>
            </w:r>
            <w:r>
              <w:rPr>
                <w:spacing w:val="-8"/>
                <w:sz w:val="21"/>
                <w:szCs w:val="21"/>
                <w:highlight w:val="none"/>
              </w:rPr>
              <w:t>10</w:t>
            </w:r>
          </w:p>
        </w:tc>
      </w:tr>
      <w:tr w14:paraId="5AE672ED">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5" w:hRule="atLeast"/>
          <w:jc w:val="center"/>
        </w:trPr>
        <w:tc>
          <w:tcPr>
            <w:tcW w:w="1151" w:type="dxa"/>
            <w:vMerge w:val="continue"/>
            <w:tcBorders>
              <w:top w:val="nil"/>
              <w:right w:val="single" w:color="4F81BD" w:sz="2" w:space="0"/>
            </w:tcBorders>
          </w:tcPr>
          <w:p w14:paraId="43373F63">
            <w:pPr>
              <w:rPr>
                <w:highlight w:val="none"/>
              </w:rPr>
            </w:pPr>
          </w:p>
        </w:tc>
        <w:tc>
          <w:tcPr>
            <w:tcW w:w="1492" w:type="dxa"/>
            <w:tcBorders>
              <w:left w:val="single" w:color="000000" w:sz="2" w:space="0"/>
            </w:tcBorders>
            <w:shd w:val="clear" w:color="auto" w:fill="B8CCE4"/>
          </w:tcPr>
          <w:p w14:paraId="491A4CF0">
            <w:pPr>
              <w:pStyle w:val="33"/>
              <w:spacing w:before="193" w:line="221" w:lineRule="auto"/>
              <w:ind w:left="133"/>
              <w:rPr>
                <w:sz w:val="21"/>
                <w:szCs w:val="21"/>
                <w:highlight w:val="none"/>
              </w:rPr>
            </w:pPr>
            <w:r>
              <w:rPr>
                <w:spacing w:val="9"/>
                <w:sz w:val="21"/>
                <w:szCs w:val="21"/>
                <w:highlight w:val="none"/>
              </w:rPr>
              <w:t>营业收入(Y)</w:t>
            </w:r>
          </w:p>
        </w:tc>
        <w:tc>
          <w:tcPr>
            <w:tcW w:w="726" w:type="dxa"/>
            <w:shd w:val="clear" w:color="auto" w:fill="B8CCE4"/>
          </w:tcPr>
          <w:p w14:paraId="0BD0BC13">
            <w:pPr>
              <w:pStyle w:val="33"/>
              <w:spacing w:before="194" w:line="221" w:lineRule="auto"/>
              <w:ind w:left="142"/>
              <w:rPr>
                <w:sz w:val="21"/>
                <w:szCs w:val="21"/>
                <w:highlight w:val="none"/>
              </w:rPr>
            </w:pPr>
            <w:r>
              <w:rPr>
                <w:spacing w:val="1"/>
                <w:sz w:val="21"/>
                <w:szCs w:val="21"/>
                <w:highlight w:val="none"/>
              </w:rPr>
              <w:t>万元</w:t>
            </w:r>
          </w:p>
        </w:tc>
        <w:tc>
          <w:tcPr>
            <w:tcW w:w="1244" w:type="dxa"/>
            <w:shd w:val="clear" w:color="auto" w:fill="B8CCE4"/>
          </w:tcPr>
          <w:p w14:paraId="6824FA50">
            <w:pPr>
              <w:pStyle w:val="33"/>
              <w:spacing w:before="193" w:line="239" w:lineRule="auto"/>
              <w:ind w:left="168"/>
              <w:rPr>
                <w:sz w:val="21"/>
                <w:szCs w:val="21"/>
                <w:highlight w:val="none"/>
              </w:rPr>
            </w:pPr>
            <w:r>
              <w:rPr>
                <w:spacing w:val="7"/>
                <w:sz w:val="21"/>
                <w:szCs w:val="21"/>
                <w:highlight w:val="none"/>
              </w:rPr>
              <w:t>Y≥10000</w:t>
            </w:r>
          </w:p>
        </w:tc>
        <w:tc>
          <w:tcPr>
            <w:tcW w:w="1961" w:type="dxa"/>
            <w:shd w:val="clear" w:color="auto" w:fill="B8CCE4"/>
          </w:tcPr>
          <w:p w14:paraId="794A37D1">
            <w:pPr>
              <w:pStyle w:val="33"/>
              <w:spacing w:before="194" w:line="237" w:lineRule="auto"/>
              <w:ind w:left="195"/>
              <w:rPr>
                <w:sz w:val="21"/>
                <w:szCs w:val="21"/>
                <w:highlight w:val="none"/>
              </w:rPr>
            </w:pPr>
            <w:r>
              <w:rPr>
                <w:spacing w:val="2"/>
                <w:sz w:val="21"/>
                <w:szCs w:val="21"/>
                <w:highlight w:val="none"/>
              </w:rPr>
              <w:t>2000≤Y＜</w:t>
            </w:r>
            <w:r>
              <w:rPr>
                <w:spacing w:val="-39"/>
                <w:sz w:val="21"/>
                <w:szCs w:val="21"/>
                <w:highlight w:val="none"/>
              </w:rPr>
              <w:t xml:space="preserve"> </w:t>
            </w:r>
            <w:r>
              <w:rPr>
                <w:spacing w:val="2"/>
                <w:sz w:val="21"/>
                <w:szCs w:val="21"/>
                <w:highlight w:val="none"/>
              </w:rPr>
              <w:t>10000</w:t>
            </w:r>
          </w:p>
        </w:tc>
        <w:tc>
          <w:tcPr>
            <w:tcW w:w="1756" w:type="dxa"/>
            <w:shd w:val="clear" w:color="auto" w:fill="B8CCE4"/>
          </w:tcPr>
          <w:p w14:paraId="57B3C305">
            <w:pPr>
              <w:pStyle w:val="33"/>
              <w:spacing w:before="194" w:line="237" w:lineRule="auto"/>
              <w:ind w:left="220"/>
              <w:rPr>
                <w:sz w:val="21"/>
                <w:szCs w:val="21"/>
                <w:highlight w:val="none"/>
              </w:rPr>
            </w:pPr>
            <w:r>
              <w:rPr>
                <w:spacing w:val="6"/>
                <w:sz w:val="21"/>
                <w:szCs w:val="21"/>
                <w:highlight w:val="none"/>
              </w:rPr>
              <w:t>100≤Y＜2000</w:t>
            </w:r>
          </w:p>
        </w:tc>
        <w:tc>
          <w:tcPr>
            <w:tcW w:w="1028" w:type="dxa"/>
            <w:shd w:val="clear" w:color="auto" w:fill="B8CCE4"/>
          </w:tcPr>
          <w:p w14:paraId="30B12631">
            <w:pPr>
              <w:pStyle w:val="33"/>
              <w:spacing w:before="193" w:line="241" w:lineRule="auto"/>
              <w:ind w:left="176"/>
              <w:rPr>
                <w:sz w:val="21"/>
                <w:szCs w:val="21"/>
                <w:highlight w:val="none"/>
              </w:rPr>
            </w:pPr>
            <w:r>
              <w:rPr>
                <w:spacing w:val="-6"/>
                <w:sz w:val="21"/>
                <w:szCs w:val="21"/>
                <w:highlight w:val="none"/>
              </w:rPr>
              <w:t>Y＜</w:t>
            </w:r>
            <w:r>
              <w:rPr>
                <w:spacing w:val="-39"/>
                <w:sz w:val="21"/>
                <w:szCs w:val="21"/>
                <w:highlight w:val="none"/>
              </w:rPr>
              <w:t xml:space="preserve"> </w:t>
            </w:r>
            <w:r>
              <w:rPr>
                <w:spacing w:val="-6"/>
                <w:sz w:val="21"/>
                <w:szCs w:val="21"/>
                <w:highlight w:val="none"/>
              </w:rPr>
              <w:t>100</w:t>
            </w:r>
          </w:p>
        </w:tc>
      </w:tr>
      <w:tr w14:paraId="76A08A8D">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5" w:hRule="atLeast"/>
          <w:jc w:val="center"/>
        </w:trPr>
        <w:tc>
          <w:tcPr>
            <w:tcW w:w="1151" w:type="dxa"/>
            <w:vMerge w:val="restart"/>
            <w:tcBorders>
              <w:bottom w:val="nil"/>
              <w:right w:val="single" w:color="4F81BD" w:sz="2" w:space="0"/>
            </w:tcBorders>
          </w:tcPr>
          <w:p w14:paraId="38BC1158">
            <w:pPr>
              <w:spacing w:line="424" w:lineRule="auto"/>
              <w:rPr>
                <w:highlight w:val="none"/>
              </w:rPr>
            </w:pPr>
          </w:p>
          <w:p w14:paraId="0CAD0713">
            <w:pPr>
              <w:pStyle w:val="33"/>
              <w:spacing w:before="69" w:line="221" w:lineRule="auto"/>
              <w:ind w:left="239"/>
              <w:rPr>
                <w:sz w:val="21"/>
                <w:szCs w:val="21"/>
                <w:highlight w:val="none"/>
              </w:rPr>
            </w:pPr>
            <w:r>
              <w:rPr>
                <w:spacing w:val="7"/>
                <w:sz w:val="21"/>
                <w:szCs w:val="21"/>
                <w:highlight w:val="none"/>
              </w:rPr>
              <w:t>餐饮业</w:t>
            </w:r>
          </w:p>
        </w:tc>
        <w:tc>
          <w:tcPr>
            <w:tcW w:w="1492" w:type="dxa"/>
            <w:tcBorders>
              <w:left w:val="single" w:color="4F81BD" w:sz="2" w:space="0"/>
              <w:right w:val="single" w:color="4F81BD" w:sz="2" w:space="0"/>
            </w:tcBorders>
          </w:tcPr>
          <w:p w14:paraId="2C40F1E4">
            <w:pPr>
              <w:pStyle w:val="33"/>
              <w:spacing w:before="194" w:line="221" w:lineRule="auto"/>
              <w:ind w:left="128"/>
              <w:rPr>
                <w:sz w:val="21"/>
                <w:szCs w:val="21"/>
                <w:highlight w:val="none"/>
              </w:rPr>
            </w:pPr>
            <w:r>
              <w:rPr>
                <w:spacing w:val="2"/>
                <w:sz w:val="21"/>
                <w:szCs w:val="21"/>
                <w:highlight w:val="none"/>
              </w:rPr>
              <w:t>从业人员</w:t>
            </w:r>
            <w:r>
              <w:rPr>
                <w:spacing w:val="-43"/>
                <w:sz w:val="21"/>
                <w:szCs w:val="21"/>
                <w:highlight w:val="none"/>
              </w:rPr>
              <w:t xml:space="preserve"> </w:t>
            </w:r>
            <w:r>
              <w:rPr>
                <w:spacing w:val="2"/>
                <w:sz w:val="21"/>
                <w:szCs w:val="21"/>
                <w:highlight w:val="none"/>
              </w:rPr>
              <w:t>(X)</w:t>
            </w:r>
          </w:p>
        </w:tc>
        <w:tc>
          <w:tcPr>
            <w:tcW w:w="726" w:type="dxa"/>
            <w:tcBorders>
              <w:left w:val="single" w:color="4F81BD" w:sz="2" w:space="0"/>
              <w:right w:val="single" w:color="4F81BD" w:sz="2" w:space="0"/>
            </w:tcBorders>
          </w:tcPr>
          <w:p w14:paraId="6F5C8965">
            <w:pPr>
              <w:pStyle w:val="33"/>
              <w:spacing w:before="194" w:line="223" w:lineRule="auto"/>
              <w:ind w:left="254"/>
              <w:rPr>
                <w:sz w:val="21"/>
                <w:szCs w:val="21"/>
                <w:highlight w:val="none"/>
              </w:rPr>
            </w:pPr>
            <w:r>
              <w:rPr>
                <w:sz w:val="21"/>
                <w:szCs w:val="21"/>
                <w:highlight w:val="none"/>
              </w:rPr>
              <w:t>人</w:t>
            </w:r>
          </w:p>
        </w:tc>
        <w:tc>
          <w:tcPr>
            <w:tcW w:w="1244" w:type="dxa"/>
            <w:tcBorders>
              <w:left w:val="single" w:color="4F81BD" w:sz="2" w:space="0"/>
              <w:right w:val="single" w:color="4F81BD" w:sz="2" w:space="0"/>
            </w:tcBorders>
          </w:tcPr>
          <w:p w14:paraId="58F1CD7D">
            <w:pPr>
              <w:pStyle w:val="33"/>
              <w:spacing w:before="193" w:line="239" w:lineRule="auto"/>
              <w:ind w:left="284"/>
              <w:rPr>
                <w:sz w:val="21"/>
                <w:szCs w:val="21"/>
                <w:highlight w:val="none"/>
              </w:rPr>
            </w:pPr>
            <w:r>
              <w:rPr>
                <w:spacing w:val="6"/>
                <w:sz w:val="21"/>
                <w:szCs w:val="21"/>
                <w:highlight w:val="none"/>
              </w:rPr>
              <w:t>X≥300</w:t>
            </w:r>
          </w:p>
        </w:tc>
        <w:tc>
          <w:tcPr>
            <w:tcW w:w="1961" w:type="dxa"/>
            <w:tcBorders>
              <w:left w:val="single" w:color="4F81BD" w:sz="2" w:space="0"/>
              <w:right w:val="single" w:color="4F81BD" w:sz="2" w:space="0"/>
            </w:tcBorders>
          </w:tcPr>
          <w:p w14:paraId="32A9B740">
            <w:pPr>
              <w:pStyle w:val="33"/>
              <w:spacing w:before="193" w:line="237" w:lineRule="auto"/>
              <w:ind w:left="379"/>
              <w:rPr>
                <w:sz w:val="21"/>
                <w:szCs w:val="21"/>
                <w:highlight w:val="none"/>
              </w:rPr>
            </w:pPr>
            <w:r>
              <w:rPr>
                <w:spacing w:val="6"/>
                <w:sz w:val="21"/>
                <w:szCs w:val="21"/>
                <w:highlight w:val="none"/>
              </w:rPr>
              <w:t>100≤X＜300</w:t>
            </w:r>
          </w:p>
        </w:tc>
        <w:tc>
          <w:tcPr>
            <w:tcW w:w="1756" w:type="dxa"/>
            <w:tcBorders>
              <w:left w:val="single" w:color="4F81BD" w:sz="2" w:space="0"/>
              <w:right w:val="single" w:color="4F81BD" w:sz="2" w:space="0"/>
            </w:tcBorders>
          </w:tcPr>
          <w:p w14:paraId="316E9250">
            <w:pPr>
              <w:pStyle w:val="33"/>
              <w:spacing w:before="193" w:line="237" w:lineRule="auto"/>
              <w:ind w:left="336"/>
              <w:rPr>
                <w:sz w:val="21"/>
                <w:szCs w:val="21"/>
                <w:highlight w:val="none"/>
              </w:rPr>
            </w:pPr>
            <w:r>
              <w:rPr>
                <w:spacing w:val="-2"/>
                <w:sz w:val="21"/>
                <w:szCs w:val="21"/>
                <w:highlight w:val="none"/>
              </w:rPr>
              <w:t>10≤X＜</w:t>
            </w:r>
            <w:r>
              <w:rPr>
                <w:spacing w:val="-40"/>
                <w:sz w:val="21"/>
                <w:szCs w:val="21"/>
                <w:highlight w:val="none"/>
              </w:rPr>
              <w:t xml:space="preserve"> </w:t>
            </w:r>
            <w:r>
              <w:rPr>
                <w:spacing w:val="-2"/>
                <w:sz w:val="21"/>
                <w:szCs w:val="21"/>
                <w:highlight w:val="none"/>
              </w:rPr>
              <w:t>100</w:t>
            </w:r>
          </w:p>
        </w:tc>
        <w:tc>
          <w:tcPr>
            <w:tcW w:w="1028" w:type="dxa"/>
            <w:tcBorders>
              <w:left w:val="single" w:color="4F81BD" w:sz="2" w:space="0"/>
              <w:right w:val="single" w:color="4F81BD" w:sz="2" w:space="0"/>
            </w:tcBorders>
          </w:tcPr>
          <w:p w14:paraId="683E4DDF">
            <w:pPr>
              <w:pStyle w:val="33"/>
              <w:spacing w:before="193" w:line="241" w:lineRule="auto"/>
              <w:ind w:left="237"/>
              <w:rPr>
                <w:sz w:val="21"/>
                <w:szCs w:val="21"/>
                <w:highlight w:val="none"/>
              </w:rPr>
            </w:pPr>
            <w:r>
              <w:rPr>
                <w:spacing w:val="-8"/>
                <w:sz w:val="21"/>
                <w:szCs w:val="21"/>
                <w:highlight w:val="none"/>
              </w:rPr>
              <w:t>X＜</w:t>
            </w:r>
            <w:r>
              <w:rPr>
                <w:spacing w:val="-41"/>
                <w:sz w:val="21"/>
                <w:szCs w:val="21"/>
                <w:highlight w:val="none"/>
              </w:rPr>
              <w:t xml:space="preserve"> </w:t>
            </w:r>
            <w:r>
              <w:rPr>
                <w:spacing w:val="-8"/>
                <w:sz w:val="21"/>
                <w:szCs w:val="21"/>
                <w:highlight w:val="none"/>
              </w:rPr>
              <w:t>10</w:t>
            </w:r>
          </w:p>
        </w:tc>
      </w:tr>
      <w:tr w14:paraId="2E1B66E5">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5" w:hRule="atLeast"/>
          <w:jc w:val="center"/>
        </w:trPr>
        <w:tc>
          <w:tcPr>
            <w:tcW w:w="1151" w:type="dxa"/>
            <w:vMerge w:val="continue"/>
            <w:tcBorders>
              <w:top w:val="nil"/>
              <w:bottom w:val="single" w:color="000000" w:sz="2" w:space="0"/>
              <w:right w:val="single" w:color="4F81BD" w:sz="2" w:space="0"/>
            </w:tcBorders>
          </w:tcPr>
          <w:p w14:paraId="0E2F51FD">
            <w:pPr>
              <w:rPr>
                <w:highlight w:val="none"/>
              </w:rPr>
            </w:pPr>
          </w:p>
        </w:tc>
        <w:tc>
          <w:tcPr>
            <w:tcW w:w="1492" w:type="dxa"/>
            <w:tcBorders>
              <w:left w:val="single" w:color="000000" w:sz="2" w:space="0"/>
              <w:bottom w:val="single" w:color="000000" w:sz="2" w:space="0"/>
            </w:tcBorders>
            <w:shd w:val="clear" w:color="auto" w:fill="B8CCE4"/>
          </w:tcPr>
          <w:p w14:paraId="37310C5E">
            <w:pPr>
              <w:pStyle w:val="33"/>
              <w:spacing w:before="193" w:line="221" w:lineRule="auto"/>
              <w:ind w:left="133"/>
              <w:rPr>
                <w:sz w:val="21"/>
                <w:szCs w:val="21"/>
                <w:highlight w:val="none"/>
              </w:rPr>
            </w:pPr>
            <w:r>
              <w:rPr>
                <w:spacing w:val="9"/>
                <w:sz w:val="21"/>
                <w:szCs w:val="21"/>
                <w:highlight w:val="none"/>
              </w:rPr>
              <w:t>营业收入(Y)</w:t>
            </w:r>
          </w:p>
        </w:tc>
        <w:tc>
          <w:tcPr>
            <w:tcW w:w="726" w:type="dxa"/>
            <w:tcBorders>
              <w:bottom w:val="single" w:color="000000" w:sz="2" w:space="0"/>
            </w:tcBorders>
            <w:shd w:val="clear" w:color="auto" w:fill="B8CCE4"/>
          </w:tcPr>
          <w:p w14:paraId="0F28F725">
            <w:pPr>
              <w:pStyle w:val="33"/>
              <w:spacing w:before="193" w:line="221" w:lineRule="auto"/>
              <w:ind w:left="142"/>
              <w:rPr>
                <w:sz w:val="21"/>
                <w:szCs w:val="21"/>
                <w:highlight w:val="none"/>
              </w:rPr>
            </w:pPr>
            <w:r>
              <w:rPr>
                <w:spacing w:val="1"/>
                <w:sz w:val="21"/>
                <w:szCs w:val="21"/>
                <w:highlight w:val="none"/>
              </w:rPr>
              <w:t>万元</w:t>
            </w:r>
          </w:p>
        </w:tc>
        <w:tc>
          <w:tcPr>
            <w:tcW w:w="1244" w:type="dxa"/>
            <w:tcBorders>
              <w:bottom w:val="single" w:color="000000" w:sz="2" w:space="0"/>
            </w:tcBorders>
            <w:shd w:val="clear" w:color="auto" w:fill="B8CCE4"/>
          </w:tcPr>
          <w:p w14:paraId="77281D99">
            <w:pPr>
              <w:pStyle w:val="33"/>
              <w:spacing w:before="193" w:line="239" w:lineRule="auto"/>
              <w:ind w:left="168"/>
              <w:rPr>
                <w:sz w:val="21"/>
                <w:szCs w:val="21"/>
                <w:highlight w:val="none"/>
              </w:rPr>
            </w:pPr>
            <w:r>
              <w:rPr>
                <w:spacing w:val="7"/>
                <w:sz w:val="21"/>
                <w:szCs w:val="21"/>
                <w:highlight w:val="none"/>
              </w:rPr>
              <w:t>Y≥10000</w:t>
            </w:r>
          </w:p>
        </w:tc>
        <w:tc>
          <w:tcPr>
            <w:tcW w:w="1961" w:type="dxa"/>
            <w:tcBorders>
              <w:bottom w:val="single" w:color="000000" w:sz="2" w:space="0"/>
            </w:tcBorders>
            <w:shd w:val="clear" w:color="auto" w:fill="B8CCE4"/>
          </w:tcPr>
          <w:p w14:paraId="030EA22C">
            <w:pPr>
              <w:pStyle w:val="33"/>
              <w:spacing w:before="193" w:line="237" w:lineRule="auto"/>
              <w:ind w:left="195"/>
              <w:rPr>
                <w:sz w:val="21"/>
                <w:szCs w:val="21"/>
                <w:highlight w:val="none"/>
              </w:rPr>
            </w:pPr>
            <w:r>
              <w:rPr>
                <w:spacing w:val="2"/>
                <w:sz w:val="21"/>
                <w:szCs w:val="21"/>
                <w:highlight w:val="none"/>
              </w:rPr>
              <w:t>2000≤Y＜</w:t>
            </w:r>
            <w:r>
              <w:rPr>
                <w:spacing w:val="-39"/>
                <w:sz w:val="21"/>
                <w:szCs w:val="21"/>
                <w:highlight w:val="none"/>
              </w:rPr>
              <w:t xml:space="preserve"> </w:t>
            </w:r>
            <w:r>
              <w:rPr>
                <w:spacing w:val="2"/>
                <w:sz w:val="21"/>
                <w:szCs w:val="21"/>
                <w:highlight w:val="none"/>
              </w:rPr>
              <w:t>10000</w:t>
            </w:r>
          </w:p>
        </w:tc>
        <w:tc>
          <w:tcPr>
            <w:tcW w:w="1756" w:type="dxa"/>
            <w:tcBorders>
              <w:bottom w:val="single" w:color="000000" w:sz="2" w:space="0"/>
            </w:tcBorders>
            <w:shd w:val="clear" w:color="auto" w:fill="B8CCE4"/>
          </w:tcPr>
          <w:p w14:paraId="4CC31FF0">
            <w:pPr>
              <w:pStyle w:val="33"/>
              <w:spacing w:before="193" w:line="237" w:lineRule="auto"/>
              <w:ind w:left="220"/>
              <w:rPr>
                <w:sz w:val="21"/>
                <w:szCs w:val="21"/>
                <w:highlight w:val="none"/>
              </w:rPr>
            </w:pPr>
            <w:r>
              <w:rPr>
                <w:spacing w:val="6"/>
                <w:sz w:val="21"/>
                <w:szCs w:val="21"/>
                <w:highlight w:val="none"/>
              </w:rPr>
              <w:t>100≤Y＜2000</w:t>
            </w:r>
          </w:p>
        </w:tc>
        <w:tc>
          <w:tcPr>
            <w:tcW w:w="1028" w:type="dxa"/>
            <w:tcBorders>
              <w:bottom w:val="single" w:color="000000" w:sz="2" w:space="0"/>
            </w:tcBorders>
            <w:shd w:val="clear" w:color="auto" w:fill="B8CCE4"/>
          </w:tcPr>
          <w:p w14:paraId="56D35DEF">
            <w:pPr>
              <w:pStyle w:val="33"/>
              <w:spacing w:before="193" w:line="241" w:lineRule="auto"/>
              <w:ind w:left="176"/>
              <w:rPr>
                <w:sz w:val="21"/>
                <w:szCs w:val="21"/>
                <w:highlight w:val="none"/>
              </w:rPr>
            </w:pPr>
            <w:r>
              <w:rPr>
                <w:spacing w:val="-6"/>
                <w:sz w:val="21"/>
                <w:szCs w:val="21"/>
                <w:highlight w:val="none"/>
              </w:rPr>
              <w:t>Y＜</w:t>
            </w:r>
            <w:r>
              <w:rPr>
                <w:spacing w:val="-39"/>
                <w:sz w:val="21"/>
                <w:szCs w:val="21"/>
                <w:highlight w:val="none"/>
              </w:rPr>
              <w:t xml:space="preserve"> </w:t>
            </w:r>
            <w:r>
              <w:rPr>
                <w:spacing w:val="-6"/>
                <w:sz w:val="21"/>
                <w:szCs w:val="21"/>
                <w:highlight w:val="none"/>
              </w:rPr>
              <w:t>100</w:t>
            </w:r>
          </w:p>
        </w:tc>
      </w:tr>
    </w:tbl>
    <w:p w14:paraId="2EFA5FA0">
      <w:pPr>
        <w:spacing w:before="92"/>
        <w:rPr>
          <w:rFonts w:eastAsiaTheme="minorEastAsia"/>
          <w:highlight w:val="none"/>
          <w:lang w:eastAsia="zh-CN"/>
        </w:rPr>
      </w:pPr>
    </w:p>
    <w:tbl>
      <w:tblPr>
        <w:tblStyle w:val="32"/>
        <w:tblW w:w="9358" w:type="dxa"/>
        <w:tblInd w:w="5" w:type="dxa"/>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Layout w:type="fixed"/>
        <w:tblCellMar>
          <w:top w:w="0" w:type="dxa"/>
          <w:left w:w="0" w:type="dxa"/>
          <w:bottom w:w="0" w:type="dxa"/>
          <w:right w:w="0" w:type="dxa"/>
        </w:tblCellMar>
      </w:tblPr>
      <w:tblGrid>
        <w:gridCol w:w="1141"/>
        <w:gridCol w:w="1480"/>
        <w:gridCol w:w="76"/>
        <w:gridCol w:w="720"/>
        <w:gridCol w:w="1234"/>
        <w:gridCol w:w="1946"/>
        <w:gridCol w:w="1741"/>
        <w:gridCol w:w="1020"/>
      </w:tblGrid>
      <w:tr w14:paraId="3A3E7026">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00" w:hRule="atLeast"/>
        </w:trPr>
        <w:tc>
          <w:tcPr>
            <w:tcW w:w="1141" w:type="dxa"/>
            <w:vMerge w:val="restart"/>
            <w:tcBorders>
              <w:top w:val="single" w:color="000000" w:sz="2" w:space="0"/>
              <w:left w:val="single" w:color="000000" w:sz="2" w:space="0"/>
              <w:bottom w:val="nil"/>
              <w:right w:val="single" w:color="000000" w:sz="2" w:space="0"/>
            </w:tcBorders>
          </w:tcPr>
          <w:p w14:paraId="3C9BFA92">
            <w:pPr>
              <w:spacing w:line="270" w:lineRule="auto"/>
              <w:rPr>
                <w:highlight w:val="none"/>
              </w:rPr>
            </w:pPr>
          </w:p>
          <w:p w14:paraId="19C289C7">
            <w:pPr>
              <w:pStyle w:val="33"/>
              <w:spacing w:before="68" w:line="282" w:lineRule="auto"/>
              <w:ind w:left="346" w:right="128" w:hanging="219"/>
              <w:rPr>
                <w:sz w:val="21"/>
                <w:szCs w:val="21"/>
                <w:highlight w:val="none"/>
              </w:rPr>
            </w:pPr>
            <w:r>
              <w:rPr>
                <w:spacing w:val="9"/>
                <w:sz w:val="21"/>
                <w:szCs w:val="21"/>
                <w:highlight w:val="none"/>
              </w:rPr>
              <w:t>信息传输</w:t>
            </w:r>
            <w:r>
              <w:rPr>
                <w:spacing w:val="-4"/>
                <w:sz w:val="21"/>
                <w:szCs w:val="21"/>
                <w:highlight w:val="none"/>
              </w:rPr>
              <w:t>业</w:t>
            </w:r>
            <w:r>
              <w:rPr>
                <w:spacing w:val="37"/>
                <w:sz w:val="21"/>
                <w:szCs w:val="21"/>
                <w:highlight w:val="none"/>
              </w:rPr>
              <w:t xml:space="preserve"> </w:t>
            </w:r>
            <w:r>
              <w:rPr>
                <w:spacing w:val="-4"/>
                <w:sz w:val="21"/>
                <w:szCs w:val="21"/>
                <w:highlight w:val="none"/>
              </w:rPr>
              <w:t>*</w:t>
            </w:r>
          </w:p>
        </w:tc>
        <w:tc>
          <w:tcPr>
            <w:tcW w:w="1556" w:type="dxa"/>
            <w:gridSpan w:val="2"/>
            <w:tcBorders>
              <w:top w:val="single" w:color="000000" w:sz="2" w:space="0"/>
              <w:left w:val="single" w:color="000000" w:sz="2" w:space="0"/>
              <w:bottom w:val="single" w:color="000000" w:sz="2" w:space="0"/>
              <w:right w:val="single" w:color="000000" w:sz="2" w:space="0"/>
            </w:tcBorders>
          </w:tcPr>
          <w:p w14:paraId="7F72344D">
            <w:pPr>
              <w:pStyle w:val="33"/>
              <w:spacing w:before="195" w:line="221" w:lineRule="auto"/>
              <w:ind w:left="138"/>
              <w:rPr>
                <w:sz w:val="21"/>
                <w:szCs w:val="21"/>
                <w:highlight w:val="none"/>
              </w:rPr>
            </w:pPr>
            <w:r>
              <w:rPr>
                <w:spacing w:val="2"/>
                <w:sz w:val="21"/>
                <w:szCs w:val="21"/>
                <w:highlight w:val="none"/>
              </w:rPr>
              <w:t>从业人员</w:t>
            </w:r>
            <w:r>
              <w:rPr>
                <w:spacing w:val="-43"/>
                <w:sz w:val="21"/>
                <w:szCs w:val="21"/>
                <w:highlight w:val="none"/>
              </w:rPr>
              <w:t xml:space="preserve"> </w:t>
            </w:r>
            <w:r>
              <w:rPr>
                <w:spacing w:val="2"/>
                <w:sz w:val="21"/>
                <w:szCs w:val="21"/>
                <w:highlight w:val="none"/>
              </w:rPr>
              <w:t>(X)</w:t>
            </w:r>
          </w:p>
        </w:tc>
        <w:tc>
          <w:tcPr>
            <w:tcW w:w="720" w:type="dxa"/>
            <w:tcBorders>
              <w:top w:val="single" w:color="000000" w:sz="2" w:space="0"/>
              <w:left w:val="single" w:color="000000" w:sz="2" w:space="0"/>
              <w:bottom w:val="single" w:color="000000" w:sz="2" w:space="0"/>
              <w:right w:val="single" w:color="000000" w:sz="2" w:space="0"/>
            </w:tcBorders>
          </w:tcPr>
          <w:p w14:paraId="0B6F2E6B">
            <w:pPr>
              <w:pStyle w:val="33"/>
              <w:spacing w:before="196" w:line="223" w:lineRule="auto"/>
              <w:ind w:left="200"/>
              <w:rPr>
                <w:sz w:val="21"/>
                <w:szCs w:val="21"/>
                <w:highlight w:val="none"/>
              </w:rPr>
            </w:pPr>
            <w:r>
              <w:rPr>
                <w:sz w:val="21"/>
                <w:szCs w:val="21"/>
                <w:highlight w:val="none"/>
              </w:rPr>
              <w:t>人</w:t>
            </w:r>
          </w:p>
        </w:tc>
        <w:tc>
          <w:tcPr>
            <w:tcW w:w="1234" w:type="dxa"/>
            <w:tcBorders>
              <w:top w:val="single" w:color="000000" w:sz="2" w:space="0"/>
              <w:left w:val="single" w:color="000000" w:sz="2" w:space="0"/>
              <w:bottom w:val="single" w:color="000000" w:sz="2" w:space="0"/>
              <w:right w:val="single" w:color="000000" w:sz="2" w:space="0"/>
            </w:tcBorders>
          </w:tcPr>
          <w:p w14:paraId="5F818DC9">
            <w:pPr>
              <w:pStyle w:val="33"/>
              <w:spacing w:before="195" w:line="239" w:lineRule="auto"/>
              <w:ind w:left="179"/>
              <w:rPr>
                <w:sz w:val="21"/>
                <w:szCs w:val="21"/>
                <w:highlight w:val="none"/>
              </w:rPr>
            </w:pPr>
            <w:r>
              <w:rPr>
                <w:spacing w:val="6"/>
                <w:sz w:val="21"/>
                <w:szCs w:val="21"/>
                <w:highlight w:val="none"/>
              </w:rPr>
              <w:t>X≥2000</w:t>
            </w:r>
          </w:p>
        </w:tc>
        <w:tc>
          <w:tcPr>
            <w:tcW w:w="1946" w:type="dxa"/>
            <w:tcBorders>
              <w:top w:val="single" w:color="000000" w:sz="2" w:space="0"/>
              <w:left w:val="single" w:color="000000" w:sz="2" w:space="0"/>
              <w:bottom w:val="single" w:color="000000" w:sz="2" w:space="0"/>
              <w:right w:val="single" w:color="000000" w:sz="2" w:space="0"/>
            </w:tcBorders>
          </w:tcPr>
          <w:p w14:paraId="6B53DF77">
            <w:pPr>
              <w:pStyle w:val="33"/>
              <w:spacing w:before="195" w:line="237" w:lineRule="auto"/>
              <w:ind w:left="286"/>
              <w:rPr>
                <w:sz w:val="21"/>
                <w:szCs w:val="21"/>
                <w:highlight w:val="none"/>
              </w:rPr>
            </w:pPr>
            <w:r>
              <w:rPr>
                <w:spacing w:val="6"/>
                <w:sz w:val="21"/>
                <w:szCs w:val="21"/>
                <w:highlight w:val="none"/>
              </w:rPr>
              <w:t>100≤X＜2000</w:t>
            </w:r>
          </w:p>
        </w:tc>
        <w:tc>
          <w:tcPr>
            <w:tcW w:w="1741" w:type="dxa"/>
            <w:tcBorders>
              <w:top w:val="single" w:color="000000" w:sz="2" w:space="0"/>
              <w:left w:val="single" w:color="000000" w:sz="2" w:space="0"/>
              <w:bottom w:val="single" w:color="000000" w:sz="2" w:space="0"/>
              <w:right w:val="single" w:color="000000" w:sz="2" w:space="0"/>
            </w:tcBorders>
          </w:tcPr>
          <w:p w14:paraId="0E9E6A10">
            <w:pPr>
              <w:pStyle w:val="33"/>
              <w:spacing w:before="195" w:line="237" w:lineRule="auto"/>
              <w:ind w:left="313"/>
              <w:rPr>
                <w:sz w:val="21"/>
                <w:szCs w:val="21"/>
                <w:highlight w:val="none"/>
              </w:rPr>
            </w:pPr>
            <w:r>
              <w:rPr>
                <w:spacing w:val="-2"/>
                <w:sz w:val="21"/>
                <w:szCs w:val="21"/>
                <w:highlight w:val="none"/>
              </w:rPr>
              <w:t>10≤X＜</w:t>
            </w:r>
            <w:r>
              <w:rPr>
                <w:spacing w:val="-40"/>
                <w:sz w:val="21"/>
                <w:szCs w:val="21"/>
                <w:highlight w:val="none"/>
              </w:rPr>
              <w:t xml:space="preserve"> </w:t>
            </w:r>
            <w:r>
              <w:rPr>
                <w:spacing w:val="-2"/>
                <w:sz w:val="21"/>
                <w:szCs w:val="21"/>
                <w:highlight w:val="none"/>
              </w:rPr>
              <w:t>100</w:t>
            </w:r>
          </w:p>
        </w:tc>
        <w:tc>
          <w:tcPr>
            <w:tcW w:w="1020" w:type="dxa"/>
            <w:tcBorders>
              <w:top w:val="single" w:color="000000" w:sz="2" w:space="0"/>
              <w:left w:val="single" w:color="000000" w:sz="2" w:space="0"/>
              <w:bottom w:val="single" w:color="000000" w:sz="2" w:space="0"/>
              <w:right w:val="single" w:color="000000" w:sz="2" w:space="0"/>
            </w:tcBorders>
          </w:tcPr>
          <w:p w14:paraId="71F1A12F">
            <w:pPr>
              <w:pStyle w:val="33"/>
              <w:spacing w:before="195" w:line="241" w:lineRule="auto"/>
              <w:ind w:left="229"/>
              <w:rPr>
                <w:sz w:val="21"/>
                <w:szCs w:val="21"/>
                <w:highlight w:val="none"/>
              </w:rPr>
            </w:pPr>
            <w:r>
              <w:rPr>
                <w:spacing w:val="-8"/>
                <w:sz w:val="21"/>
                <w:szCs w:val="21"/>
                <w:highlight w:val="none"/>
              </w:rPr>
              <w:t>X＜</w:t>
            </w:r>
            <w:r>
              <w:rPr>
                <w:spacing w:val="-41"/>
                <w:sz w:val="21"/>
                <w:szCs w:val="21"/>
                <w:highlight w:val="none"/>
              </w:rPr>
              <w:t xml:space="preserve"> </w:t>
            </w:r>
            <w:r>
              <w:rPr>
                <w:spacing w:val="-8"/>
                <w:sz w:val="21"/>
                <w:szCs w:val="21"/>
                <w:highlight w:val="none"/>
              </w:rPr>
              <w:t>10</w:t>
            </w:r>
          </w:p>
        </w:tc>
      </w:tr>
      <w:tr w14:paraId="0B81D910">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2" w:hRule="atLeast"/>
        </w:trPr>
        <w:tc>
          <w:tcPr>
            <w:tcW w:w="1141" w:type="dxa"/>
            <w:vMerge w:val="continue"/>
            <w:tcBorders>
              <w:top w:val="nil"/>
              <w:left w:val="single" w:color="000000" w:sz="2" w:space="0"/>
              <w:bottom w:val="single" w:color="000000" w:sz="2" w:space="0"/>
              <w:right w:val="single" w:color="000000" w:sz="2" w:space="0"/>
            </w:tcBorders>
          </w:tcPr>
          <w:p w14:paraId="11F79BE6">
            <w:pPr>
              <w:rPr>
                <w:highlight w:val="none"/>
              </w:rPr>
            </w:pPr>
          </w:p>
        </w:tc>
        <w:tc>
          <w:tcPr>
            <w:tcW w:w="1556" w:type="dxa"/>
            <w:gridSpan w:val="2"/>
            <w:tcBorders>
              <w:top w:val="single" w:color="000000" w:sz="2" w:space="0"/>
              <w:left w:val="single" w:color="000000" w:sz="2" w:space="0"/>
              <w:bottom w:val="single" w:color="000000" w:sz="2" w:space="0"/>
              <w:right w:val="single" w:color="000000" w:sz="2" w:space="0"/>
            </w:tcBorders>
            <w:shd w:val="clear" w:color="auto" w:fill="B8CCE4"/>
          </w:tcPr>
          <w:p w14:paraId="17E981CC">
            <w:pPr>
              <w:pStyle w:val="33"/>
              <w:spacing w:before="187" w:line="221" w:lineRule="auto"/>
              <w:ind w:left="143"/>
              <w:rPr>
                <w:sz w:val="21"/>
                <w:szCs w:val="21"/>
                <w:highlight w:val="none"/>
              </w:rPr>
            </w:pPr>
            <w:r>
              <w:rPr>
                <w:spacing w:val="9"/>
                <w:sz w:val="21"/>
                <w:szCs w:val="21"/>
                <w:highlight w:val="none"/>
              </w:rPr>
              <w:t>营业收入(Y)</w:t>
            </w:r>
          </w:p>
        </w:tc>
        <w:tc>
          <w:tcPr>
            <w:tcW w:w="720" w:type="dxa"/>
            <w:tcBorders>
              <w:top w:val="single" w:color="000000" w:sz="2" w:space="0"/>
              <w:left w:val="single" w:color="000000" w:sz="2" w:space="0"/>
              <w:bottom w:val="single" w:color="000000" w:sz="2" w:space="0"/>
              <w:right w:val="single" w:color="000000" w:sz="2" w:space="0"/>
            </w:tcBorders>
            <w:shd w:val="clear" w:color="auto" w:fill="B8CCE4"/>
          </w:tcPr>
          <w:p w14:paraId="35F8B726">
            <w:pPr>
              <w:pStyle w:val="33"/>
              <w:spacing w:before="188" w:line="221" w:lineRule="auto"/>
              <w:ind w:left="90"/>
              <w:rPr>
                <w:sz w:val="21"/>
                <w:szCs w:val="21"/>
                <w:highlight w:val="none"/>
              </w:rPr>
            </w:pPr>
            <w:r>
              <w:rPr>
                <w:spacing w:val="1"/>
                <w:sz w:val="21"/>
                <w:szCs w:val="21"/>
                <w:highlight w:val="none"/>
              </w:rPr>
              <w:t>万元</w:t>
            </w:r>
          </w:p>
        </w:tc>
        <w:tc>
          <w:tcPr>
            <w:tcW w:w="1234" w:type="dxa"/>
            <w:tcBorders>
              <w:top w:val="single" w:color="000000" w:sz="2" w:space="0"/>
              <w:left w:val="single" w:color="000000" w:sz="2" w:space="0"/>
              <w:bottom w:val="single" w:color="000000" w:sz="2" w:space="0"/>
              <w:right w:val="single" w:color="000000" w:sz="2" w:space="0"/>
            </w:tcBorders>
            <w:shd w:val="clear" w:color="auto" w:fill="B8CCE4"/>
          </w:tcPr>
          <w:p w14:paraId="7093D2CB">
            <w:pPr>
              <w:pStyle w:val="33"/>
              <w:spacing w:before="187" w:line="239" w:lineRule="auto"/>
              <w:ind w:left="65"/>
              <w:rPr>
                <w:sz w:val="21"/>
                <w:szCs w:val="21"/>
                <w:highlight w:val="none"/>
              </w:rPr>
            </w:pPr>
            <w:r>
              <w:rPr>
                <w:spacing w:val="7"/>
                <w:sz w:val="21"/>
                <w:szCs w:val="21"/>
                <w:highlight w:val="none"/>
              </w:rPr>
              <w:t>Y≥100000</w:t>
            </w:r>
          </w:p>
        </w:tc>
        <w:tc>
          <w:tcPr>
            <w:tcW w:w="1946" w:type="dxa"/>
            <w:tcBorders>
              <w:top w:val="single" w:color="000000" w:sz="2" w:space="0"/>
              <w:left w:val="single" w:color="000000" w:sz="2" w:space="0"/>
              <w:bottom w:val="single" w:color="000000" w:sz="2" w:space="0"/>
              <w:right w:val="single" w:color="000000" w:sz="2" w:space="0"/>
            </w:tcBorders>
            <w:shd w:val="clear" w:color="auto" w:fill="B8CCE4"/>
          </w:tcPr>
          <w:p w14:paraId="36FA6C9B">
            <w:pPr>
              <w:pStyle w:val="33"/>
              <w:spacing w:before="188" w:line="237" w:lineRule="auto"/>
              <w:ind w:left="115"/>
              <w:rPr>
                <w:sz w:val="21"/>
                <w:szCs w:val="21"/>
                <w:highlight w:val="none"/>
              </w:rPr>
            </w:pPr>
            <w:r>
              <w:rPr>
                <w:spacing w:val="1"/>
                <w:sz w:val="21"/>
                <w:szCs w:val="21"/>
                <w:highlight w:val="none"/>
              </w:rPr>
              <w:t>1000≤Y＜</w:t>
            </w:r>
            <w:r>
              <w:rPr>
                <w:spacing w:val="-33"/>
                <w:sz w:val="21"/>
                <w:szCs w:val="21"/>
                <w:highlight w:val="none"/>
              </w:rPr>
              <w:t xml:space="preserve"> </w:t>
            </w:r>
            <w:r>
              <w:rPr>
                <w:spacing w:val="1"/>
                <w:sz w:val="21"/>
                <w:szCs w:val="21"/>
                <w:highlight w:val="none"/>
              </w:rPr>
              <w:t>100000</w:t>
            </w:r>
          </w:p>
        </w:tc>
        <w:tc>
          <w:tcPr>
            <w:tcW w:w="1741" w:type="dxa"/>
            <w:tcBorders>
              <w:top w:val="single" w:color="000000" w:sz="2" w:space="0"/>
              <w:left w:val="single" w:color="000000" w:sz="2" w:space="0"/>
              <w:bottom w:val="single" w:color="000000" w:sz="2" w:space="0"/>
              <w:right w:val="single" w:color="000000" w:sz="2" w:space="0"/>
            </w:tcBorders>
            <w:shd w:val="clear" w:color="auto" w:fill="B8CCE4"/>
          </w:tcPr>
          <w:p w14:paraId="6FD4D13C">
            <w:pPr>
              <w:pStyle w:val="33"/>
              <w:spacing w:before="188" w:line="237" w:lineRule="auto"/>
              <w:ind w:left="200"/>
              <w:rPr>
                <w:sz w:val="21"/>
                <w:szCs w:val="21"/>
                <w:highlight w:val="none"/>
              </w:rPr>
            </w:pPr>
            <w:r>
              <w:rPr>
                <w:spacing w:val="-1"/>
                <w:sz w:val="21"/>
                <w:szCs w:val="21"/>
                <w:highlight w:val="none"/>
              </w:rPr>
              <w:t>100≤Y＜</w:t>
            </w:r>
            <w:r>
              <w:rPr>
                <w:spacing w:val="-33"/>
                <w:sz w:val="21"/>
                <w:szCs w:val="21"/>
                <w:highlight w:val="none"/>
              </w:rPr>
              <w:t xml:space="preserve"> </w:t>
            </w:r>
            <w:r>
              <w:rPr>
                <w:spacing w:val="-1"/>
                <w:sz w:val="21"/>
                <w:szCs w:val="21"/>
                <w:highlight w:val="none"/>
              </w:rPr>
              <w:t>1000</w:t>
            </w:r>
          </w:p>
        </w:tc>
        <w:tc>
          <w:tcPr>
            <w:tcW w:w="1020" w:type="dxa"/>
            <w:tcBorders>
              <w:top w:val="single" w:color="000000" w:sz="2" w:space="0"/>
              <w:left w:val="single" w:color="000000" w:sz="2" w:space="0"/>
              <w:bottom w:val="single" w:color="000000" w:sz="2" w:space="0"/>
              <w:right w:val="single" w:color="000000" w:sz="2" w:space="0"/>
            </w:tcBorders>
            <w:shd w:val="clear" w:color="auto" w:fill="B8CCE4"/>
          </w:tcPr>
          <w:p w14:paraId="55EADA9A">
            <w:pPr>
              <w:pStyle w:val="33"/>
              <w:spacing w:before="187" w:line="241" w:lineRule="auto"/>
              <w:ind w:left="171"/>
              <w:rPr>
                <w:sz w:val="21"/>
                <w:szCs w:val="21"/>
                <w:highlight w:val="none"/>
              </w:rPr>
            </w:pPr>
            <w:r>
              <w:rPr>
                <w:spacing w:val="-6"/>
                <w:sz w:val="21"/>
                <w:szCs w:val="21"/>
                <w:highlight w:val="none"/>
              </w:rPr>
              <w:t>Y＜</w:t>
            </w:r>
            <w:r>
              <w:rPr>
                <w:spacing w:val="-39"/>
                <w:sz w:val="21"/>
                <w:szCs w:val="21"/>
                <w:highlight w:val="none"/>
              </w:rPr>
              <w:t xml:space="preserve"> </w:t>
            </w:r>
            <w:r>
              <w:rPr>
                <w:spacing w:val="-6"/>
                <w:sz w:val="21"/>
                <w:szCs w:val="21"/>
                <w:highlight w:val="none"/>
              </w:rPr>
              <w:t>100</w:t>
            </w:r>
          </w:p>
        </w:tc>
      </w:tr>
      <w:tr w14:paraId="4CB22666">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4" w:hRule="atLeast"/>
        </w:trPr>
        <w:tc>
          <w:tcPr>
            <w:tcW w:w="1141" w:type="dxa"/>
            <w:vMerge w:val="restart"/>
            <w:tcBorders>
              <w:top w:val="single" w:color="000000" w:sz="2" w:space="0"/>
              <w:left w:val="single" w:color="000000" w:sz="2" w:space="0"/>
              <w:bottom w:val="nil"/>
            </w:tcBorders>
          </w:tcPr>
          <w:p w14:paraId="2D048946">
            <w:pPr>
              <w:pStyle w:val="33"/>
              <w:spacing w:before="178" w:line="221" w:lineRule="auto"/>
              <w:ind w:left="132"/>
              <w:rPr>
                <w:sz w:val="21"/>
                <w:szCs w:val="21"/>
                <w:highlight w:val="none"/>
                <w:lang w:eastAsia="zh-CN"/>
              </w:rPr>
            </w:pPr>
            <w:r>
              <w:rPr>
                <w:spacing w:val="-20"/>
                <w:w w:val="99"/>
                <w:sz w:val="21"/>
                <w:szCs w:val="21"/>
                <w:highlight w:val="none"/>
                <w:lang w:eastAsia="zh-CN"/>
              </w:rPr>
              <w:t>软件和信息</w:t>
            </w:r>
          </w:p>
          <w:p w14:paraId="07849F20">
            <w:pPr>
              <w:pStyle w:val="33"/>
              <w:spacing w:before="60" w:line="221" w:lineRule="auto"/>
              <w:ind w:left="198"/>
              <w:rPr>
                <w:sz w:val="21"/>
                <w:szCs w:val="21"/>
                <w:highlight w:val="none"/>
                <w:lang w:eastAsia="zh-CN"/>
              </w:rPr>
            </w:pPr>
            <w:r>
              <w:rPr>
                <w:spacing w:val="-17"/>
                <w:sz w:val="21"/>
                <w:szCs w:val="21"/>
                <w:highlight w:val="none"/>
                <w:lang w:eastAsia="zh-CN"/>
              </w:rPr>
              <w:t>技术服务</w:t>
            </w:r>
          </w:p>
          <w:p w14:paraId="11C80102">
            <w:pPr>
              <w:pStyle w:val="33"/>
              <w:spacing w:before="60" w:line="233" w:lineRule="auto"/>
              <w:ind w:left="465"/>
              <w:rPr>
                <w:sz w:val="21"/>
                <w:szCs w:val="21"/>
                <w:highlight w:val="none"/>
                <w:lang w:eastAsia="zh-CN"/>
              </w:rPr>
            </w:pPr>
            <w:r>
              <w:rPr>
                <w:sz w:val="21"/>
                <w:szCs w:val="21"/>
                <w:highlight w:val="none"/>
                <w:lang w:eastAsia="zh-CN"/>
              </w:rPr>
              <w:t>业</w:t>
            </w:r>
          </w:p>
        </w:tc>
        <w:tc>
          <w:tcPr>
            <w:tcW w:w="1556" w:type="dxa"/>
            <w:gridSpan w:val="2"/>
            <w:tcBorders>
              <w:top w:val="single" w:color="000000" w:sz="2" w:space="0"/>
              <w:left w:val="single" w:color="000000" w:sz="2" w:space="0"/>
              <w:bottom w:val="single" w:color="000000" w:sz="2" w:space="0"/>
              <w:right w:val="single" w:color="000000" w:sz="2" w:space="0"/>
            </w:tcBorders>
          </w:tcPr>
          <w:p w14:paraId="66153758">
            <w:pPr>
              <w:pStyle w:val="33"/>
              <w:spacing w:before="191" w:line="221" w:lineRule="auto"/>
              <w:ind w:left="136"/>
              <w:rPr>
                <w:sz w:val="21"/>
                <w:szCs w:val="21"/>
                <w:highlight w:val="none"/>
              </w:rPr>
            </w:pPr>
            <w:r>
              <w:rPr>
                <w:spacing w:val="2"/>
                <w:sz w:val="21"/>
                <w:szCs w:val="21"/>
                <w:highlight w:val="none"/>
              </w:rPr>
              <w:t>从业人员</w:t>
            </w:r>
            <w:r>
              <w:rPr>
                <w:spacing w:val="-43"/>
                <w:sz w:val="21"/>
                <w:szCs w:val="21"/>
                <w:highlight w:val="none"/>
              </w:rPr>
              <w:t xml:space="preserve"> </w:t>
            </w:r>
            <w:r>
              <w:rPr>
                <w:spacing w:val="2"/>
                <w:sz w:val="21"/>
                <w:szCs w:val="21"/>
                <w:highlight w:val="none"/>
              </w:rPr>
              <w:t>(X)</w:t>
            </w:r>
          </w:p>
        </w:tc>
        <w:tc>
          <w:tcPr>
            <w:tcW w:w="720" w:type="dxa"/>
            <w:tcBorders>
              <w:top w:val="single" w:color="000000" w:sz="2" w:space="0"/>
              <w:left w:val="single" w:color="000000" w:sz="2" w:space="0"/>
              <w:bottom w:val="single" w:color="000000" w:sz="2" w:space="0"/>
              <w:right w:val="single" w:color="000000" w:sz="2" w:space="0"/>
            </w:tcBorders>
          </w:tcPr>
          <w:p w14:paraId="3BF97B80">
            <w:pPr>
              <w:pStyle w:val="33"/>
              <w:spacing w:before="191" w:line="223" w:lineRule="auto"/>
              <w:ind w:left="200"/>
              <w:rPr>
                <w:sz w:val="21"/>
                <w:szCs w:val="21"/>
                <w:highlight w:val="none"/>
              </w:rPr>
            </w:pPr>
            <w:r>
              <w:rPr>
                <w:sz w:val="21"/>
                <w:szCs w:val="21"/>
                <w:highlight w:val="none"/>
              </w:rPr>
              <w:t>人</w:t>
            </w:r>
          </w:p>
        </w:tc>
        <w:tc>
          <w:tcPr>
            <w:tcW w:w="1234" w:type="dxa"/>
            <w:tcBorders>
              <w:top w:val="single" w:color="000000" w:sz="2" w:space="0"/>
              <w:left w:val="single" w:color="000000" w:sz="2" w:space="0"/>
              <w:bottom w:val="single" w:color="000000" w:sz="2" w:space="0"/>
              <w:right w:val="single" w:color="000000" w:sz="2" w:space="0"/>
            </w:tcBorders>
          </w:tcPr>
          <w:p w14:paraId="18E2C016">
            <w:pPr>
              <w:pStyle w:val="33"/>
              <w:spacing w:before="190" w:line="239" w:lineRule="auto"/>
              <w:ind w:left="236"/>
              <w:rPr>
                <w:sz w:val="21"/>
                <w:szCs w:val="21"/>
                <w:highlight w:val="none"/>
              </w:rPr>
            </w:pPr>
            <w:r>
              <w:rPr>
                <w:spacing w:val="6"/>
                <w:sz w:val="21"/>
                <w:szCs w:val="21"/>
                <w:highlight w:val="none"/>
              </w:rPr>
              <w:t>X≥300</w:t>
            </w:r>
          </w:p>
        </w:tc>
        <w:tc>
          <w:tcPr>
            <w:tcW w:w="1946" w:type="dxa"/>
            <w:tcBorders>
              <w:top w:val="single" w:color="000000" w:sz="2" w:space="0"/>
              <w:left w:val="single" w:color="000000" w:sz="2" w:space="0"/>
              <w:bottom w:val="single" w:color="000000" w:sz="2" w:space="0"/>
              <w:right w:val="single" w:color="000000" w:sz="2" w:space="0"/>
            </w:tcBorders>
          </w:tcPr>
          <w:p w14:paraId="3C39225B">
            <w:pPr>
              <w:pStyle w:val="33"/>
              <w:spacing w:before="191" w:line="237" w:lineRule="auto"/>
              <w:ind w:left="341"/>
              <w:rPr>
                <w:sz w:val="21"/>
                <w:szCs w:val="21"/>
                <w:highlight w:val="none"/>
              </w:rPr>
            </w:pPr>
            <w:r>
              <w:rPr>
                <w:spacing w:val="6"/>
                <w:sz w:val="21"/>
                <w:szCs w:val="21"/>
                <w:highlight w:val="none"/>
              </w:rPr>
              <w:t>100≤X＜300</w:t>
            </w:r>
          </w:p>
        </w:tc>
        <w:tc>
          <w:tcPr>
            <w:tcW w:w="1741" w:type="dxa"/>
            <w:tcBorders>
              <w:top w:val="single" w:color="000000" w:sz="2" w:space="0"/>
              <w:left w:val="single" w:color="000000" w:sz="2" w:space="0"/>
              <w:bottom w:val="single" w:color="000000" w:sz="2" w:space="0"/>
              <w:right w:val="single" w:color="000000" w:sz="2" w:space="0"/>
            </w:tcBorders>
          </w:tcPr>
          <w:p w14:paraId="723B7059">
            <w:pPr>
              <w:pStyle w:val="33"/>
              <w:spacing w:before="191" w:line="237" w:lineRule="auto"/>
              <w:ind w:left="313"/>
              <w:rPr>
                <w:sz w:val="21"/>
                <w:szCs w:val="21"/>
                <w:highlight w:val="none"/>
              </w:rPr>
            </w:pPr>
            <w:r>
              <w:rPr>
                <w:spacing w:val="-2"/>
                <w:sz w:val="21"/>
                <w:szCs w:val="21"/>
                <w:highlight w:val="none"/>
              </w:rPr>
              <w:t>10≤X＜</w:t>
            </w:r>
            <w:r>
              <w:rPr>
                <w:spacing w:val="-40"/>
                <w:sz w:val="21"/>
                <w:szCs w:val="21"/>
                <w:highlight w:val="none"/>
              </w:rPr>
              <w:t xml:space="preserve"> </w:t>
            </w:r>
            <w:r>
              <w:rPr>
                <w:spacing w:val="-2"/>
                <w:sz w:val="21"/>
                <w:szCs w:val="21"/>
                <w:highlight w:val="none"/>
              </w:rPr>
              <w:t>100</w:t>
            </w:r>
          </w:p>
        </w:tc>
        <w:tc>
          <w:tcPr>
            <w:tcW w:w="1020" w:type="dxa"/>
            <w:tcBorders>
              <w:top w:val="single" w:color="000000" w:sz="2" w:space="0"/>
              <w:left w:val="single" w:color="000000" w:sz="2" w:space="0"/>
              <w:bottom w:val="single" w:color="000000" w:sz="2" w:space="0"/>
              <w:right w:val="single" w:color="000000" w:sz="2" w:space="0"/>
            </w:tcBorders>
          </w:tcPr>
          <w:p w14:paraId="2F7BA35B">
            <w:pPr>
              <w:pStyle w:val="33"/>
              <w:spacing w:before="190" w:line="241" w:lineRule="auto"/>
              <w:ind w:left="229"/>
              <w:rPr>
                <w:sz w:val="21"/>
                <w:szCs w:val="21"/>
                <w:highlight w:val="none"/>
              </w:rPr>
            </w:pPr>
            <w:r>
              <w:rPr>
                <w:spacing w:val="-8"/>
                <w:sz w:val="21"/>
                <w:szCs w:val="21"/>
                <w:highlight w:val="none"/>
              </w:rPr>
              <w:t>X＜</w:t>
            </w:r>
            <w:r>
              <w:rPr>
                <w:spacing w:val="-41"/>
                <w:sz w:val="21"/>
                <w:szCs w:val="21"/>
                <w:highlight w:val="none"/>
              </w:rPr>
              <w:t xml:space="preserve"> </w:t>
            </w:r>
            <w:r>
              <w:rPr>
                <w:spacing w:val="-8"/>
                <w:sz w:val="21"/>
                <w:szCs w:val="21"/>
                <w:highlight w:val="none"/>
              </w:rPr>
              <w:t>10</w:t>
            </w:r>
          </w:p>
        </w:tc>
      </w:tr>
      <w:tr w14:paraId="361716F1">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86" w:hRule="atLeast"/>
        </w:trPr>
        <w:tc>
          <w:tcPr>
            <w:tcW w:w="1141" w:type="dxa"/>
            <w:vMerge w:val="continue"/>
            <w:tcBorders>
              <w:top w:val="nil"/>
              <w:left w:val="single" w:color="000000" w:sz="2" w:space="0"/>
            </w:tcBorders>
          </w:tcPr>
          <w:p w14:paraId="0C5342F5">
            <w:pPr>
              <w:rPr>
                <w:highlight w:val="none"/>
              </w:rPr>
            </w:pPr>
          </w:p>
        </w:tc>
        <w:tc>
          <w:tcPr>
            <w:tcW w:w="1480" w:type="dxa"/>
            <w:tcBorders>
              <w:top w:val="single" w:color="000000" w:sz="2" w:space="0"/>
            </w:tcBorders>
            <w:shd w:val="clear" w:color="auto" w:fill="B8CCE4"/>
          </w:tcPr>
          <w:p w14:paraId="1F8E646F">
            <w:pPr>
              <w:pStyle w:val="33"/>
              <w:spacing w:before="191" w:line="221" w:lineRule="auto"/>
              <w:ind w:left="140"/>
              <w:rPr>
                <w:sz w:val="21"/>
                <w:szCs w:val="21"/>
                <w:highlight w:val="none"/>
              </w:rPr>
            </w:pPr>
            <w:r>
              <w:rPr>
                <w:spacing w:val="9"/>
                <w:sz w:val="21"/>
                <w:szCs w:val="21"/>
                <w:highlight w:val="none"/>
              </w:rPr>
              <w:t>营业收入(Y)</w:t>
            </w:r>
          </w:p>
        </w:tc>
        <w:tc>
          <w:tcPr>
            <w:tcW w:w="76" w:type="dxa"/>
            <w:tcBorders>
              <w:top w:val="nil"/>
              <w:left w:val="nil"/>
              <w:bottom w:val="nil"/>
              <w:right w:val="nil"/>
            </w:tcBorders>
          </w:tcPr>
          <w:p w14:paraId="7DB73F2C">
            <w:pPr>
              <w:rPr>
                <w:highlight w:val="none"/>
              </w:rPr>
            </w:pPr>
          </w:p>
        </w:tc>
        <w:tc>
          <w:tcPr>
            <w:tcW w:w="720" w:type="dxa"/>
            <w:tcBorders>
              <w:top w:val="single" w:color="000000" w:sz="2" w:space="0"/>
              <w:left w:val="nil"/>
            </w:tcBorders>
            <w:shd w:val="clear" w:color="auto" w:fill="B8CCE4"/>
          </w:tcPr>
          <w:p w14:paraId="34E12FD6">
            <w:pPr>
              <w:pStyle w:val="33"/>
              <w:spacing w:before="192" w:line="221" w:lineRule="auto"/>
              <w:ind w:left="93"/>
              <w:rPr>
                <w:sz w:val="21"/>
                <w:szCs w:val="21"/>
                <w:highlight w:val="none"/>
              </w:rPr>
            </w:pPr>
            <w:r>
              <w:rPr>
                <w:spacing w:val="1"/>
                <w:sz w:val="21"/>
                <w:szCs w:val="21"/>
                <w:highlight w:val="none"/>
              </w:rPr>
              <w:t>万元</w:t>
            </w:r>
          </w:p>
        </w:tc>
        <w:tc>
          <w:tcPr>
            <w:tcW w:w="1234" w:type="dxa"/>
            <w:tcBorders>
              <w:top w:val="single" w:color="000000" w:sz="2" w:space="0"/>
            </w:tcBorders>
            <w:shd w:val="clear" w:color="auto" w:fill="B8CCE4"/>
          </w:tcPr>
          <w:p w14:paraId="349CFDD1">
            <w:pPr>
              <w:pStyle w:val="33"/>
              <w:spacing w:before="191" w:line="239" w:lineRule="auto"/>
              <w:ind w:left="120"/>
              <w:rPr>
                <w:sz w:val="21"/>
                <w:szCs w:val="21"/>
                <w:highlight w:val="none"/>
              </w:rPr>
            </w:pPr>
            <w:r>
              <w:rPr>
                <w:spacing w:val="7"/>
                <w:sz w:val="21"/>
                <w:szCs w:val="21"/>
                <w:highlight w:val="none"/>
              </w:rPr>
              <w:t>Y≥10000</w:t>
            </w:r>
          </w:p>
        </w:tc>
        <w:tc>
          <w:tcPr>
            <w:tcW w:w="1946" w:type="dxa"/>
            <w:tcBorders>
              <w:top w:val="single" w:color="000000" w:sz="2" w:space="0"/>
            </w:tcBorders>
            <w:shd w:val="clear" w:color="auto" w:fill="B8CCE4"/>
          </w:tcPr>
          <w:p w14:paraId="614DA34A">
            <w:pPr>
              <w:pStyle w:val="33"/>
              <w:spacing w:before="192" w:line="237" w:lineRule="auto"/>
              <w:ind w:left="170"/>
              <w:rPr>
                <w:sz w:val="21"/>
                <w:szCs w:val="21"/>
                <w:highlight w:val="none"/>
              </w:rPr>
            </w:pPr>
            <w:r>
              <w:rPr>
                <w:spacing w:val="1"/>
                <w:sz w:val="21"/>
                <w:szCs w:val="21"/>
                <w:highlight w:val="none"/>
              </w:rPr>
              <w:t>1000≤Y＜</w:t>
            </w:r>
            <w:r>
              <w:rPr>
                <w:spacing w:val="-40"/>
                <w:sz w:val="21"/>
                <w:szCs w:val="21"/>
                <w:highlight w:val="none"/>
              </w:rPr>
              <w:t xml:space="preserve"> </w:t>
            </w:r>
            <w:r>
              <w:rPr>
                <w:spacing w:val="1"/>
                <w:sz w:val="21"/>
                <w:szCs w:val="21"/>
                <w:highlight w:val="none"/>
              </w:rPr>
              <w:t>10000</w:t>
            </w:r>
          </w:p>
        </w:tc>
        <w:tc>
          <w:tcPr>
            <w:tcW w:w="1741" w:type="dxa"/>
            <w:tcBorders>
              <w:top w:val="single" w:color="000000" w:sz="2" w:space="0"/>
            </w:tcBorders>
            <w:shd w:val="clear" w:color="auto" w:fill="B8CCE4"/>
          </w:tcPr>
          <w:p w14:paraId="0D34F9F3">
            <w:pPr>
              <w:pStyle w:val="33"/>
              <w:spacing w:before="192" w:line="237" w:lineRule="auto"/>
              <w:ind w:left="243"/>
              <w:rPr>
                <w:sz w:val="21"/>
                <w:szCs w:val="21"/>
                <w:highlight w:val="none"/>
              </w:rPr>
            </w:pPr>
            <w:r>
              <w:rPr>
                <w:sz w:val="21"/>
                <w:szCs w:val="21"/>
                <w:highlight w:val="none"/>
              </w:rPr>
              <w:t>50≤Y＜</w:t>
            </w:r>
            <w:r>
              <w:rPr>
                <w:spacing w:val="-40"/>
                <w:sz w:val="21"/>
                <w:szCs w:val="21"/>
                <w:highlight w:val="none"/>
              </w:rPr>
              <w:t xml:space="preserve"> </w:t>
            </w:r>
            <w:r>
              <w:rPr>
                <w:sz w:val="21"/>
                <w:szCs w:val="21"/>
                <w:highlight w:val="none"/>
              </w:rPr>
              <w:t>1000</w:t>
            </w:r>
          </w:p>
        </w:tc>
        <w:tc>
          <w:tcPr>
            <w:tcW w:w="1020" w:type="dxa"/>
            <w:tcBorders>
              <w:top w:val="single" w:color="000000" w:sz="2" w:space="0"/>
            </w:tcBorders>
            <w:shd w:val="clear" w:color="auto" w:fill="B8CCE4"/>
          </w:tcPr>
          <w:p w14:paraId="2F6969D8">
            <w:pPr>
              <w:pStyle w:val="33"/>
              <w:spacing w:before="191" w:line="241" w:lineRule="auto"/>
              <w:ind w:left="226"/>
              <w:rPr>
                <w:sz w:val="21"/>
                <w:szCs w:val="21"/>
                <w:highlight w:val="none"/>
              </w:rPr>
            </w:pPr>
            <w:r>
              <w:rPr>
                <w:spacing w:val="6"/>
                <w:sz w:val="21"/>
                <w:szCs w:val="21"/>
                <w:highlight w:val="none"/>
              </w:rPr>
              <w:t>Y＜50</w:t>
            </w:r>
          </w:p>
        </w:tc>
      </w:tr>
      <w:tr w14:paraId="6F15D75A">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8" w:hRule="atLeast"/>
        </w:trPr>
        <w:tc>
          <w:tcPr>
            <w:tcW w:w="1141" w:type="dxa"/>
            <w:vMerge w:val="restart"/>
            <w:tcBorders>
              <w:bottom w:val="nil"/>
            </w:tcBorders>
          </w:tcPr>
          <w:p w14:paraId="3445B98A">
            <w:pPr>
              <w:spacing w:line="274" w:lineRule="auto"/>
              <w:rPr>
                <w:highlight w:val="none"/>
              </w:rPr>
            </w:pPr>
          </w:p>
          <w:p w14:paraId="2E02821E">
            <w:pPr>
              <w:pStyle w:val="33"/>
              <w:spacing w:before="68" w:line="277" w:lineRule="auto"/>
              <w:ind w:left="241" w:right="125" w:hanging="115"/>
              <w:rPr>
                <w:sz w:val="21"/>
                <w:szCs w:val="21"/>
                <w:highlight w:val="none"/>
              </w:rPr>
            </w:pPr>
            <w:r>
              <w:rPr>
                <w:spacing w:val="9"/>
                <w:sz w:val="21"/>
                <w:szCs w:val="21"/>
                <w:highlight w:val="none"/>
              </w:rPr>
              <w:t>房地产开</w:t>
            </w:r>
            <w:r>
              <w:rPr>
                <w:spacing w:val="6"/>
                <w:sz w:val="21"/>
                <w:szCs w:val="21"/>
                <w:highlight w:val="none"/>
              </w:rPr>
              <w:t>发经营</w:t>
            </w:r>
          </w:p>
        </w:tc>
        <w:tc>
          <w:tcPr>
            <w:tcW w:w="1480" w:type="dxa"/>
          </w:tcPr>
          <w:p w14:paraId="79C8A140">
            <w:pPr>
              <w:pStyle w:val="33"/>
              <w:spacing w:before="198" w:line="221" w:lineRule="auto"/>
              <w:ind w:left="140"/>
              <w:rPr>
                <w:sz w:val="21"/>
                <w:szCs w:val="21"/>
                <w:highlight w:val="none"/>
              </w:rPr>
            </w:pPr>
            <w:r>
              <w:rPr>
                <w:spacing w:val="9"/>
                <w:sz w:val="21"/>
                <w:szCs w:val="21"/>
                <w:highlight w:val="none"/>
              </w:rPr>
              <w:t>营业收入(Y)</w:t>
            </w:r>
          </w:p>
        </w:tc>
        <w:tc>
          <w:tcPr>
            <w:tcW w:w="76" w:type="dxa"/>
            <w:tcBorders>
              <w:top w:val="nil"/>
              <w:left w:val="nil"/>
              <w:bottom w:val="nil"/>
              <w:right w:val="nil"/>
            </w:tcBorders>
          </w:tcPr>
          <w:p w14:paraId="0DFAA3B4">
            <w:pPr>
              <w:rPr>
                <w:highlight w:val="none"/>
              </w:rPr>
            </w:pPr>
          </w:p>
        </w:tc>
        <w:tc>
          <w:tcPr>
            <w:tcW w:w="720" w:type="dxa"/>
            <w:tcBorders>
              <w:left w:val="nil"/>
            </w:tcBorders>
          </w:tcPr>
          <w:p w14:paraId="68AAAAC8">
            <w:pPr>
              <w:pStyle w:val="33"/>
              <w:spacing w:before="198" w:line="221" w:lineRule="auto"/>
              <w:ind w:left="93"/>
              <w:rPr>
                <w:sz w:val="21"/>
                <w:szCs w:val="21"/>
                <w:highlight w:val="none"/>
              </w:rPr>
            </w:pPr>
            <w:r>
              <w:rPr>
                <w:spacing w:val="1"/>
                <w:sz w:val="21"/>
                <w:szCs w:val="21"/>
                <w:highlight w:val="none"/>
              </w:rPr>
              <w:t>万元</w:t>
            </w:r>
          </w:p>
        </w:tc>
        <w:tc>
          <w:tcPr>
            <w:tcW w:w="1234" w:type="dxa"/>
          </w:tcPr>
          <w:p w14:paraId="75265DA9">
            <w:pPr>
              <w:pStyle w:val="33"/>
              <w:spacing w:before="198" w:line="239" w:lineRule="auto"/>
              <w:ind w:left="63"/>
              <w:rPr>
                <w:sz w:val="21"/>
                <w:szCs w:val="21"/>
                <w:highlight w:val="none"/>
              </w:rPr>
            </w:pPr>
            <w:r>
              <w:rPr>
                <w:spacing w:val="7"/>
                <w:sz w:val="21"/>
                <w:szCs w:val="21"/>
                <w:highlight w:val="none"/>
              </w:rPr>
              <w:t>Y≥200000</w:t>
            </w:r>
          </w:p>
        </w:tc>
        <w:tc>
          <w:tcPr>
            <w:tcW w:w="1946" w:type="dxa"/>
          </w:tcPr>
          <w:p w14:paraId="3202C986">
            <w:pPr>
              <w:pStyle w:val="33"/>
              <w:spacing w:before="198" w:line="237" w:lineRule="auto"/>
              <w:ind w:left="112"/>
              <w:rPr>
                <w:sz w:val="21"/>
                <w:szCs w:val="21"/>
                <w:highlight w:val="none"/>
              </w:rPr>
            </w:pPr>
            <w:r>
              <w:rPr>
                <w:spacing w:val="6"/>
                <w:sz w:val="21"/>
                <w:szCs w:val="21"/>
                <w:highlight w:val="none"/>
              </w:rPr>
              <w:t>1000≤Y＜200000</w:t>
            </w:r>
          </w:p>
        </w:tc>
        <w:tc>
          <w:tcPr>
            <w:tcW w:w="1741" w:type="dxa"/>
          </w:tcPr>
          <w:p w14:paraId="2630B15F">
            <w:pPr>
              <w:pStyle w:val="33"/>
              <w:spacing w:before="198" w:line="237" w:lineRule="auto"/>
              <w:ind w:left="197"/>
              <w:rPr>
                <w:sz w:val="21"/>
                <w:szCs w:val="21"/>
                <w:highlight w:val="none"/>
              </w:rPr>
            </w:pPr>
            <w:r>
              <w:rPr>
                <w:spacing w:val="-1"/>
                <w:sz w:val="21"/>
                <w:szCs w:val="21"/>
                <w:highlight w:val="none"/>
              </w:rPr>
              <w:t>100≤Y＜</w:t>
            </w:r>
            <w:r>
              <w:rPr>
                <w:spacing w:val="-33"/>
                <w:sz w:val="21"/>
                <w:szCs w:val="21"/>
                <w:highlight w:val="none"/>
              </w:rPr>
              <w:t xml:space="preserve"> </w:t>
            </w:r>
            <w:r>
              <w:rPr>
                <w:spacing w:val="-1"/>
                <w:sz w:val="21"/>
                <w:szCs w:val="21"/>
                <w:highlight w:val="none"/>
              </w:rPr>
              <w:t>1000</w:t>
            </w:r>
          </w:p>
        </w:tc>
        <w:tc>
          <w:tcPr>
            <w:tcW w:w="1020" w:type="dxa"/>
          </w:tcPr>
          <w:p w14:paraId="57B77152">
            <w:pPr>
              <w:pStyle w:val="33"/>
              <w:spacing w:before="198" w:line="241" w:lineRule="auto"/>
              <w:ind w:left="168"/>
              <w:rPr>
                <w:sz w:val="21"/>
                <w:szCs w:val="21"/>
                <w:highlight w:val="none"/>
              </w:rPr>
            </w:pPr>
            <w:r>
              <w:rPr>
                <w:spacing w:val="-6"/>
                <w:sz w:val="21"/>
                <w:szCs w:val="21"/>
                <w:highlight w:val="none"/>
              </w:rPr>
              <w:t>Y＜</w:t>
            </w:r>
            <w:r>
              <w:rPr>
                <w:spacing w:val="-39"/>
                <w:sz w:val="21"/>
                <w:szCs w:val="21"/>
                <w:highlight w:val="none"/>
              </w:rPr>
              <w:t xml:space="preserve"> </w:t>
            </w:r>
            <w:r>
              <w:rPr>
                <w:spacing w:val="-6"/>
                <w:sz w:val="21"/>
                <w:szCs w:val="21"/>
                <w:highlight w:val="none"/>
              </w:rPr>
              <w:t>100</w:t>
            </w:r>
          </w:p>
        </w:tc>
      </w:tr>
      <w:tr w14:paraId="718953D7">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7" w:hRule="atLeast"/>
        </w:trPr>
        <w:tc>
          <w:tcPr>
            <w:tcW w:w="1141" w:type="dxa"/>
            <w:vMerge w:val="continue"/>
            <w:tcBorders>
              <w:top w:val="nil"/>
            </w:tcBorders>
          </w:tcPr>
          <w:p w14:paraId="1A3BC8D8">
            <w:pPr>
              <w:rPr>
                <w:highlight w:val="none"/>
              </w:rPr>
            </w:pPr>
          </w:p>
        </w:tc>
        <w:tc>
          <w:tcPr>
            <w:tcW w:w="1480" w:type="dxa"/>
            <w:shd w:val="clear" w:color="auto" w:fill="B8CCE4"/>
          </w:tcPr>
          <w:p w14:paraId="6775E852">
            <w:pPr>
              <w:pStyle w:val="33"/>
              <w:spacing w:before="194" w:line="221" w:lineRule="auto"/>
              <w:ind w:left="143"/>
              <w:rPr>
                <w:sz w:val="21"/>
                <w:szCs w:val="21"/>
                <w:highlight w:val="none"/>
              </w:rPr>
            </w:pPr>
            <w:r>
              <w:rPr>
                <w:spacing w:val="8"/>
                <w:sz w:val="21"/>
                <w:szCs w:val="21"/>
                <w:highlight w:val="none"/>
              </w:rPr>
              <w:t>资产总额(Z)</w:t>
            </w:r>
          </w:p>
        </w:tc>
        <w:tc>
          <w:tcPr>
            <w:tcW w:w="76" w:type="dxa"/>
            <w:tcBorders>
              <w:top w:val="nil"/>
              <w:left w:val="nil"/>
              <w:bottom w:val="nil"/>
              <w:right w:val="nil"/>
            </w:tcBorders>
          </w:tcPr>
          <w:p w14:paraId="0AB1495A">
            <w:pPr>
              <w:rPr>
                <w:highlight w:val="none"/>
              </w:rPr>
            </w:pPr>
          </w:p>
        </w:tc>
        <w:tc>
          <w:tcPr>
            <w:tcW w:w="720" w:type="dxa"/>
            <w:tcBorders>
              <w:left w:val="nil"/>
            </w:tcBorders>
            <w:shd w:val="clear" w:color="auto" w:fill="B8CCE4"/>
          </w:tcPr>
          <w:p w14:paraId="1D293C65">
            <w:pPr>
              <w:pStyle w:val="33"/>
              <w:spacing w:before="195" w:line="221" w:lineRule="auto"/>
              <w:ind w:left="93"/>
              <w:rPr>
                <w:sz w:val="21"/>
                <w:szCs w:val="21"/>
                <w:highlight w:val="none"/>
              </w:rPr>
            </w:pPr>
            <w:r>
              <w:rPr>
                <w:spacing w:val="1"/>
                <w:sz w:val="21"/>
                <w:szCs w:val="21"/>
                <w:highlight w:val="none"/>
              </w:rPr>
              <w:t>万元</w:t>
            </w:r>
          </w:p>
        </w:tc>
        <w:tc>
          <w:tcPr>
            <w:tcW w:w="1234" w:type="dxa"/>
            <w:shd w:val="clear" w:color="auto" w:fill="B8CCE4"/>
          </w:tcPr>
          <w:p w14:paraId="79B2F8C0">
            <w:pPr>
              <w:pStyle w:val="33"/>
              <w:spacing w:before="194" w:line="239" w:lineRule="auto"/>
              <w:ind w:left="123"/>
              <w:rPr>
                <w:sz w:val="21"/>
                <w:szCs w:val="21"/>
                <w:highlight w:val="none"/>
              </w:rPr>
            </w:pPr>
            <w:r>
              <w:rPr>
                <w:spacing w:val="6"/>
                <w:sz w:val="21"/>
                <w:szCs w:val="21"/>
                <w:highlight w:val="none"/>
              </w:rPr>
              <w:t>Z≥10000</w:t>
            </w:r>
          </w:p>
        </w:tc>
        <w:tc>
          <w:tcPr>
            <w:tcW w:w="1946" w:type="dxa"/>
            <w:shd w:val="clear" w:color="auto" w:fill="B8CCE4"/>
          </w:tcPr>
          <w:p w14:paraId="2E0FD231">
            <w:pPr>
              <w:pStyle w:val="33"/>
              <w:spacing w:before="195" w:line="237" w:lineRule="auto"/>
              <w:ind w:left="159"/>
              <w:rPr>
                <w:sz w:val="21"/>
                <w:szCs w:val="21"/>
                <w:highlight w:val="none"/>
              </w:rPr>
            </w:pPr>
            <w:r>
              <w:rPr>
                <w:spacing w:val="2"/>
                <w:sz w:val="21"/>
                <w:szCs w:val="21"/>
                <w:highlight w:val="none"/>
              </w:rPr>
              <w:t>5000≤Z＜</w:t>
            </w:r>
            <w:r>
              <w:rPr>
                <w:spacing w:val="-41"/>
                <w:sz w:val="21"/>
                <w:szCs w:val="21"/>
                <w:highlight w:val="none"/>
              </w:rPr>
              <w:t xml:space="preserve"> </w:t>
            </w:r>
            <w:r>
              <w:rPr>
                <w:spacing w:val="2"/>
                <w:sz w:val="21"/>
                <w:szCs w:val="21"/>
                <w:highlight w:val="none"/>
              </w:rPr>
              <w:t>10000</w:t>
            </w:r>
          </w:p>
        </w:tc>
        <w:tc>
          <w:tcPr>
            <w:tcW w:w="1741" w:type="dxa"/>
            <w:shd w:val="clear" w:color="auto" w:fill="B8CCE4"/>
          </w:tcPr>
          <w:p w14:paraId="3B3B9C37">
            <w:pPr>
              <w:pStyle w:val="33"/>
              <w:spacing w:before="195" w:line="237" w:lineRule="auto"/>
              <w:ind w:left="129"/>
              <w:rPr>
                <w:sz w:val="21"/>
                <w:szCs w:val="21"/>
                <w:highlight w:val="none"/>
              </w:rPr>
            </w:pPr>
            <w:r>
              <w:rPr>
                <w:spacing w:val="7"/>
                <w:sz w:val="21"/>
                <w:szCs w:val="21"/>
                <w:highlight w:val="none"/>
              </w:rPr>
              <w:t>2000≤Z＜5000</w:t>
            </w:r>
          </w:p>
        </w:tc>
        <w:tc>
          <w:tcPr>
            <w:tcW w:w="1020" w:type="dxa"/>
            <w:shd w:val="clear" w:color="auto" w:fill="B8CCE4"/>
          </w:tcPr>
          <w:p w14:paraId="2B388D9C">
            <w:pPr>
              <w:pStyle w:val="33"/>
              <w:spacing w:before="195" w:line="241" w:lineRule="auto"/>
              <w:ind w:left="113"/>
              <w:rPr>
                <w:sz w:val="21"/>
                <w:szCs w:val="21"/>
                <w:highlight w:val="none"/>
              </w:rPr>
            </w:pPr>
            <w:r>
              <w:rPr>
                <w:spacing w:val="6"/>
                <w:sz w:val="21"/>
                <w:szCs w:val="21"/>
                <w:highlight w:val="none"/>
              </w:rPr>
              <w:t>Z＜2000</w:t>
            </w:r>
          </w:p>
        </w:tc>
      </w:tr>
      <w:tr w14:paraId="7ED201E0">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82" w:hRule="atLeast"/>
        </w:trPr>
        <w:tc>
          <w:tcPr>
            <w:tcW w:w="1141" w:type="dxa"/>
            <w:vMerge w:val="restart"/>
            <w:tcBorders>
              <w:bottom w:val="nil"/>
            </w:tcBorders>
          </w:tcPr>
          <w:p w14:paraId="27BA50E5">
            <w:pPr>
              <w:spacing w:line="422" w:lineRule="auto"/>
              <w:rPr>
                <w:highlight w:val="none"/>
              </w:rPr>
            </w:pPr>
          </w:p>
          <w:p w14:paraId="5B8171FA">
            <w:pPr>
              <w:pStyle w:val="33"/>
              <w:spacing w:before="68" w:line="221" w:lineRule="auto"/>
              <w:ind w:left="125"/>
              <w:rPr>
                <w:sz w:val="21"/>
                <w:szCs w:val="21"/>
                <w:highlight w:val="none"/>
              </w:rPr>
            </w:pPr>
            <w:r>
              <w:rPr>
                <w:spacing w:val="9"/>
                <w:sz w:val="21"/>
                <w:szCs w:val="21"/>
                <w:highlight w:val="none"/>
              </w:rPr>
              <w:t>物业管理</w:t>
            </w:r>
          </w:p>
        </w:tc>
        <w:tc>
          <w:tcPr>
            <w:tcW w:w="1480" w:type="dxa"/>
          </w:tcPr>
          <w:p w14:paraId="75882657">
            <w:pPr>
              <w:pStyle w:val="33"/>
              <w:spacing w:before="194" w:line="221" w:lineRule="auto"/>
              <w:ind w:left="136"/>
              <w:rPr>
                <w:sz w:val="21"/>
                <w:szCs w:val="21"/>
                <w:highlight w:val="none"/>
              </w:rPr>
            </w:pPr>
            <w:r>
              <w:rPr>
                <w:spacing w:val="2"/>
                <w:sz w:val="21"/>
                <w:szCs w:val="21"/>
                <w:highlight w:val="none"/>
              </w:rPr>
              <w:t>从业人员</w:t>
            </w:r>
            <w:r>
              <w:rPr>
                <w:spacing w:val="-43"/>
                <w:sz w:val="21"/>
                <w:szCs w:val="21"/>
                <w:highlight w:val="none"/>
              </w:rPr>
              <w:t xml:space="preserve"> </w:t>
            </w:r>
            <w:r>
              <w:rPr>
                <w:spacing w:val="2"/>
                <w:sz w:val="21"/>
                <w:szCs w:val="21"/>
                <w:highlight w:val="none"/>
              </w:rPr>
              <w:t>(X)</w:t>
            </w:r>
          </w:p>
        </w:tc>
        <w:tc>
          <w:tcPr>
            <w:tcW w:w="76" w:type="dxa"/>
            <w:tcBorders>
              <w:top w:val="nil"/>
              <w:left w:val="nil"/>
              <w:bottom w:val="nil"/>
              <w:right w:val="nil"/>
            </w:tcBorders>
          </w:tcPr>
          <w:p w14:paraId="6BD2129F">
            <w:pPr>
              <w:rPr>
                <w:highlight w:val="none"/>
              </w:rPr>
            </w:pPr>
          </w:p>
        </w:tc>
        <w:tc>
          <w:tcPr>
            <w:tcW w:w="720" w:type="dxa"/>
            <w:tcBorders>
              <w:left w:val="nil"/>
            </w:tcBorders>
          </w:tcPr>
          <w:p w14:paraId="5D5F6EF2">
            <w:pPr>
              <w:pStyle w:val="33"/>
              <w:spacing w:before="194" w:line="223" w:lineRule="auto"/>
              <w:ind w:left="202"/>
              <w:rPr>
                <w:sz w:val="21"/>
                <w:szCs w:val="21"/>
                <w:highlight w:val="none"/>
              </w:rPr>
            </w:pPr>
            <w:r>
              <w:rPr>
                <w:sz w:val="21"/>
                <w:szCs w:val="21"/>
                <w:highlight w:val="none"/>
              </w:rPr>
              <w:t>人</w:t>
            </w:r>
          </w:p>
        </w:tc>
        <w:tc>
          <w:tcPr>
            <w:tcW w:w="1234" w:type="dxa"/>
          </w:tcPr>
          <w:p w14:paraId="3CC14DF5">
            <w:pPr>
              <w:pStyle w:val="33"/>
              <w:spacing w:before="193" w:line="239" w:lineRule="auto"/>
              <w:ind w:left="176"/>
              <w:rPr>
                <w:sz w:val="21"/>
                <w:szCs w:val="21"/>
                <w:highlight w:val="none"/>
              </w:rPr>
            </w:pPr>
            <w:r>
              <w:rPr>
                <w:spacing w:val="6"/>
                <w:sz w:val="21"/>
                <w:szCs w:val="21"/>
                <w:highlight w:val="none"/>
              </w:rPr>
              <w:t>X≥1000</w:t>
            </w:r>
          </w:p>
        </w:tc>
        <w:tc>
          <w:tcPr>
            <w:tcW w:w="1946" w:type="dxa"/>
          </w:tcPr>
          <w:p w14:paraId="2CACAB02">
            <w:pPr>
              <w:pStyle w:val="33"/>
              <w:spacing w:before="193" w:line="237" w:lineRule="auto"/>
              <w:ind w:left="272"/>
              <w:rPr>
                <w:sz w:val="21"/>
                <w:szCs w:val="21"/>
                <w:highlight w:val="none"/>
              </w:rPr>
            </w:pPr>
            <w:r>
              <w:rPr>
                <w:spacing w:val="1"/>
                <w:sz w:val="21"/>
                <w:szCs w:val="21"/>
                <w:highlight w:val="none"/>
              </w:rPr>
              <w:t>300≤X＜</w:t>
            </w:r>
            <w:r>
              <w:rPr>
                <w:spacing w:val="-42"/>
                <w:sz w:val="21"/>
                <w:szCs w:val="21"/>
                <w:highlight w:val="none"/>
              </w:rPr>
              <w:t xml:space="preserve"> </w:t>
            </w:r>
            <w:r>
              <w:rPr>
                <w:spacing w:val="1"/>
                <w:sz w:val="21"/>
                <w:szCs w:val="21"/>
                <w:highlight w:val="none"/>
              </w:rPr>
              <w:t>1000</w:t>
            </w:r>
          </w:p>
        </w:tc>
        <w:tc>
          <w:tcPr>
            <w:tcW w:w="1741" w:type="dxa"/>
          </w:tcPr>
          <w:p w14:paraId="0D25E264">
            <w:pPr>
              <w:pStyle w:val="33"/>
              <w:spacing w:before="193" w:line="237" w:lineRule="auto"/>
              <w:ind w:left="255"/>
              <w:rPr>
                <w:sz w:val="21"/>
                <w:szCs w:val="21"/>
                <w:highlight w:val="none"/>
              </w:rPr>
            </w:pPr>
            <w:r>
              <w:rPr>
                <w:spacing w:val="6"/>
                <w:sz w:val="21"/>
                <w:szCs w:val="21"/>
                <w:highlight w:val="none"/>
              </w:rPr>
              <w:t>100≤X＜300</w:t>
            </w:r>
          </w:p>
        </w:tc>
        <w:tc>
          <w:tcPr>
            <w:tcW w:w="1020" w:type="dxa"/>
          </w:tcPr>
          <w:p w14:paraId="10D72ADF">
            <w:pPr>
              <w:pStyle w:val="33"/>
              <w:spacing w:before="193" w:line="241" w:lineRule="auto"/>
              <w:ind w:left="169"/>
              <w:rPr>
                <w:sz w:val="21"/>
                <w:szCs w:val="21"/>
                <w:highlight w:val="none"/>
              </w:rPr>
            </w:pPr>
            <w:r>
              <w:rPr>
                <w:spacing w:val="-6"/>
                <w:sz w:val="21"/>
                <w:szCs w:val="21"/>
                <w:highlight w:val="none"/>
              </w:rPr>
              <w:t>X＜</w:t>
            </w:r>
            <w:r>
              <w:rPr>
                <w:spacing w:val="-40"/>
                <w:sz w:val="21"/>
                <w:szCs w:val="21"/>
                <w:highlight w:val="none"/>
              </w:rPr>
              <w:t xml:space="preserve"> </w:t>
            </w:r>
            <w:r>
              <w:rPr>
                <w:spacing w:val="-6"/>
                <w:sz w:val="21"/>
                <w:szCs w:val="21"/>
                <w:highlight w:val="none"/>
              </w:rPr>
              <w:t>100</w:t>
            </w:r>
          </w:p>
        </w:tc>
      </w:tr>
      <w:tr w14:paraId="463F4219">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9" w:hRule="atLeast"/>
        </w:trPr>
        <w:tc>
          <w:tcPr>
            <w:tcW w:w="1141" w:type="dxa"/>
            <w:vMerge w:val="continue"/>
            <w:tcBorders>
              <w:top w:val="nil"/>
            </w:tcBorders>
          </w:tcPr>
          <w:p w14:paraId="7E4ADA56">
            <w:pPr>
              <w:rPr>
                <w:highlight w:val="none"/>
              </w:rPr>
            </w:pPr>
          </w:p>
        </w:tc>
        <w:tc>
          <w:tcPr>
            <w:tcW w:w="1480" w:type="dxa"/>
            <w:shd w:val="clear" w:color="auto" w:fill="B8CCE4"/>
          </w:tcPr>
          <w:p w14:paraId="518592BD">
            <w:pPr>
              <w:pStyle w:val="33"/>
              <w:spacing w:before="203" w:line="221" w:lineRule="auto"/>
              <w:ind w:left="140"/>
              <w:rPr>
                <w:sz w:val="21"/>
                <w:szCs w:val="21"/>
                <w:highlight w:val="none"/>
              </w:rPr>
            </w:pPr>
            <w:r>
              <w:rPr>
                <w:spacing w:val="9"/>
                <w:sz w:val="21"/>
                <w:szCs w:val="21"/>
                <w:highlight w:val="none"/>
              </w:rPr>
              <w:t>营业收入(Y)</w:t>
            </w:r>
          </w:p>
        </w:tc>
        <w:tc>
          <w:tcPr>
            <w:tcW w:w="76" w:type="dxa"/>
            <w:tcBorders>
              <w:top w:val="nil"/>
              <w:left w:val="nil"/>
              <w:bottom w:val="nil"/>
              <w:right w:val="nil"/>
            </w:tcBorders>
          </w:tcPr>
          <w:p w14:paraId="7339F42A">
            <w:pPr>
              <w:rPr>
                <w:highlight w:val="none"/>
              </w:rPr>
            </w:pPr>
          </w:p>
        </w:tc>
        <w:tc>
          <w:tcPr>
            <w:tcW w:w="720" w:type="dxa"/>
            <w:tcBorders>
              <w:left w:val="nil"/>
            </w:tcBorders>
            <w:shd w:val="clear" w:color="auto" w:fill="B8CCE4"/>
          </w:tcPr>
          <w:p w14:paraId="673F457A">
            <w:pPr>
              <w:pStyle w:val="33"/>
              <w:spacing w:before="204" w:line="221" w:lineRule="auto"/>
              <w:ind w:left="93"/>
              <w:rPr>
                <w:sz w:val="21"/>
                <w:szCs w:val="21"/>
                <w:highlight w:val="none"/>
              </w:rPr>
            </w:pPr>
            <w:r>
              <w:rPr>
                <w:spacing w:val="1"/>
                <w:sz w:val="21"/>
                <w:szCs w:val="21"/>
                <w:highlight w:val="none"/>
              </w:rPr>
              <w:t>万元</w:t>
            </w:r>
          </w:p>
        </w:tc>
        <w:tc>
          <w:tcPr>
            <w:tcW w:w="1234" w:type="dxa"/>
            <w:shd w:val="clear" w:color="auto" w:fill="B8CCE4"/>
          </w:tcPr>
          <w:p w14:paraId="2D4BE7A2">
            <w:pPr>
              <w:pStyle w:val="33"/>
              <w:spacing w:before="203" w:line="239" w:lineRule="auto"/>
              <w:ind w:left="175"/>
              <w:rPr>
                <w:sz w:val="21"/>
                <w:szCs w:val="21"/>
                <w:highlight w:val="none"/>
              </w:rPr>
            </w:pPr>
            <w:r>
              <w:rPr>
                <w:spacing w:val="7"/>
                <w:sz w:val="21"/>
                <w:szCs w:val="21"/>
                <w:highlight w:val="none"/>
              </w:rPr>
              <w:t>Y≥5000</w:t>
            </w:r>
          </w:p>
        </w:tc>
        <w:tc>
          <w:tcPr>
            <w:tcW w:w="1946" w:type="dxa"/>
            <w:shd w:val="clear" w:color="auto" w:fill="B8CCE4"/>
          </w:tcPr>
          <w:p w14:paraId="2F4945F9">
            <w:pPr>
              <w:pStyle w:val="33"/>
              <w:spacing w:before="204" w:line="237" w:lineRule="auto"/>
              <w:ind w:left="226"/>
              <w:rPr>
                <w:sz w:val="21"/>
                <w:szCs w:val="21"/>
                <w:highlight w:val="none"/>
              </w:rPr>
            </w:pPr>
            <w:r>
              <w:rPr>
                <w:spacing w:val="6"/>
                <w:sz w:val="21"/>
                <w:szCs w:val="21"/>
                <w:highlight w:val="none"/>
              </w:rPr>
              <w:t>1000≤Y＜5000</w:t>
            </w:r>
          </w:p>
        </w:tc>
        <w:tc>
          <w:tcPr>
            <w:tcW w:w="1741" w:type="dxa"/>
            <w:shd w:val="clear" w:color="auto" w:fill="B8CCE4"/>
          </w:tcPr>
          <w:p w14:paraId="1F13D4D6">
            <w:pPr>
              <w:pStyle w:val="33"/>
              <w:spacing w:before="204" w:line="237" w:lineRule="auto"/>
              <w:ind w:left="186"/>
              <w:rPr>
                <w:sz w:val="21"/>
                <w:szCs w:val="21"/>
                <w:highlight w:val="none"/>
              </w:rPr>
            </w:pPr>
            <w:r>
              <w:rPr>
                <w:spacing w:val="1"/>
                <w:sz w:val="21"/>
                <w:szCs w:val="21"/>
                <w:highlight w:val="none"/>
              </w:rPr>
              <w:t>500≤Y＜</w:t>
            </w:r>
            <w:r>
              <w:rPr>
                <w:spacing w:val="-42"/>
                <w:sz w:val="21"/>
                <w:szCs w:val="21"/>
                <w:highlight w:val="none"/>
              </w:rPr>
              <w:t xml:space="preserve"> </w:t>
            </w:r>
            <w:r>
              <w:rPr>
                <w:spacing w:val="1"/>
                <w:sz w:val="21"/>
                <w:szCs w:val="21"/>
                <w:highlight w:val="none"/>
              </w:rPr>
              <w:t>1000</w:t>
            </w:r>
          </w:p>
        </w:tc>
        <w:tc>
          <w:tcPr>
            <w:tcW w:w="1020" w:type="dxa"/>
            <w:shd w:val="clear" w:color="auto" w:fill="B8CCE4"/>
          </w:tcPr>
          <w:p w14:paraId="2445C95A">
            <w:pPr>
              <w:pStyle w:val="33"/>
              <w:spacing w:before="203" w:line="241" w:lineRule="auto"/>
              <w:ind w:left="168"/>
              <w:rPr>
                <w:sz w:val="21"/>
                <w:szCs w:val="21"/>
                <w:highlight w:val="none"/>
              </w:rPr>
            </w:pPr>
            <w:r>
              <w:rPr>
                <w:spacing w:val="6"/>
                <w:sz w:val="21"/>
                <w:szCs w:val="21"/>
                <w:highlight w:val="none"/>
              </w:rPr>
              <w:t>Y＜500</w:t>
            </w:r>
          </w:p>
        </w:tc>
      </w:tr>
      <w:tr w14:paraId="31141468">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8" w:hRule="atLeast"/>
        </w:trPr>
        <w:tc>
          <w:tcPr>
            <w:tcW w:w="1141" w:type="dxa"/>
            <w:vMerge w:val="restart"/>
            <w:tcBorders>
              <w:bottom w:val="nil"/>
            </w:tcBorders>
          </w:tcPr>
          <w:p w14:paraId="57FAEF58">
            <w:pPr>
              <w:spacing w:line="277" w:lineRule="auto"/>
              <w:rPr>
                <w:highlight w:val="none"/>
              </w:rPr>
            </w:pPr>
          </w:p>
          <w:p w14:paraId="5BB48F48">
            <w:pPr>
              <w:pStyle w:val="33"/>
              <w:spacing w:before="68" w:line="276" w:lineRule="auto"/>
              <w:ind w:left="127" w:right="125"/>
              <w:rPr>
                <w:sz w:val="21"/>
                <w:szCs w:val="21"/>
                <w:highlight w:val="none"/>
              </w:rPr>
            </w:pPr>
            <w:r>
              <w:rPr>
                <w:spacing w:val="9"/>
                <w:sz w:val="21"/>
                <w:szCs w:val="21"/>
                <w:highlight w:val="none"/>
              </w:rPr>
              <w:t>租赁和商务服务业</w:t>
            </w:r>
          </w:p>
        </w:tc>
        <w:tc>
          <w:tcPr>
            <w:tcW w:w="1480" w:type="dxa"/>
          </w:tcPr>
          <w:p w14:paraId="7A338C8B">
            <w:pPr>
              <w:pStyle w:val="33"/>
              <w:spacing w:before="200" w:line="221" w:lineRule="auto"/>
              <w:ind w:left="136"/>
              <w:rPr>
                <w:sz w:val="21"/>
                <w:szCs w:val="21"/>
                <w:highlight w:val="none"/>
              </w:rPr>
            </w:pPr>
            <w:r>
              <w:rPr>
                <w:spacing w:val="2"/>
                <w:sz w:val="21"/>
                <w:szCs w:val="21"/>
                <w:highlight w:val="none"/>
              </w:rPr>
              <w:t>从业人员</w:t>
            </w:r>
            <w:r>
              <w:rPr>
                <w:spacing w:val="-43"/>
                <w:sz w:val="21"/>
                <w:szCs w:val="21"/>
                <w:highlight w:val="none"/>
              </w:rPr>
              <w:t xml:space="preserve"> </w:t>
            </w:r>
            <w:r>
              <w:rPr>
                <w:spacing w:val="2"/>
                <w:sz w:val="21"/>
                <w:szCs w:val="21"/>
                <w:highlight w:val="none"/>
              </w:rPr>
              <w:t>(X)</w:t>
            </w:r>
          </w:p>
        </w:tc>
        <w:tc>
          <w:tcPr>
            <w:tcW w:w="76" w:type="dxa"/>
            <w:tcBorders>
              <w:top w:val="nil"/>
              <w:left w:val="nil"/>
              <w:bottom w:val="nil"/>
              <w:right w:val="nil"/>
            </w:tcBorders>
          </w:tcPr>
          <w:p w14:paraId="13634702">
            <w:pPr>
              <w:rPr>
                <w:highlight w:val="none"/>
              </w:rPr>
            </w:pPr>
          </w:p>
        </w:tc>
        <w:tc>
          <w:tcPr>
            <w:tcW w:w="720" w:type="dxa"/>
            <w:tcBorders>
              <w:left w:val="nil"/>
            </w:tcBorders>
          </w:tcPr>
          <w:p w14:paraId="767A9E61">
            <w:pPr>
              <w:pStyle w:val="33"/>
              <w:spacing w:before="200" w:line="223" w:lineRule="auto"/>
              <w:ind w:left="202"/>
              <w:rPr>
                <w:sz w:val="21"/>
                <w:szCs w:val="21"/>
                <w:highlight w:val="none"/>
              </w:rPr>
            </w:pPr>
            <w:r>
              <w:rPr>
                <w:sz w:val="21"/>
                <w:szCs w:val="21"/>
                <w:highlight w:val="none"/>
              </w:rPr>
              <w:t>人</w:t>
            </w:r>
          </w:p>
        </w:tc>
        <w:tc>
          <w:tcPr>
            <w:tcW w:w="1234" w:type="dxa"/>
          </w:tcPr>
          <w:p w14:paraId="461BDEC1">
            <w:pPr>
              <w:pStyle w:val="33"/>
              <w:spacing w:before="199" w:line="239" w:lineRule="auto"/>
              <w:ind w:left="234"/>
              <w:rPr>
                <w:sz w:val="21"/>
                <w:szCs w:val="21"/>
                <w:highlight w:val="none"/>
              </w:rPr>
            </w:pPr>
            <w:r>
              <w:rPr>
                <w:spacing w:val="6"/>
                <w:sz w:val="21"/>
                <w:szCs w:val="21"/>
                <w:highlight w:val="none"/>
              </w:rPr>
              <w:t>X≥300</w:t>
            </w:r>
          </w:p>
        </w:tc>
        <w:tc>
          <w:tcPr>
            <w:tcW w:w="1946" w:type="dxa"/>
          </w:tcPr>
          <w:p w14:paraId="796E9BD5">
            <w:pPr>
              <w:pStyle w:val="33"/>
              <w:spacing w:before="200" w:line="237" w:lineRule="auto"/>
              <w:ind w:left="338"/>
              <w:rPr>
                <w:sz w:val="21"/>
                <w:szCs w:val="21"/>
                <w:highlight w:val="none"/>
              </w:rPr>
            </w:pPr>
            <w:r>
              <w:rPr>
                <w:spacing w:val="6"/>
                <w:sz w:val="21"/>
                <w:szCs w:val="21"/>
                <w:highlight w:val="none"/>
              </w:rPr>
              <w:t>100≤X＜300</w:t>
            </w:r>
          </w:p>
        </w:tc>
        <w:tc>
          <w:tcPr>
            <w:tcW w:w="1741" w:type="dxa"/>
          </w:tcPr>
          <w:p w14:paraId="70518BE8">
            <w:pPr>
              <w:pStyle w:val="33"/>
              <w:spacing w:before="200" w:line="237" w:lineRule="auto"/>
              <w:ind w:left="310"/>
              <w:rPr>
                <w:sz w:val="21"/>
                <w:szCs w:val="21"/>
                <w:highlight w:val="none"/>
              </w:rPr>
            </w:pPr>
            <w:r>
              <w:rPr>
                <w:spacing w:val="-2"/>
                <w:sz w:val="21"/>
                <w:szCs w:val="21"/>
                <w:highlight w:val="none"/>
              </w:rPr>
              <w:t>10≤X＜</w:t>
            </w:r>
            <w:r>
              <w:rPr>
                <w:spacing w:val="-40"/>
                <w:sz w:val="21"/>
                <w:szCs w:val="21"/>
                <w:highlight w:val="none"/>
              </w:rPr>
              <w:t xml:space="preserve"> </w:t>
            </w:r>
            <w:r>
              <w:rPr>
                <w:spacing w:val="-2"/>
                <w:sz w:val="21"/>
                <w:szCs w:val="21"/>
                <w:highlight w:val="none"/>
              </w:rPr>
              <w:t>100</w:t>
            </w:r>
          </w:p>
        </w:tc>
        <w:tc>
          <w:tcPr>
            <w:tcW w:w="1020" w:type="dxa"/>
          </w:tcPr>
          <w:p w14:paraId="191BF707">
            <w:pPr>
              <w:pStyle w:val="33"/>
              <w:spacing w:before="199" w:line="241" w:lineRule="auto"/>
              <w:ind w:left="227"/>
              <w:rPr>
                <w:sz w:val="21"/>
                <w:szCs w:val="21"/>
                <w:highlight w:val="none"/>
              </w:rPr>
            </w:pPr>
            <w:r>
              <w:rPr>
                <w:spacing w:val="-8"/>
                <w:sz w:val="21"/>
                <w:szCs w:val="21"/>
                <w:highlight w:val="none"/>
              </w:rPr>
              <w:t>X＜</w:t>
            </w:r>
            <w:r>
              <w:rPr>
                <w:spacing w:val="-41"/>
                <w:sz w:val="21"/>
                <w:szCs w:val="21"/>
                <w:highlight w:val="none"/>
              </w:rPr>
              <w:t xml:space="preserve"> </w:t>
            </w:r>
            <w:r>
              <w:rPr>
                <w:spacing w:val="-8"/>
                <w:sz w:val="21"/>
                <w:szCs w:val="21"/>
                <w:highlight w:val="none"/>
              </w:rPr>
              <w:t>10</w:t>
            </w:r>
          </w:p>
        </w:tc>
      </w:tr>
      <w:tr w14:paraId="2792BAE6">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595" w:hRule="atLeast"/>
        </w:trPr>
        <w:tc>
          <w:tcPr>
            <w:tcW w:w="1141" w:type="dxa"/>
            <w:vMerge w:val="continue"/>
            <w:tcBorders>
              <w:top w:val="nil"/>
            </w:tcBorders>
          </w:tcPr>
          <w:p w14:paraId="7300B819">
            <w:pPr>
              <w:rPr>
                <w:highlight w:val="none"/>
              </w:rPr>
            </w:pPr>
          </w:p>
        </w:tc>
        <w:tc>
          <w:tcPr>
            <w:tcW w:w="1480" w:type="dxa"/>
            <w:shd w:val="clear" w:color="auto" w:fill="B8CCE4"/>
          </w:tcPr>
          <w:p w14:paraId="6DAD1FBB">
            <w:pPr>
              <w:pStyle w:val="33"/>
              <w:spacing w:before="196" w:line="221" w:lineRule="auto"/>
              <w:ind w:left="143"/>
              <w:rPr>
                <w:sz w:val="21"/>
                <w:szCs w:val="21"/>
                <w:highlight w:val="none"/>
              </w:rPr>
            </w:pPr>
            <w:r>
              <w:rPr>
                <w:spacing w:val="8"/>
                <w:sz w:val="21"/>
                <w:szCs w:val="21"/>
                <w:highlight w:val="none"/>
              </w:rPr>
              <w:t>资产总额(Z)</w:t>
            </w:r>
          </w:p>
        </w:tc>
        <w:tc>
          <w:tcPr>
            <w:tcW w:w="76" w:type="dxa"/>
            <w:tcBorders>
              <w:top w:val="nil"/>
              <w:left w:val="nil"/>
              <w:bottom w:val="nil"/>
              <w:right w:val="nil"/>
            </w:tcBorders>
          </w:tcPr>
          <w:p w14:paraId="624F7B28">
            <w:pPr>
              <w:rPr>
                <w:highlight w:val="none"/>
              </w:rPr>
            </w:pPr>
          </w:p>
        </w:tc>
        <w:tc>
          <w:tcPr>
            <w:tcW w:w="720" w:type="dxa"/>
            <w:tcBorders>
              <w:left w:val="nil"/>
            </w:tcBorders>
            <w:shd w:val="clear" w:color="auto" w:fill="B8CCE4"/>
          </w:tcPr>
          <w:p w14:paraId="0C7546BE">
            <w:pPr>
              <w:pStyle w:val="33"/>
              <w:spacing w:before="197" w:line="221" w:lineRule="auto"/>
              <w:ind w:left="93"/>
              <w:rPr>
                <w:sz w:val="21"/>
                <w:szCs w:val="21"/>
                <w:highlight w:val="none"/>
              </w:rPr>
            </w:pPr>
            <w:r>
              <w:rPr>
                <w:spacing w:val="1"/>
                <w:sz w:val="21"/>
                <w:szCs w:val="21"/>
                <w:highlight w:val="none"/>
              </w:rPr>
              <w:t>万元</w:t>
            </w:r>
          </w:p>
        </w:tc>
        <w:tc>
          <w:tcPr>
            <w:tcW w:w="1234" w:type="dxa"/>
            <w:shd w:val="clear" w:color="auto" w:fill="B8CCE4"/>
          </w:tcPr>
          <w:p w14:paraId="3D60EF89">
            <w:pPr>
              <w:pStyle w:val="33"/>
              <w:spacing w:before="196" w:line="239" w:lineRule="auto"/>
              <w:ind w:left="65"/>
              <w:rPr>
                <w:sz w:val="21"/>
                <w:szCs w:val="21"/>
                <w:highlight w:val="none"/>
              </w:rPr>
            </w:pPr>
            <w:r>
              <w:rPr>
                <w:spacing w:val="6"/>
                <w:sz w:val="21"/>
                <w:szCs w:val="21"/>
                <w:highlight w:val="none"/>
              </w:rPr>
              <w:t>Z≥120000</w:t>
            </w:r>
          </w:p>
        </w:tc>
        <w:tc>
          <w:tcPr>
            <w:tcW w:w="1946" w:type="dxa"/>
            <w:shd w:val="clear" w:color="auto" w:fill="B8CCE4"/>
          </w:tcPr>
          <w:p w14:paraId="65E3A470">
            <w:pPr>
              <w:pStyle w:val="33"/>
              <w:spacing w:before="196" w:line="237" w:lineRule="auto"/>
              <w:ind w:left="98"/>
              <w:rPr>
                <w:sz w:val="21"/>
                <w:szCs w:val="21"/>
                <w:highlight w:val="none"/>
              </w:rPr>
            </w:pPr>
            <w:r>
              <w:rPr>
                <w:spacing w:val="2"/>
                <w:sz w:val="21"/>
                <w:szCs w:val="21"/>
                <w:highlight w:val="none"/>
              </w:rPr>
              <w:t>8000≤Z＜</w:t>
            </w:r>
            <w:r>
              <w:rPr>
                <w:spacing w:val="-31"/>
                <w:sz w:val="21"/>
                <w:szCs w:val="21"/>
                <w:highlight w:val="none"/>
              </w:rPr>
              <w:t xml:space="preserve"> </w:t>
            </w:r>
            <w:r>
              <w:rPr>
                <w:spacing w:val="2"/>
                <w:sz w:val="21"/>
                <w:szCs w:val="21"/>
                <w:highlight w:val="none"/>
              </w:rPr>
              <w:t>120000</w:t>
            </w:r>
          </w:p>
        </w:tc>
        <w:tc>
          <w:tcPr>
            <w:tcW w:w="1741" w:type="dxa"/>
            <w:shd w:val="clear" w:color="auto" w:fill="B8CCE4"/>
          </w:tcPr>
          <w:p w14:paraId="74637C41">
            <w:pPr>
              <w:pStyle w:val="33"/>
              <w:spacing w:before="196" w:line="237" w:lineRule="auto"/>
              <w:ind w:left="197"/>
              <w:rPr>
                <w:sz w:val="21"/>
                <w:szCs w:val="21"/>
                <w:highlight w:val="none"/>
              </w:rPr>
            </w:pPr>
            <w:r>
              <w:rPr>
                <w:spacing w:val="6"/>
                <w:sz w:val="21"/>
                <w:szCs w:val="21"/>
                <w:highlight w:val="none"/>
              </w:rPr>
              <w:t>100≤Z＜8000</w:t>
            </w:r>
          </w:p>
        </w:tc>
        <w:tc>
          <w:tcPr>
            <w:tcW w:w="1020" w:type="dxa"/>
            <w:shd w:val="clear" w:color="auto" w:fill="B8CCE4"/>
          </w:tcPr>
          <w:p w14:paraId="78654DB4">
            <w:pPr>
              <w:pStyle w:val="33"/>
              <w:spacing w:before="196" w:line="241" w:lineRule="auto"/>
              <w:ind w:left="171"/>
              <w:rPr>
                <w:sz w:val="21"/>
                <w:szCs w:val="21"/>
                <w:highlight w:val="none"/>
              </w:rPr>
            </w:pPr>
            <w:r>
              <w:rPr>
                <w:spacing w:val="-6"/>
                <w:sz w:val="21"/>
                <w:szCs w:val="21"/>
                <w:highlight w:val="none"/>
              </w:rPr>
              <w:t>Z＜</w:t>
            </w:r>
            <w:r>
              <w:rPr>
                <w:spacing w:val="-42"/>
                <w:sz w:val="21"/>
                <w:szCs w:val="21"/>
                <w:highlight w:val="none"/>
              </w:rPr>
              <w:t xml:space="preserve"> </w:t>
            </w:r>
            <w:r>
              <w:rPr>
                <w:spacing w:val="-6"/>
                <w:sz w:val="21"/>
                <w:szCs w:val="21"/>
                <w:highlight w:val="none"/>
              </w:rPr>
              <w:t>100</w:t>
            </w:r>
          </w:p>
        </w:tc>
      </w:tr>
      <w:tr w14:paraId="016CFCBE">
        <w:tblPrEx>
          <w:tblBorders>
            <w:top w:val="single" w:color="4F81BD" w:sz="4" w:space="0"/>
            <w:left w:val="single" w:color="4F81BD" w:sz="4" w:space="0"/>
            <w:bottom w:val="single" w:color="4F81BD" w:sz="4" w:space="0"/>
            <w:right w:val="single" w:color="4F81BD" w:sz="4" w:space="0"/>
            <w:insideH w:val="single" w:color="4F81BD" w:sz="4" w:space="0"/>
            <w:insideV w:val="single" w:color="4F81BD" w:sz="4" w:space="0"/>
          </w:tblBorders>
          <w:tblCellMar>
            <w:top w:w="0" w:type="dxa"/>
            <w:left w:w="0" w:type="dxa"/>
            <w:bottom w:w="0" w:type="dxa"/>
            <w:right w:w="0" w:type="dxa"/>
          </w:tblCellMar>
        </w:tblPrEx>
        <w:trPr>
          <w:trHeight w:val="677" w:hRule="atLeast"/>
        </w:trPr>
        <w:tc>
          <w:tcPr>
            <w:tcW w:w="1141" w:type="dxa"/>
          </w:tcPr>
          <w:p w14:paraId="7F3C4708">
            <w:pPr>
              <w:pStyle w:val="33"/>
              <w:spacing w:before="79" w:line="221" w:lineRule="auto"/>
              <w:ind w:left="126"/>
              <w:rPr>
                <w:sz w:val="21"/>
                <w:szCs w:val="21"/>
                <w:highlight w:val="none"/>
              </w:rPr>
            </w:pPr>
            <w:r>
              <w:rPr>
                <w:spacing w:val="9"/>
                <w:sz w:val="21"/>
                <w:szCs w:val="21"/>
                <w:highlight w:val="none"/>
              </w:rPr>
              <w:t>其他未列</w:t>
            </w:r>
          </w:p>
          <w:p w14:paraId="0BEC279E">
            <w:pPr>
              <w:pStyle w:val="33"/>
              <w:spacing w:before="59" w:line="221" w:lineRule="auto"/>
              <w:ind w:left="200"/>
              <w:rPr>
                <w:sz w:val="21"/>
                <w:szCs w:val="21"/>
                <w:highlight w:val="none"/>
              </w:rPr>
            </w:pPr>
            <w:r>
              <w:rPr>
                <w:spacing w:val="4"/>
                <w:sz w:val="21"/>
                <w:szCs w:val="21"/>
                <w:highlight w:val="none"/>
              </w:rPr>
              <w:t>明行业*</w:t>
            </w:r>
          </w:p>
        </w:tc>
        <w:tc>
          <w:tcPr>
            <w:tcW w:w="1480" w:type="dxa"/>
          </w:tcPr>
          <w:p w14:paraId="48B8E2C0">
            <w:pPr>
              <w:pStyle w:val="33"/>
              <w:spacing w:before="235" w:line="221" w:lineRule="auto"/>
              <w:ind w:left="136"/>
              <w:rPr>
                <w:sz w:val="21"/>
                <w:szCs w:val="21"/>
                <w:highlight w:val="none"/>
              </w:rPr>
            </w:pPr>
            <w:r>
              <w:rPr>
                <w:spacing w:val="2"/>
                <w:sz w:val="21"/>
                <w:szCs w:val="21"/>
                <w:highlight w:val="none"/>
              </w:rPr>
              <w:t>从业人员</w:t>
            </w:r>
            <w:r>
              <w:rPr>
                <w:spacing w:val="-43"/>
                <w:sz w:val="21"/>
                <w:szCs w:val="21"/>
                <w:highlight w:val="none"/>
              </w:rPr>
              <w:t xml:space="preserve"> </w:t>
            </w:r>
            <w:r>
              <w:rPr>
                <w:spacing w:val="2"/>
                <w:sz w:val="21"/>
                <w:szCs w:val="21"/>
                <w:highlight w:val="none"/>
              </w:rPr>
              <w:t>(X)</w:t>
            </w:r>
          </w:p>
        </w:tc>
        <w:tc>
          <w:tcPr>
            <w:tcW w:w="76" w:type="dxa"/>
            <w:tcBorders>
              <w:top w:val="nil"/>
              <w:left w:val="nil"/>
              <w:bottom w:val="nil"/>
              <w:right w:val="nil"/>
            </w:tcBorders>
          </w:tcPr>
          <w:p w14:paraId="6FAC03FB">
            <w:pPr>
              <w:rPr>
                <w:highlight w:val="none"/>
              </w:rPr>
            </w:pPr>
          </w:p>
        </w:tc>
        <w:tc>
          <w:tcPr>
            <w:tcW w:w="720" w:type="dxa"/>
            <w:tcBorders>
              <w:left w:val="nil"/>
            </w:tcBorders>
          </w:tcPr>
          <w:p w14:paraId="6FED02FE">
            <w:pPr>
              <w:pStyle w:val="33"/>
              <w:spacing w:before="235" w:line="223" w:lineRule="auto"/>
              <w:ind w:left="202"/>
              <w:rPr>
                <w:sz w:val="21"/>
                <w:szCs w:val="21"/>
                <w:highlight w:val="none"/>
              </w:rPr>
            </w:pPr>
            <w:r>
              <w:rPr>
                <w:sz w:val="21"/>
                <w:szCs w:val="21"/>
                <w:highlight w:val="none"/>
              </w:rPr>
              <w:t>人</w:t>
            </w:r>
          </w:p>
        </w:tc>
        <w:tc>
          <w:tcPr>
            <w:tcW w:w="1234" w:type="dxa"/>
          </w:tcPr>
          <w:p w14:paraId="1B362B39">
            <w:pPr>
              <w:pStyle w:val="33"/>
              <w:spacing w:before="234" w:line="239" w:lineRule="auto"/>
              <w:ind w:left="234"/>
              <w:rPr>
                <w:sz w:val="21"/>
                <w:szCs w:val="21"/>
                <w:highlight w:val="none"/>
              </w:rPr>
            </w:pPr>
            <w:r>
              <w:rPr>
                <w:spacing w:val="6"/>
                <w:sz w:val="21"/>
                <w:szCs w:val="21"/>
                <w:highlight w:val="none"/>
              </w:rPr>
              <w:t>X≥300</w:t>
            </w:r>
          </w:p>
        </w:tc>
        <w:tc>
          <w:tcPr>
            <w:tcW w:w="1946" w:type="dxa"/>
          </w:tcPr>
          <w:p w14:paraId="1BD80ECA">
            <w:pPr>
              <w:pStyle w:val="33"/>
              <w:spacing w:before="235" w:line="237" w:lineRule="auto"/>
              <w:ind w:left="338"/>
              <w:rPr>
                <w:sz w:val="21"/>
                <w:szCs w:val="21"/>
                <w:highlight w:val="none"/>
              </w:rPr>
            </w:pPr>
            <w:r>
              <w:rPr>
                <w:spacing w:val="6"/>
                <w:sz w:val="21"/>
                <w:szCs w:val="21"/>
                <w:highlight w:val="none"/>
              </w:rPr>
              <w:t>100≤X＜300</w:t>
            </w:r>
          </w:p>
        </w:tc>
        <w:tc>
          <w:tcPr>
            <w:tcW w:w="1741" w:type="dxa"/>
          </w:tcPr>
          <w:p w14:paraId="48228AFD">
            <w:pPr>
              <w:pStyle w:val="33"/>
              <w:spacing w:before="235" w:line="237" w:lineRule="auto"/>
              <w:ind w:left="310"/>
              <w:rPr>
                <w:sz w:val="21"/>
                <w:szCs w:val="21"/>
                <w:highlight w:val="none"/>
              </w:rPr>
            </w:pPr>
            <w:r>
              <w:rPr>
                <w:spacing w:val="-2"/>
                <w:sz w:val="21"/>
                <w:szCs w:val="21"/>
                <w:highlight w:val="none"/>
              </w:rPr>
              <w:t>10≤X＜</w:t>
            </w:r>
            <w:r>
              <w:rPr>
                <w:spacing w:val="-40"/>
                <w:sz w:val="21"/>
                <w:szCs w:val="21"/>
                <w:highlight w:val="none"/>
              </w:rPr>
              <w:t xml:space="preserve"> </w:t>
            </w:r>
            <w:r>
              <w:rPr>
                <w:spacing w:val="-2"/>
                <w:sz w:val="21"/>
                <w:szCs w:val="21"/>
                <w:highlight w:val="none"/>
              </w:rPr>
              <w:t>100</w:t>
            </w:r>
          </w:p>
        </w:tc>
        <w:tc>
          <w:tcPr>
            <w:tcW w:w="1020" w:type="dxa"/>
          </w:tcPr>
          <w:p w14:paraId="1DCFC160">
            <w:pPr>
              <w:pStyle w:val="33"/>
              <w:spacing w:before="234" w:line="241" w:lineRule="auto"/>
              <w:ind w:left="227"/>
              <w:rPr>
                <w:sz w:val="21"/>
                <w:szCs w:val="21"/>
                <w:highlight w:val="none"/>
              </w:rPr>
            </w:pPr>
            <w:r>
              <w:rPr>
                <w:spacing w:val="-8"/>
                <w:sz w:val="21"/>
                <w:szCs w:val="21"/>
                <w:highlight w:val="none"/>
              </w:rPr>
              <w:t>X＜</w:t>
            </w:r>
            <w:r>
              <w:rPr>
                <w:spacing w:val="-41"/>
                <w:sz w:val="21"/>
                <w:szCs w:val="21"/>
                <w:highlight w:val="none"/>
              </w:rPr>
              <w:t xml:space="preserve"> </w:t>
            </w:r>
            <w:r>
              <w:rPr>
                <w:spacing w:val="-8"/>
                <w:sz w:val="21"/>
                <w:szCs w:val="21"/>
                <w:highlight w:val="none"/>
              </w:rPr>
              <w:t>10</w:t>
            </w:r>
          </w:p>
        </w:tc>
      </w:tr>
    </w:tbl>
    <w:p w14:paraId="2F50A965">
      <w:pPr>
        <w:spacing w:before="177" w:line="386" w:lineRule="auto"/>
        <w:ind w:left="290" w:right="271" w:firstLine="428"/>
        <w:rPr>
          <w:rFonts w:ascii="宋体" w:hAnsi="宋体" w:eastAsia="宋体" w:cs="宋体"/>
          <w:sz w:val="22"/>
          <w:szCs w:val="22"/>
          <w:highlight w:val="none"/>
          <w:lang w:eastAsia="zh-CN"/>
        </w:rPr>
      </w:pPr>
      <w:r>
        <w:rPr>
          <w:rFonts w:ascii="宋体" w:hAnsi="宋体" w:eastAsia="宋体" w:cs="宋体"/>
          <w:spacing w:val="-1"/>
          <w:sz w:val="22"/>
          <w:szCs w:val="22"/>
          <w:highlight w:val="none"/>
          <w:lang w:eastAsia="zh-CN"/>
        </w:rPr>
        <w:t>说明：1.大型、中型和小型企业须</w:t>
      </w:r>
      <w:r>
        <w:rPr>
          <w:rFonts w:ascii="宋体" w:hAnsi="宋体" w:eastAsia="宋体" w:cs="宋体"/>
          <w:b/>
          <w:bCs/>
          <w:spacing w:val="-1"/>
          <w:sz w:val="22"/>
          <w:szCs w:val="22"/>
          <w:highlight w:val="none"/>
          <w:lang w:eastAsia="zh-CN"/>
        </w:rPr>
        <w:t>同时满足所列指标的下限，否则下划一档</w:t>
      </w:r>
      <w:r>
        <w:rPr>
          <w:rFonts w:ascii="宋体" w:hAnsi="宋体" w:eastAsia="宋体" w:cs="宋体"/>
          <w:spacing w:val="-1"/>
          <w:sz w:val="22"/>
          <w:szCs w:val="22"/>
          <w:highlight w:val="none"/>
          <w:lang w:eastAsia="zh-CN"/>
        </w:rPr>
        <w:t>；微型企业</w:t>
      </w:r>
      <w:r>
        <w:rPr>
          <w:rFonts w:ascii="宋体" w:hAnsi="宋体" w:eastAsia="宋体" w:cs="宋体"/>
          <w:spacing w:val="-3"/>
          <w:sz w:val="22"/>
          <w:szCs w:val="22"/>
          <w:highlight w:val="none"/>
          <w:lang w:eastAsia="zh-CN"/>
        </w:rPr>
        <w:t>只须满足所列指标中的一项即可。</w:t>
      </w:r>
    </w:p>
    <w:p w14:paraId="23D194A6">
      <w:pPr>
        <w:spacing w:before="4" w:line="365" w:lineRule="auto"/>
        <w:ind w:left="277" w:right="264" w:firstLine="441"/>
        <w:rPr>
          <w:rFonts w:ascii="宋体" w:hAnsi="宋体" w:eastAsia="宋体" w:cs="宋体"/>
          <w:sz w:val="22"/>
          <w:szCs w:val="22"/>
          <w:highlight w:val="none"/>
          <w:lang w:eastAsia="zh-CN"/>
        </w:rPr>
      </w:pPr>
      <w:r>
        <w:rPr>
          <w:rFonts w:ascii="宋体" w:hAnsi="宋体" w:eastAsia="宋体" w:cs="宋体"/>
          <w:spacing w:val="1"/>
          <w:sz w:val="22"/>
          <w:szCs w:val="22"/>
          <w:highlight w:val="none"/>
          <w:lang w:eastAsia="zh-CN"/>
        </w:rPr>
        <w:t>2.</w:t>
      </w:r>
      <w:r>
        <w:rPr>
          <w:rFonts w:ascii="宋体" w:hAnsi="宋体" w:eastAsia="宋体" w:cs="宋体"/>
          <w:spacing w:val="95"/>
          <w:sz w:val="22"/>
          <w:szCs w:val="22"/>
          <w:highlight w:val="none"/>
          <w:lang w:eastAsia="zh-CN"/>
        </w:rPr>
        <w:t xml:space="preserve"> </w:t>
      </w:r>
      <w:r>
        <w:rPr>
          <w:rFonts w:ascii="宋体" w:hAnsi="宋体" w:eastAsia="宋体" w:cs="宋体"/>
          <w:spacing w:val="1"/>
          <w:sz w:val="22"/>
          <w:szCs w:val="22"/>
          <w:highlight w:val="none"/>
          <w:lang w:eastAsia="zh-CN"/>
        </w:rPr>
        <w:t>附表中各行业的范围以《国民经济行业分类》（</w:t>
      </w:r>
      <w:r>
        <w:rPr>
          <w:rFonts w:ascii="宋体" w:hAnsi="宋体" w:eastAsia="宋体" w:cs="宋体"/>
          <w:sz w:val="22"/>
          <w:szCs w:val="22"/>
          <w:highlight w:val="none"/>
          <w:lang w:eastAsia="zh-CN"/>
        </w:rPr>
        <w:t>GB</w:t>
      </w:r>
      <w:r>
        <w:rPr>
          <w:rFonts w:ascii="宋体" w:hAnsi="宋体" w:eastAsia="宋体" w:cs="宋体"/>
          <w:spacing w:val="1"/>
          <w:sz w:val="22"/>
          <w:szCs w:val="22"/>
          <w:highlight w:val="none"/>
          <w:lang w:eastAsia="zh-CN"/>
        </w:rPr>
        <w:t>/T47</w:t>
      </w:r>
      <w:r>
        <w:rPr>
          <w:rFonts w:ascii="宋体" w:hAnsi="宋体" w:eastAsia="宋体" w:cs="宋体"/>
          <w:sz w:val="22"/>
          <w:szCs w:val="22"/>
          <w:highlight w:val="none"/>
          <w:lang w:eastAsia="zh-CN"/>
        </w:rPr>
        <w:t>54-2017）为准。</w:t>
      </w:r>
      <w:r>
        <w:rPr>
          <w:rFonts w:ascii="宋体" w:hAnsi="宋体" w:eastAsia="宋体" w:cs="宋体"/>
          <w:b/>
          <w:bCs/>
          <w:sz w:val="22"/>
          <w:szCs w:val="22"/>
          <w:highlight w:val="none"/>
          <w:lang w:eastAsia="zh-CN"/>
        </w:rPr>
        <w:t>带*的项为行业组合类别</w:t>
      </w:r>
      <w:r>
        <w:rPr>
          <w:rFonts w:ascii="宋体" w:hAnsi="宋体" w:eastAsia="宋体" w:cs="宋体"/>
          <w:sz w:val="22"/>
          <w:szCs w:val="22"/>
          <w:highlight w:val="none"/>
          <w:lang w:eastAsia="zh-CN"/>
        </w:rPr>
        <w:t>，其中，</w:t>
      </w:r>
      <w:r>
        <w:rPr>
          <w:rFonts w:ascii="宋体" w:hAnsi="宋体" w:eastAsia="宋体" w:cs="宋体"/>
          <w:b/>
          <w:bCs/>
          <w:sz w:val="22"/>
          <w:szCs w:val="22"/>
          <w:highlight w:val="none"/>
          <w:lang w:eastAsia="zh-CN"/>
        </w:rPr>
        <w:t>工业</w:t>
      </w:r>
      <w:r>
        <w:rPr>
          <w:rFonts w:ascii="宋体" w:hAnsi="宋体" w:eastAsia="宋体" w:cs="宋体"/>
          <w:sz w:val="22"/>
          <w:szCs w:val="22"/>
          <w:highlight w:val="none"/>
          <w:lang w:eastAsia="zh-CN"/>
        </w:rPr>
        <w:t>包括采矿业，制造业，电力、热力、燃气及水生产和供应业；</w:t>
      </w:r>
      <w:r>
        <w:rPr>
          <w:rFonts w:ascii="宋体" w:hAnsi="宋体" w:eastAsia="宋体" w:cs="宋体"/>
          <w:b/>
          <w:bCs/>
          <w:sz w:val="22"/>
          <w:szCs w:val="22"/>
          <w:highlight w:val="none"/>
          <w:lang w:eastAsia="zh-CN"/>
        </w:rPr>
        <w:t>交</w:t>
      </w:r>
      <w:r>
        <w:rPr>
          <w:rFonts w:ascii="宋体" w:hAnsi="宋体" w:eastAsia="宋体" w:cs="宋体"/>
          <w:b/>
          <w:bCs/>
          <w:spacing w:val="-5"/>
          <w:sz w:val="22"/>
          <w:szCs w:val="22"/>
          <w:highlight w:val="none"/>
          <w:lang w:eastAsia="zh-CN"/>
        </w:rPr>
        <w:t>通运输业</w:t>
      </w:r>
      <w:r>
        <w:rPr>
          <w:rFonts w:ascii="宋体" w:hAnsi="宋体" w:eastAsia="宋体" w:cs="宋体"/>
          <w:spacing w:val="-5"/>
          <w:sz w:val="22"/>
          <w:szCs w:val="22"/>
          <w:highlight w:val="none"/>
          <w:lang w:eastAsia="zh-CN"/>
        </w:rPr>
        <w:t>包括道路运输业，水上运输业，航空运输业，管道运输业，多式联运和运输代理业、</w:t>
      </w:r>
      <w:r>
        <w:rPr>
          <w:rFonts w:ascii="宋体" w:hAnsi="宋体" w:eastAsia="宋体" w:cs="宋体"/>
          <w:sz w:val="22"/>
          <w:szCs w:val="22"/>
          <w:highlight w:val="none"/>
          <w:lang w:eastAsia="zh-CN"/>
        </w:rPr>
        <w:t>装卸搬运，不包括铁路运输业；</w:t>
      </w:r>
      <w:r>
        <w:rPr>
          <w:rFonts w:ascii="宋体" w:hAnsi="宋体" w:eastAsia="宋体" w:cs="宋体"/>
          <w:b/>
          <w:bCs/>
          <w:sz w:val="22"/>
          <w:szCs w:val="22"/>
          <w:highlight w:val="none"/>
          <w:lang w:eastAsia="zh-CN"/>
        </w:rPr>
        <w:t>仓储业</w:t>
      </w:r>
      <w:r>
        <w:rPr>
          <w:rFonts w:ascii="宋体" w:hAnsi="宋体" w:eastAsia="宋体" w:cs="宋体"/>
          <w:sz w:val="22"/>
          <w:szCs w:val="22"/>
          <w:highlight w:val="none"/>
          <w:lang w:eastAsia="zh-CN"/>
        </w:rPr>
        <w:t>包括通用仓储，低温仓储，危险品仓储，谷物、棉花</w:t>
      </w:r>
      <w:r>
        <w:rPr>
          <w:rFonts w:ascii="宋体" w:hAnsi="宋体" w:eastAsia="宋体" w:cs="宋体"/>
          <w:spacing w:val="-5"/>
          <w:sz w:val="22"/>
          <w:szCs w:val="22"/>
          <w:highlight w:val="none"/>
          <w:lang w:eastAsia="zh-CN"/>
        </w:rPr>
        <w:t>等农产品仓储，中药材仓储和其他仓储业；</w:t>
      </w:r>
      <w:r>
        <w:rPr>
          <w:rFonts w:ascii="宋体" w:hAnsi="宋体" w:eastAsia="宋体" w:cs="宋体"/>
          <w:b/>
          <w:bCs/>
          <w:spacing w:val="-5"/>
          <w:sz w:val="22"/>
          <w:szCs w:val="22"/>
          <w:highlight w:val="none"/>
          <w:lang w:eastAsia="zh-CN"/>
        </w:rPr>
        <w:t>信息传输业</w:t>
      </w:r>
      <w:r>
        <w:rPr>
          <w:rFonts w:ascii="宋体" w:hAnsi="宋体" w:eastAsia="宋体" w:cs="宋体"/>
          <w:spacing w:val="-5"/>
          <w:sz w:val="22"/>
          <w:szCs w:val="22"/>
          <w:highlight w:val="none"/>
          <w:lang w:eastAsia="zh-CN"/>
        </w:rPr>
        <w:t>包括电信、广播电视和卫星传输服务，</w:t>
      </w:r>
      <w:r>
        <w:rPr>
          <w:rFonts w:ascii="宋体" w:hAnsi="宋体" w:eastAsia="宋体" w:cs="宋体"/>
          <w:sz w:val="22"/>
          <w:szCs w:val="22"/>
          <w:highlight w:val="none"/>
          <w:lang w:eastAsia="zh-CN"/>
        </w:rPr>
        <w:t>互联网和相关服务；</w:t>
      </w:r>
      <w:r>
        <w:rPr>
          <w:rFonts w:ascii="宋体" w:hAnsi="宋体" w:eastAsia="宋体" w:cs="宋体"/>
          <w:b/>
          <w:bCs/>
          <w:sz w:val="22"/>
          <w:szCs w:val="22"/>
          <w:highlight w:val="none"/>
          <w:lang w:eastAsia="zh-CN"/>
        </w:rPr>
        <w:t>其他未列明行业</w:t>
      </w:r>
      <w:r>
        <w:rPr>
          <w:rFonts w:ascii="宋体" w:hAnsi="宋体" w:eastAsia="宋体" w:cs="宋体"/>
          <w:sz w:val="22"/>
          <w:szCs w:val="22"/>
          <w:highlight w:val="none"/>
          <w:lang w:eastAsia="zh-CN"/>
        </w:rPr>
        <w:t>包括科学研究和技术服务业，水利、环境和公共设施管</w:t>
      </w:r>
      <w:r>
        <w:rPr>
          <w:rFonts w:ascii="宋体" w:hAnsi="宋体" w:eastAsia="宋体" w:cs="宋体"/>
          <w:spacing w:val="1"/>
          <w:sz w:val="22"/>
          <w:szCs w:val="22"/>
          <w:highlight w:val="none"/>
          <w:lang w:eastAsia="zh-CN"/>
        </w:rPr>
        <w:t>理业，居民服务、修理和其他服务业，社会工作，</w:t>
      </w:r>
      <w:r>
        <w:rPr>
          <w:rFonts w:ascii="宋体" w:hAnsi="宋体" w:eastAsia="宋体" w:cs="宋体"/>
          <w:sz w:val="22"/>
          <w:szCs w:val="22"/>
          <w:highlight w:val="none"/>
          <w:lang w:eastAsia="zh-CN"/>
        </w:rPr>
        <w:t>文化、体育和娱乐业，以及房地产中介服</w:t>
      </w:r>
      <w:r>
        <w:rPr>
          <w:rFonts w:ascii="宋体" w:hAnsi="宋体" w:eastAsia="宋体" w:cs="宋体"/>
          <w:spacing w:val="-1"/>
          <w:sz w:val="22"/>
          <w:szCs w:val="22"/>
          <w:highlight w:val="none"/>
          <w:lang w:eastAsia="zh-CN"/>
        </w:rPr>
        <w:t>务，其他房地产业等，不包括自有房地产经营活动。</w:t>
      </w:r>
    </w:p>
    <w:p w14:paraId="378DD8DE">
      <w:pPr>
        <w:spacing w:before="198" w:line="221" w:lineRule="auto"/>
        <w:ind w:left="720"/>
        <w:rPr>
          <w:rFonts w:ascii="宋体" w:hAnsi="宋体" w:eastAsia="宋体" w:cs="宋体"/>
          <w:sz w:val="22"/>
          <w:szCs w:val="22"/>
          <w:highlight w:val="none"/>
          <w:lang w:eastAsia="zh-CN"/>
        </w:rPr>
      </w:pPr>
      <w:r>
        <w:rPr>
          <w:rFonts w:ascii="宋体" w:hAnsi="宋体" w:eastAsia="宋体" w:cs="宋体"/>
          <w:spacing w:val="-2"/>
          <w:sz w:val="22"/>
          <w:szCs w:val="22"/>
          <w:highlight w:val="none"/>
          <w:lang w:eastAsia="zh-CN"/>
        </w:rPr>
        <w:t>3.</w:t>
      </w:r>
      <w:r>
        <w:rPr>
          <w:rFonts w:ascii="宋体" w:hAnsi="宋体" w:eastAsia="宋体" w:cs="宋体"/>
          <w:spacing w:val="95"/>
          <w:sz w:val="22"/>
          <w:szCs w:val="22"/>
          <w:highlight w:val="none"/>
          <w:lang w:eastAsia="zh-CN"/>
        </w:rPr>
        <w:t xml:space="preserve"> </w:t>
      </w:r>
      <w:r>
        <w:rPr>
          <w:rFonts w:ascii="宋体" w:hAnsi="宋体" w:eastAsia="宋体" w:cs="宋体"/>
          <w:spacing w:val="-2"/>
          <w:sz w:val="22"/>
          <w:szCs w:val="22"/>
          <w:highlight w:val="none"/>
          <w:lang w:eastAsia="zh-CN"/>
        </w:rPr>
        <w:t>企业划分指标以现行统计制度为准。</w:t>
      </w:r>
    </w:p>
    <w:p w14:paraId="59165E43">
      <w:pPr>
        <w:spacing w:before="196" w:line="303" w:lineRule="auto"/>
        <w:ind w:left="286" w:right="279" w:firstLine="435"/>
        <w:rPr>
          <w:rFonts w:ascii="宋体" w:hAnsi="宋体" w:eastAsia="宋体" w:cs="宋体"/>
          <w:sz w:val="22"/>
          <w:szCs w:val="22"/>
          <w:highlight w:val="none"/>
          <w:lang w:eastAsia="zh-CN"/>
        </w:rPr>
      </w:pPr>
      <w:r>
        <w:rPr>
          <w:rFonts w:ascii="宋体" w:hAnsi="宋体" w:eastAsia="宋体" w:cs="宋体"/>
          <w:spacing w:val="-3"/>
          <w:sz w:val="22"/>
          <w:szCs w:val="22"/>
          <w:highlight w:val="none"/>
          <w:lang w:eastAsia="zh-CN"/>
        </w:rPr>
        <w:t>（1）从业人员，是指期末从业人员数，没有期末从业人员数的，采用全年平均人员数代</w:t>
      </w:r>
      <w:r>
        <w:rPr>
          <w:rFonts w:ascii="宋体" w:hAnsi="宋体" w:eastAsia="宋体" w:cs="宋体"/>
          <w:spacing w:val="-13"/>
          <w:sz w:val="22"/>
          <w:szCs w:val="22"/>
          <w:highlight w:val="none"/>
          <w:lang w:eastAsia="zh-CN"/>
        </w:rPr>
        <w:t>替。</w:t>
      </w:r>
    </w:p>
    <w:p w14:paraId="3C76A819">
      <w:pPr>
        <w:spacing w:before="198" w:line="302" w:lineRule="auto"/>
        <w:ind w:left="277" w:right="267" w:firstLine="445"/>
        <w:rPr>
          <w:rFonts w:ascii="宋体" w:hAnsi="宋体" w:eastAsia="宋体" w:cs="宋体"/>
          <w:sz w:val="22"/>
          <w:szCs w:val="22"/>
          <w:highlight w:val="none"/>
          <w:lang w:eastAsia="zh-CN"/>
        </w:rPr>
      </w:pPr>
      <w:r>
        <w:rPr>
          <w:rFonts w:ascii="宋体" w:hAnsi="宋体" w:eastAsia="宋体" w:cs="宋体"/>
          <w:spacing w:val="-2"/>
          <w:sz w:val="22"/>
          <w:szCs w:val="22"/>
          <w:highlight w:val="none"/>
          <w:lang w:eastAsia="zh-CN"/>
        </w:rPr>
        <w:t>（2）营业收入，工业、建筑业、限额以上批发和零</w:t>
      </w:r>
      <w:r>
        <w:rPr>
          <w:rFonts w:ascii="宋体" w:hAnsi="宋体" w:eastAsia="宋体" w:cs="宋体"/>
          <w:spacing w:val="-3"/>
          <w:sz w:val="22"/>
          <w:szCs w:val="22"/>
          <w:highlight w:val="none"/>
          <w:lang w:eastAsia="zh-CN"/>
        </w:rPr>
        <w:t>售业、限额以上住宿和餐饮业以及其</w:t>
      </w:r>
      <w:r>
        <w:rPr>
          <w:rFonts w:ascii="宋体" w:hAnsi="宋体" w:eastAsia="宋体" w:cs="宋体"/>
          <w:spacing w:val="1"/>
          <w:sz w:val="22"/>
          <w:szCs w:val="22"/>
          <w:highlight w:val="none"/>
          <w:lang w:eastAsia="zh-CN"/>
        </w:rPr>
        <w:t>他设置主营业务收入指标的行业，采用主营业务收</w:t>
      </w:r>
      <w:r>
        <w:rPr>
          <w:rFonts w:ascii="宋体" w:hAnsi="宋体" w:eastAsia="宋体" w:cs="宋体"/>
          <w:sz w:val="22"/>
          <w:szCs w:val="22"/>
          <w:highlight w:val="none"/>
          <w:lang w:eastAsia="zh-CN"/>
        </w:rPr>
        <w:t>入；限额以下批发与零售业企业采用商品</w:t>
      </w:r>
      <w:r>
        <w:rPr>
          <w:rFonts w:ascii="宋体" w:hAnsi="宋体" w:eastAsia="宋体" w:cs="宋体"/>
          <w:spacing w:val="1"/>
          <w:sz w:val="22"/>
          <w:szCs w:val="22"/>
          <w:highlight w:val="none"/>
          <w:lang w:eastAsia="zh-CN"/>
        </w:rPr>
        <w:t>销售额代替；限额以下住宿与餐饮业企业采用营</w:t>
      </w:r>
      <w:r>
        <w:rPr>
          <w:rFonts w:ascii="宋体" w:hAnsi="宋体" w:eastAsia="宋体" w:cs="宋体"/>
          <w:sz w:val="22"/>
          <w:szCs w:val="22"/>
          <w:highlight w:val="none"/>
          <w:lang w:eastAsia="zh-CN"/>
        </w:rPr>
        <w:t>业额代替；农、林、牧、渔业企业采用营业</w:t>
      </w:r>
      <w:r>
        <w:rPr>
          <w:rFonts w:ascii="宋体" w:hAnsi="宋体" w:eastAsia="宋体" w:cs="宋体"/>
          <w:spacing w:val="-1"/>
          <w:sz w:val="22"/>
          <w:szCs w:val="22"/>
          <w:highlight w:val="none"/>
          <w:lang w:eastAsia="zh-CN"/>
        </w:rPr>
        <w:t>总收入代替；其他未设置主营业务收入的行业，采用营业收入指标。</w:t>
      </w:r>
    </w:p>
    <w:p w14:paraId="34BFC1E2">
      <w:pPr>
        <w:spacing w:line="219" w:lineRule="auto"/>
        <w:ind w:left="463"/>
        <w:rPr>
          <w:rFonts w:ascii="宋体" w:hAnsi="宋体" w:eastAsia="宋体" w:cs="宋体"/>
          <w:sz w:val="22"/>
          <w:szCs w:val="22"/>
          <w:highlight w:val="none"/>
          <w:lang w:eastAsia="zh-CN"/>
        </w:rPr>
      </w:pPr>
      <w:r>
        <w:rPr>
          <w:rFonts w:ascii="宋体" w:hAnsi="宋体" w:eastAsia="宋体" w:cs="宋体"/>
          <w:spacing w:val="-2"/>
          <w:sz w:val="22"/>
          <w:szCs w:val="22"/>
          <w:highlight w:val="none"/>
          <w:lang w:eastAsia="zh-CN"/>
        </w:rPr>
        <w:t>（3）资产总额，采用资产总计代替。</w:t>
      </w:r>
    </w:p>
    <w:p w14:paraId="2796F952">
      <w:pPr>
        <w:pStyle w:val="4"/>
        <w:spacing w:line="287" w:lineRule="auto"/>
        <w:rPr>
          <w:highlight w:val="none"/>
          <w:lang w:eastAsia="zh-CN"/>
        </w:rPr>
      </w:pPr>
    </w:p>
    <w:p w14:paraId="58DB6871">
      <w:pPr>
        <w:spacing w:before="78" w:line="219" w:lineRule="auto"/>
        <w:ind w:left="56"/>
        <w:rPr>
          <w:rFonts w:ascii="黑体" w:hAnsi="黑体" w:eastAsia="黑体" w:cs="黑体"/>
          <w:spacing w:val="-9"/>
          <w:sz w:val="28"/>
          <w:szCs w:val="28"/>
          <w:highlight w:val="none"/>
          <w:lang w:eastAsia="zh-CN"/>
        </w:rPr>
      </w:pPr>
      <w:r>
        <w:rPr>
          <w:rFonts w:ascii="黑体" w:hAnsi="黑体" w:eastAsia="黑体" w:cs="黑体"/>
          <w:spacing w:val="-9"/>
          <w:sz w:val="28"/>
          <w:szCs w:val="28"/>
          <w:highlight w:val="none"/>
          <w:lang w:eastAsia="zh-CN"/>
        </w:rPr>
        <w:t>附件 2：</w:t>
      </w:r>
    </w:p>
    <w:p w14:paraId="3A7A6BC2">
      <w:pPr>
        <w:spacing w:before="166" w:line="219" w:lineRule="auto"/>
        <w:ind w:left="3754"/>
        <w:rPr>
          <w:rFonts w:ascii="宋体" w:hAnsi="宋体" w:eastAsia="宋体" w:cs="宋体"/>
          <w:sz w:val="28"/>
          <w:szCs w:val="28"/>
          <w:highlight w:val="none"/>
          <w:lang w:eastAsia="zh-CN"/>
        </w:rPr>
      </w:pPr>
      <w:r>
        <w:rPr>
          <w:rFonts w:ascii="宋体" w:hAnsi="宋体" w:eastAsia="宋体" w:cs="宋体"/>
          <w:b/>
          <w:bCs/>
          <w:spacing w:val="-5"/>
          <w:sz w:val="28"/>
          <w:szCs w:val="28"/>
          <w:highlight w:val="none"/>
          <w:lang w:eastAsia="zh-CN"/>
        </w:rPr>
        <w:t>质疑函范本</w:t>
      </w:r>
    </w:p>
    <w:p w14:paraId="527868AA">
      <w:pPr>
        <w:pStyle w:val="4"/>
        <w:spacing w:line="282" w:lineRule="auto"/>
        <w:rPr>
          <w:highlight w:val="none"/>
          <w:lang w:eastAsia="zh-CN"/>
        </w:rPr>
      </w:pPr>
    </w:p>
    <w:p w14:paraId="7D5BF1D6">
      <w:pPr>
        <w:spacing w:before="78" w:line="219" w:lineRule="auto"/>
        <w:ind w:left="524"/>
        <w:rPr>
          <w:rFonts w:ascii="宋体" w:hAnsi="宋体" w:eastAsia="宋体" w:cs="宋体"/>
          <w:sz w:val="24"/>
          <w:szCs w:val="24"/>
          <w:highlight w:val="none"/>
          <w:lang w:eastAsia="zh-CN"/>
        </w:rPr>
      </w:pPr>
      <w:r>
        <w:rPr>
          <w:rFonts w:ascii="宋体" w:hAnsi="宋体" w:eastAsia="宋体" w:cs="宋体"/>
          <w:b/>
          <w:bCs/>
          <w:spacing w:val="-5"/>
          <w:sz w:val="24"/>
          <w:szCs w:val="24"/>
          <w:highlight w:val="none"/>
          <w:lang w:eastAsia="zh-CN"/>
        </w:rPr>
        <w:t>一、质疑供应商基本信息</w:t>
      </w:r>
    </w:p>
    <w:p w14:paraId="6FFBBDA5">
      <w:pPr>
        <w:spacing w:before="274" w:line="219" w:lineRule="auto"/>
        <w:ind w:left="519"/>
        <w:rPr>
          <w:rFonts w:ascii="宋体" w:hAnsi="宋体" w:eastAsia="宋体" w:cs="宋体"/>
          <w:sz w:val="24"/>
          <w:szCs w:val="24"/>
          <w:highlight w:val="none"/>
          <w:lang w:eastAsia="zh-CN"/>
        </w:rPr>
      </w:pPr>
      <w:r>
        <w:rPr>
          <w:rFonts w:ascii="宋体" w:hAnsi="宋体" w:eastAsia="宋体" w:cs="宋体"/>
          <w:spacing w:val="-10"/>
          <w:sz w:val="24"/>
          <w:szCs w:val="24"/>
          <w:highlight w:val="none"/>
          <w:lang w:eastAsia="zh-CN"/>
        </w:rPr>
        <w:t>质疑供应商：</w:t>
      </w:r>
    </w:p>
    <w:p w14:paraId="496E3560">
      <w:pPr>
        <w:spacing w:before="276" w:line="220" w:lineRule="auto"/>
        <w:ind w:left="518"/>
        <w:rPr>
          <w:rFonts w:ascii="宋体" w:hAnsi="宋体" w:eastAsia="宋体" w:cs="宋体"/>
          <w:sz w:val="24"/>
          <w:szCs w:val="24"/>
          <w:highlight w:val="none"/>
          <w:lang w:eastAsia="zh-CN"/>
        </w:rPr>
      </w:pPr>
      <w:r>
        <w:rPr>
          <w:rFonts w:ascii="宋体" w:hAnsi="宋体" w:eastAsia="宋体" w:cs="宋体"/>
          <w:spacing w:val="-9"/>
          <w:sz w:val="24"/>
          <w:szCs w:val="24"/>
          <w:highlight w:val="none"/>
          <w:lang w:eastAsia="zh-CN"/>
        </w:rPr>
        <w:t>地址：邮编：</w:t>
      </w:r>
    </w:p>
    <w:p w14:paraId="50901F3C">
      <w:pPr>
        <w:spacing w:before="273" w:line="222" w:lineRule="auto"/>
        <w:ind w:left="519"/>
        <w:rPr>
          <w:rFonts w:ascii="宋体" w:hAnsi="宋体" w:eastAsia="宋体" w:cs="宋体"/>
          <w:sz w:val="24"/>
          <w:szCs w:val="24"/>
          <w:highlight w:val="none"/>
          <w:lang w:eastAsia="zh-CN"/>
        </w:rPr>
      </w:pPr>
      <w:r>
        <w:rPr>
          <w:rFonts w:ascii="宋体" w:hAnsi="宋体" w:eastAsia="宋体" w:cs="宋体"/>
          <w:spacing w:val="-7"/>
          <w:sz w:val="24"/>
          <w:szCs w:val="24"/>
          <w:highlight w:val="none"/>
          <w:lang w:eastAsia="zh-CN"/>
        </w:rPr>
        <w:t>联系人：</w:t>
      </w:r>
      <w:r>
        <w:rPr>
          <w:rFonts w:ascii="宋体" w:hAnsi="宋体" w:eastAsia="宋体" w:cs="宋体"/>
          <w:sz w:val="24"/>
          <w:szCs w:val="24"/>
          <w:highlight w:val="none"/>
          <w:lang w:eastAsia="zh-CN"/>
        </w:rPr>
        <w:t xml:space="preserve">                           </w:t>
      </w:r>
      <w:r>
        <w:rPr>
          <w:rFonts w:ascii="宋体" w:hAnsi="宋体" w:eastAsia="宋体" w:cs="宋体"/>
          <w:spacing w:val="-7"/>
          <w:sz w:val="24"/>
          <w:szCs w:val="24"/>
          <w:highlight w:val="none"/>
          <w:lang w:eastAsia="zh-CN"/>
        </w:rPr>
        <w:t>联系电话：</w:t>
      </w:r>
    </w:p>
    <w:p w14:paraId="03C04F1D">
      <w:pPr>
        <w:spacing w:before="270" w:line="220" w:lineRule="auto"/>
        <w:ind w:left="517"/>
        <w:rPr>
          <w:rFonts w:ascii="宋体" w:hAnsi="宋体" w:eastAsia="宋体" w:cs="宋体"/>
          <w:sz w:val="24"/>
          <w:szCs w:val="24"/>
          <w:highlight w:val="none"/>
          <w:lang w:eastAsia="zh-CN"/>
        </w:rPr>
      </w:pPr>
      <w:r>
        <w:rPr>
          <w:rFonts w:ascii="宋体" w:hAnsi="宋体" w:eastAsia="宋体" w:cs="宋体"/>
          <w:spacing w:val="-11"/>
          <w:sz w:val="24"/>
          <w:szCs w:val="24"/>
          <w:highlight w:val="none"/>
          <w:lang w:eastAsia="zh-CN"/>
        </w:rPr>
        <w:t>授权代表：</w:t>
      </w:r>
    </w:p>
    <w:p w14:paraId="505B22BB">
      <w:pPr>
        <w:spacing w:before="277" w:line="222" w:lineRule="auto"/>
        <w:ind w:left="519"/>
        <w:rPr>
          <w:rFonts w:ascii="宋体" w:hAnsi="宋体" w:eastAsia="宋体" w:cs="宋体"/>
          <w:sz w:val="24"/>
          <w:szCs w:val="24"/>
          <w:highlight w:val="none"/>
          <w:lang w:eastAsia="zh-CN"/>
        </w:rPr>
      </w:pPr>
      <w:r>
        <w:rPr>
          <w:rFonts w:ascii="宋体" w:hAnsi="宋体" w:eastAsia="宋体" w:cs="宋体"/>
          <w:spacing w:val="-11"/>
          <w:sz w:val="24"/>
          <w:szCs w:val="24"/>
          <w:highlight w:val="none"/>
          <w:lang w:eastAsia="zh-CN"/>
        </w:rPr>
        <w:t>联系电话：</w:t>
      </w:r>
    </w:p>
    <w:p w14:paraId="6DA6D754">
      <w:pPr>
        <w:spacing w:before="270" w:line="220" w:lineRule="auto"/>
        <w:ind w:left="518"/>
        <w:rPr>
          <w:rFonts w:ascii="宋体" w:hAnsi="宋体" w:eastAsia="宋体" w:cs="宋体"/>
          <w:sz w:val="24"/>
          <w:szCs w:val="24"/>
          <w:highlight w:val="none"/>
          <w:lang w:eastAsia="zh-CN"/>
        </w:rPr>
      </w:pPr>
      <w:r>
        <w:rPr>
          <w:rFonts w:ascii="宋体" w:hAnsi="宋体" w:eastAsia="宋体" w:cs="宋体"/>
          <w:spacing w:val="-9"/>
          <w:sz w:val="24"/>
          <w:szCs w:val="24"/>
          <w:highlight w:val="none"/>
          <w:lang w:eastAsia="zh-CN"/>
        </w:rPr>
        <w:t>地址：邮编：</w:t>
      </w:r>
    </w:p>
    <w:p w14:paraId="271AA449">
      <w:pPr>
        <w:spacing w:before="274" w:line="219" w:lineRule="auto"/>
        <w:ind w:left="524"/>
        <w:rPr>
          <w:rFonts w:ascii="宋体" w:hAnsi="宋体" w:eastAsia="宋体" w:cs="宋体"/>
          <w:sz w:val="24"/>
          <w:szCs w:val="24"/>
          <w:highlight w:val="none"/>
          <w:lang w:eastAsia="zh-CN"/>
        </w:rPr>
      </w:pPr>
      <w:r>
        <w:rPr>
          <w:rFonts w:ascii="宋体" w:hAnsi="宋体" w:eastAsia="宋体" w:cs="宋体"/>
          <w:b/>
          <w:bCs/>
          <w:spacing w:val="-3"/>
          <w:sz w:val="24"/>
          <w:szCs w:val="24"/>
          <w:highlight w:val="none"/>
          <w:lang w:eastAsia="zh-CN"/>
        </w:rPr>
        <w:t>二、质疑项目基本情况</w:t>
      </w:r>
    </w:p>
    <w:p w14:paraId="7A93C3A2">
      <w:pPr>
        <w:spacing w:before="277" w:line="220" w:lineRule="auto"/>
        <w:ind w:left="519"/>
        <w:rPr>
          <w:rFonts w:ascii="宋体" w:hAnsi="宋体" w:eastAsia="宋体" w:cs="宋体"/>
          <w:sz w:val="24"/>
          <w:szCs w:val="24"/>
          <w:highlight w:val="none"/>
          <w:lang w:eastAsia="zh-CN"/>
        </w:rPr>
      </w:pPr>
      <w:r>
        <w:rPr>
          <w:rFonts w:ascii="宋体" w:hAnsi="宋体" w:eastAsia="宋体" w:cs="宋体"/>
          <w:spacing w:val="-8"/>
          <w:sz w:val="24"/>
          <w:szCs w:val="24"/>
          <w:highlight w:val="none"/>
          <w:lang w:eastAsia="zh-CN"/>
        </w:rPr>
        <w:t>质疑项目的名称：</w:t>
      </w:r>
    </w:p>
    <w:p w14:paraId="753854AF">
      <w:pPr>
        <w:spacing w:before="272" w:line="220" w:lineRule="auto"/>
        <w:ind w:left="519"/>
        <w:rPr>
          <w:rFonts w:ascii="宋体" w:hAnsi="宋体" w:eastAsia="宋体" w:cs="宋体"/>
          <w:sz w:val="24"/>
          <w:szCs w:val="24"/>
          <w:highlight w:val="none"/>
          <w:lang w:eastAsia="zh-CN"/>
        </w:rPr>
      </w:pPr>
      <w:r>
        <w:rPr>
          <w:rFonts w:ascii="宋体" w:hAnsi="宋体" w:eastAsia="宋体" w:cs="宋体"/>
          <w:spacing w:val="-4"/>
          <w:sz w:val="24"/>
          <w:szCs w:val="24"/>
          <w:highlight w:val="none"/>
          <w:lang w:eastAsia="zh-CN"/>
        </w:rPr>
        <w:t>质疑项目的编号： 包号：</w:t>
      </w:r>
    </w:p>
    <w:p w14:paraId="10800258">
      <w:pPr>
        <w:spacing w:before="274" w:line="219" w:lineRule="auto"/>
        <w:ind w:left="517"/>
        <w:rPr>
          <w:rFonts w:ascii="宋体" w:hAnsi="宋体" w:eastAsia="宋体" w:cs="宋体"/>
          <w:sz w:val="24"/>
          <w:szCs w:val="24"/>
          <w:highlight w:val="none"/>
          <w:lang w:eastAsia="zh-CN"/>
        </w:rPr>
      </w:pPr>
      <w:r>
        <w:rPr>
          <w:rFonts w:ascii="宋体" w:hAnsi="宋体" w:eastAsia="宋体" w:cs="宋体"/>
          <w:spacing w:val="-9"/>
          <w:sz w:val="24"/>
          <w:szCs w:val="24"/>
          <w:highlight w:val="none"/>
          <w:lang w:eastAsia="zh-CN"/>
        </w:rPr>
        <w:t>采购人名称：</w:t>
      </w:r>
    </w:p>
    <w:p w14:paraId="6CCDEA60">
      <w:pPr>
        <w:spacing w:before="277" w:line="220" w:lineRule="auto"/>
        <w:ind w:left="519"/>
        <w:rPr>
          <w:rFonts w:ascii="宋体" w:hAnsi="宋体" w:eastAsia="宋体" w:cs="宋体"/>
          <w:sz w:val="24"/>
          <w:szCs w:val="24"/>
          <w:highlight w:val="none"/>
          <w:lang w:eastAsia="zh-CN"/>
        </w:rPr>
      </w:pPr>
      <w:r>
        <w:rPr>
          <w:rFonts w:ascii="宋体" w:hAnsi="宋体" w:eastAsia="宋体" w:cs="宋体"/>
          <w:spacing w:val="3"/>
          <w:sz w:val="24"/>
          <w:szCs w:val="24"/>
          <w:highlight w:val="none"/>
          <w:lang w:eastAsia="zh-CN"/>
        </w:rPr>
        <w:t>招标文件获取日期:</w:t>
      </w:r>
    </w:p>
    <w:p w14:paraId="3A58E8BC">
      <w:pPr>
        <w:spacing w:before="273" w:line="220" w:lineRule="auto"/>
        <w:ind w:left="520"/>
        <w:rPr>
          <w:rFonts w:ascii="宋体" w:hAnsi="宋体" w:eastAsia="宋体" w:cs="宋体"/>
          <w:sz w:val="24"/>
          <w:szCs w:val="24"/>
          <w:highlight w:val="none"/>
          <w:lang w:eastAsia="zh-CN"/>
        </w:rPr>
      </w:pPr>
      <w:r>
        <w:rPr>
          <w:rFonts w:ascii="宋体" w:hAnsi="宋体" w:eastAsia="宋体" w:cs="宋体"/>
          <w:b/>
          <w:bCs/>
          <w:spacing w:val="-3"/>
          <w:sz w:val="24"/>
          <w:szCs w:val="24"/>
          <w:highlight w:val="none"/>
          <w:lang w:eastAsia="zh-CN"/>
        </w:rPr>
        <w:t>三、质疑事项具体内容</w:t>
      </w:r>
    </w:p>
    <w:p w14:paraId="208B2D8F">
      <w:pPr>
        <w:spacing w:before="274" w:line="220" w:lineRule="auto"/>
        <w:ind w:left="519"/>
        <w:rPr>
          <w:rFonts w:ascii="宋体" w:hAnsi="宋体" w:eastAsia="宋体" w:cs="宋体"/>
          <w:sz w:val="24"/>
          <w:szCs w:val="24"/>
          <w:highlight w:val="none"/>
          <w:lang w:eastAsia="zh-CN"/>
        </w:rPr>
      </w:pPr>
      <w:r>
        <w:rPr>
          <w:rFonts w:ascii="宋体" w:hAnsi="宋体" w:eastAsia="宋体" w:cs="宋体"/>
          <w:spacing w:val="-4"/>
          <w:sz w:val="24"/>
          <w:szCs w:val="24"/>
          <w:highlight w:val="none"/>
          <w:lang w:eastAsia="zh-CN"/>
        </w:rPr>
        <w:t>质疑事项</w:t>
      </w:r>
      <w:r>
        <w:rPr>
          <w:rFonts w:ascii="宋体" w:hAnsi="宋体" w:eastAsia="宋体" w:cs="宋体"/>
          <w:spacing w:val="-33"/>
          <w:sz w:val="24"/>
          <w:szCs w:val="24"/>
          <w:highlight w:val="none"/>
          <w:lang w:eastAsia="zh-CN"/>
        </w:rPr>
        <w:t xml:space="preserve"> </w:t>
      </w:r>
      <w:r>
        <w:rPr>
          <w:rFonts w:ascii="宋体" w:hAnsi="宋体" w:eastAsia="宋体" w:cs="宋体"/>
          <w:spacing w:val="-4"/>
          <w:sz w:val="24"/>
          <w:szCs w:val="24"/>
          <w:highlight w:val="none"/>
          <w:lang w:eastAsia="zh-CN"/>
        </w:rPr>
        <w:t>1:</w:t>
      </w:r>
    </w:p>
    <w:p w14:paraId="56202596">
      <w:pPr>
        <w:spacing w:before="275" w:line="219" w:lineRule="auto"/>
        <w:ind w:left="518"/>
        <w:rPr>
          <w:rFonts w:ascii="宋体" w:hAnsi="宋体" w:eastAsia="宋体" w:cs="宋体"/>
          <w:sz w:val="24"/>
          <w:szCs w:val="24"/>
          <w:highlight w:val="none"/>
          <w:lang w:eastAsia="zh-CN"/>
        </w:rPr>
      </w:pPr>
      <w:r>
        <w:rPr>
          <w:rFonts w:ascii="宋体" w:hAnsi="宋体" w:eastAsia="宋体" w:cs="宋体"/>
          <w:spacing w:val="-11"/>
          <w:sz w:val="24"/>
          <w:szCs w:val="24"/>
          <w:highlight w:val="none"/>
          <w:lang w:eastAsia="zh-CN"/>
        </w:rPr>
        <w:t>事实依据：</w:t>
      </w:r>
    </w:p>
    <w:p w14:paraId="3F4556E0">
      <w:pPr>
        <w:spacing w:before="275" w:line="219" w:lineRule="auto"/>
        <w:ind w:left="519"/>
        <w:rPr>
          <w:rFonts w:ascii="宋体" w:hAnsi="宋体" w:eastAsia="宋体" w:cs="宋体"/>
          <w:sz w:val="24"/>
          <w:szCs w:val="24"/>
          <w:highlight w:val="none"/>
          <w:lang w:eastAsia="zh-CN"/>
        </w:rPr>
      </w:pPr>
      <w:r>
        <w:rPr>
          <w:rFonts w:ascii="宋体" w:hAnsi="宋体" w:eastAsia="宋体" w:cs="宋体"/>
          <w:spacing w:val="-11"/>
          <w:sz w:val="24"/>
          <w:szCs w:val="24"/>
          <w:highlight w:val="none"/>
          <w:lang w:eastAsia="zh-CN"/>
        </w:rPr>
        <w:t>法律依据：</w:t>
      </w:r>
    </w:p>
    <w:p w14:paraId="6CC7A53E">
      <w:pPr>
        <w:spacing w:before="275" w:line="220" w:lineRule="auto"/>
        <w:ind w:left="519"/>
        <w:rPr>
          <w:rFonts w:ascii="宋体" w:hAnsi="宋体" w:eastAsia="宋体" w:cs="宋体"/>
          <w:sz w:val="24"/>
          <w:szCs w:val="24"/>
          <w:highlight w:val="none"/>
          <w:lang w:eastAsia="zh-CN"/>
        </w:rPr>
      </w:pPr>
      <w:r>
        <w:rPr>
          <w:rFonts w:ascii="宋体" w:hAnsi="宋体" w:eastAsia="宋体" w:cs="宋体"/>
          <w:spacing w:val="-3"/>
          <w:sz w:val="24"/>
          <w:szCs w:val="24"/>
          <w:highlight w:val="none"/>
          <w:lang w:eastAsia="zh-CN"/>
        </w:rPr>
        <w:t>质疑事项</w:t>
      </w:r>
      <w:r>
        <w:rPr>
          <w:rFonts w:ascii="宋体" w:hAnsi="宋体" w:eastAsia="宋体" w:cs="宋体"/>
          <w:spacing w:val="-45"/>
          <w:sz w:val="24"/>
          <w:szCs w:val="24"/>
          <w:highlight w:val="none"/>
          <w:lang w:eastAsia="zh-CN"/>
        </w:rPr>
        <w:t xml:space="preserve"> </w:t>
      </w:r>
      <w:r>
        <w:rPr>
          <w:rFonts w:ascii="宋体" w:hAnsi="宋体" w:eastAsia="宋体" w:cs="宋体"/>
          <w:spacing w:val="-3"/>
          <w:sz w:val="24"/>
          <w:szCs w:val="24"/>
          <w:highlight w:val="none"/>
          <w:lang w:eastAsia="zh-CN"/>
        </w:rPr>
        <w:t>2</w:t>
      </w:r>
    </w:p>
    <w:p w14:paraId="37481DA2">
      <w:pPr>
        <w:spacing w:before="275" w:line="378" w:lineRule="exact"/>
        <w:ind w:left="533"/>
        <w:rPr>
          <w:rFonts w:ascii="宋体" w:hAnsi="宋体" w:eastAsia="宋体" w:cs="宋体"/>
          <w:sz w:val="24"/>
          <w:szCs w:val="24"/>
          <w:highlight w:val="none"/>
          <w:lang w:eastAsia="zh-CN"/>
        </w:rPr>
      </w:pPr>
      <w:r>
        <w:rPr>
          <w:rFonts w:ascii="宋体" w:hAnsi="宋体" w:eastAsia="宋体" w:cs="宋体"/>
          <w:spacing w:val="-7"/>
          <w:position w:val="3"/>
          <w:sz w:val="24"/>
          <w:szCs w:val="24"/>
          <w:highlight w:val="none"/>
          <w:lang w:eastAsia="zh-CN"/>
        </w:rPr>
        <w:t>……</w:t>
      </w:r>
    </w:p>
    <w:p w14:paraId="1F3FB5C0">
      <w:pPr>
        <w:spacing w:before="182" w:line="220" w:lineRule="auto"/>
        <w:ind w:left="543"/>
        <w:rPr>
          <w:rFonts w:ascii="宋体" w:hAnsi="宋体" w:eastAsia="宋体" w:cs="宋体"/>
          <w:sz w:val="24"/>
          <w:szCs w:val="24"/>
          <w:highlight w:val="none"/>
          <w:lang w:eastAsia="zh-CN"/>
        </w:rPr>
      </w:pPr>
      <w:r>
        <w:rPr>
          <w:rFonts w:ascii="宋体" w:hAnsi="宋体" w:eastAsia="宋体" w:cs="宋体"/>
          <w:b/>
          <w:bCs/>
          <w:spacing w:val="-4"/>
          <w:sz w:val="24"/>
          <w:szCs w:val="24"/>
          <w:highlight w:val="none"/>
          <w:lang w:eastAsia="zh-CN"/>
        </w:rPr>
        <w:t>四、与质疑事项相关的质疑请求</w:t>
      </w:r>
    </w:p>
    <w:p w14:paraId="7E7A2072">
      <w:pPr>
        <w:spacing w:before="273" w:line="220" w:lineRule="auto"/>
        <w:ind w:left="516"/>
        <w:rPr>
          <w:rFonts w:ascii="宋体" w:hAnsi="宋体" w:eastAsia="宋体" w:cs="宋体"/>
          <w:sz w:val="24"/>
          <w:szCs w:val="24"/>
          <w:highlight w:val="none"/>
          <w:lang w:eastAsia="zh-CN"/>
        </w:rPr>
      </w:pPr>
      <w:r>
        <w:rPr>
          <w:rFonts w:ascii="宋体" w:hAnsi="宋体" w:eastAsia="宋体" w:cs="宋体"/>
          <w:spacing w:val="-14"/>
          <w:sz w:val="24"/>
          <w:szCs w:val="24"/>
          <w:highlight w:val="none"/>
          <w:lang w:eastAsia="zh-CN"/>
        </w:rPr>
        <w:t>请求：</w:t>
      </w:r>
    </w:p>
    <w:p w14:paraId="7DBA2361">
      <w:pPr>
        <w:spacing w:before="276" w:line="219" w:lineRule="auto"/>
        <w:ind w:left="518"/>
        <w:rPr>
          <w:rFonts w:ascii="宋体" w:hAnsi="宋体" w:eastAsia="宋体" w:cs="宋体"/>
          <w:sz w:val="24"/>
          <w:szCs w:val="24"/>
          <w:highlight w:val="none"/>
          <w:lang w:eastAsia="zh-CN"/>
        </w:rPr>
      </w:pPr>
      <w:r>
        <w:rPr>
          <w:rFonts w:ascii="宋体" w:hAnsi="宋体" w:eastAsia="宋体" w:cs="宋体"/>
          <w:spacing w:val="-6"/>
          <w:sz w:val="24"/>
          <w:szCs w:val="24"/>
          <w:highlight w:val="none"/>
          <w:lang w:eastAsia="zh-CN"/>
        </w:rPr>
        <w:t>签字(签章)：</w:t>
      </w:r>
      <w:r>
        <w:rPr>
          <w:rFonts w:ascii="宋体" w:hAnsi="宋体" w:eastAsia="宋体" w:cs="宋体"/>
          <w:spacing w:val="6"/>
          <w:sz w:val="24"/>
          <w:szCs w:val="24"/>
          <w:highlight w:val="none"/>
          <w:lang w:eastAsia="zh-CN"/>
        </w:rPr>
        <w:t xml:space="preserve">   </w:t>
      </w:r>
      <w:r>
        <w:rPr>
          <w:rFonts w:ascii="宋体" w:hAnsi="宋体" w:eastAsia="宋体" w:cs="宋体"/>
          <w:spacing w:val="-6"/>
          <w:sz w:val="24"/>
          <w:szCs w:val="24"/>
          <w:highlight w:val="none"/>
          <w:lang w:eastAsia="zh-CN"/>
        </w:rPr>
        <w:t>公章：</w:t>
      </w:r>
    </w:p>
    <w:p w14:paraId="1CD1AE90">
      <w:pPr>
        <w:spacing w:before="275" w:line="220" w:lineRule="auto"/>
        <w:ind w:left="559"/>
        <w:rPr>
          <w:rFonts w:ascii="宋体" w:hAnsi="宋体" w:eastAsia="宋体" w:cs="宋体"/>
          <w:sz w:val="24"/>
          <w:szCs w:val="24"/>
          <w:highlight w:val="none"/>
          <w:lang w:eastAsia="zh-CN"/>
        </w:rPr>
      </w:pPr>
      <w:r>
        <w:rPr>
          <w:rFonts w:ascii="宋体" w:hAnsi="宋体" w:eastAsia="宋体" w:cs="宋体"/>
          <w:spacing w:val="-24"/>
          <w:sz w:val="24"/>
          <w:szCs w:val="24"/>
          <w:highlight w:val="none"/>
          <w:lang w:eastAsia="zh-CN"/>
        </w:rPr>
        <w:t>日期：</w:t>
      </w:r>
    </w:p>
    <w:p w14:paraId="19951129">
      <w:pPr>
        <w:spacing w:before="272" w:line="220" w:lineRule="auto"/>
        <w:ind w:left="521"/>
        <w:rPr>
          <w:rFonts w:ascii="宋体" w:hAnsi="宋体" w:eastAsia="宋体" w:cs="宋体"/>
          <w:sz w:val="24"/>
          <w:szCs w:val="24"/>
          <w:highlight w:val="none"/>
          <w:lang w:eastAsia="zh-CN"/>
        </w:rPr>
      </w:pPr>
      <w:r>
        <w:rPr>
          <w:rFonts w:ascii="宋体" w:hAnsi="宋体" w:eastAsia="宋体" w:cs="宋体"/>
          <w:b/>
          <w:bCs/>
          <w:spacing w:val="-7"/>
          <w:sz w:val="24"/>
          <w:szCs w:val="24"/>
          <w:highlight w:val="none"/>
          <w:lang w:eastAsia="zh-CN"/>
        </w:rPr>
        <w:t>质疑函制作说明：</w:t>
      </w:r>
    </w:p>
    <w:p w14:paraId="65BF0C4F">
      <w:pPr>
        <w:spacing w:before="78" w:line="219" w:lineRule="auto"/>
        <w:ind w:left="535"/>
        <w:rPr>
          <w:rFonts w:ascii="宋体" w:hAnsi="宋体" w:eastAsia="宋体" w:cs="宋体"/>
          <w:sz w:val="24"/>
          <w:szCs w:val="24"/>
          <w:highlight w:val="none"/>
          <w:lang w:eastAsia="zh-CN"/>
        </w:rPr>
      </w:pPr>
      <w:r>
        <w:rPr>
          <w:rFonts w:ascii="宋体" w:hAnsi="宋体" w:eastAsia="宋体" w:cs="宋体"/>
          <w:spacing w:val="-3"/>
          <w:sz w:val="24"/>
          <w:szCs w:val="24"/>
          <w:highlight w:val="none"/>
          <w:lang w:eastAsia="zh-CN"/>
        </w:rPr>
        <w:t>1.供应商提出质疑时，应提交质疑函和必要的证明材料。</w:t>
      </w:r>
    </w:p>
    <w:p w14:paraId="4A78390A">
      <w:pPr>
        <w:spacing w:before="273" w:line="361" w:lineRule="auto"/>
        <w:ind w:left="41" w:right="30" w:firstLine="478"/>
        <w:rPr>
          <w:rFonts w:ascii="宋体" w:hAnsi="宋体" w:eastAsia="宋体" w:cs="宋体"/>
          <w:sz w:val="24"/>
          <w:szCs w:val="24"/>
          <w:highlight w:val="none"/>
          <w:lang w:eastAsia="zh-CN"/>
        </w:rPr>
      </w:pPr>
      <w:r>
        <w:rPr>
          <w:rFonts w:ascii="宋体" w:hAnsi="宋体" w:eastAsia="宋体" w:cs="宋体"/>
          <w:spacing w:val="-2"/>
          <w:sz w:val="24"/>
          <w:szCs w:val="24"/>
          <w:highlight w:val="none"/>
          <w:lang w:eastAsia="zh-CN"/>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CEAFE68">
      <w:pPr>
        <w:spacing w:before="273" w:line="219" w:lineRule="auto"/>
        <w:ind w:left="522"/>
        <w:rPr>
          <w:rFonts w:ascii="宋体" w:hAnsi="宋体" w:eastAsia="宋体" w:cs="宋体"/>
          <w:sz w:val="24"/>
          <w:szCs w:val="24"/>
          <w:highlight w:val="none"/>
          <w:lang w:eastAsia="zh-CN"/>
        </w:rPr>
      </w:pPr>
      <w:r>
        <w:rPr>
          <w:rFonts w:ascii="宋体" w:hAnsi="宋体" w:eastAsia="宋体" w:cs="宋体"/>
          <w:spacing w:val="-1"/>
          <w:sz w:val="24"/>
          <w:szCs w:val="24"/>
          <w:highlight w:val="none"/>
          <w:lang w:eastAsia="zh-CN"/>
        </w:rPr>
        <w:t>3.质疑供应商若对项目的某一分包进行质</w:t>
      </w:r>
      <w:r>
        <w:rPr>
          <w:rFonts w:ascii="宋体" w:hAnsi="宋体" w:eastAsia="宋体" w:cs="宋体"/>
          <w:spacing w:val="-2"/>
          <w:sz w:val="24"/>
          <w:szCs w:val="24"/>
          <w:highlight w:val="none"/>
          <w:lang w:eastAsia="zh-CN"/>
        </w:rPr>
        <w:t>疑，质疑函中应列明具体分包号。</w:t>
      </w:r>
    </w:p>
    <w:p w14:paraId="46AE580A">
      <w:pPr>
        <w:spacing w:before="276" w:line="219" w:lineRule="auto"/>
        <w:ind w:left="517"/>
        <w:rPr>
          <w:rFonts w:ascii="宋体" w:hAnsi="宋体" w:eastAsia="宋体" w:cs="宋体"/>
          <w:sz w:val="24"/>
          <w:szCs w:val="24"/>
          <w:highlight w:val="none"/>
          <w:lang w:eastAsia="zh-CN"/>
        </w:rPr>
      </w:pPr>
      <w:r>
        <w:rPr>
          <w:rFonts w:ascii="宋体" w:hAnsi="宋体" w:eastAsia="宋体" w:cs="宋体"/>
          <w:spacing w:val="-1"/>
          <w:sz w:val="24"/>
          <w:szCs w:val="24"/>
          <w:highlight w:val="none"/>
          <w:lang w:eastAsia="zh-CN"/>
        </w:rPr>
        <w:t>4.质疑函的质疑事项应具体、明确，并有必</w:t>
      </w:r>
      <w:r>
        <w:rPr>
          <w:rFonts w:ascii="宋体" w:hAnsi="宋体" w:eastAsia="宋体" w:cs="宋体"/>
          <w:spacing w:val="-2"/>
          <w:sz w:val="24"/>
          <w:szCs w:val="24"/>
          <w:highlight w:val="none"/>
          <w:lang w:eastAsia="zh-CN"/>
        </w:rPr>
        <w:t>要的事实依据和法律依据。</w:t>
      </w:r>
    </w:p>
    <w:p w14:paraId="05977A6F">
      <w:pPr>
        <w:spacing w:before="275" w:line="220" w:lineRule="auto"/>
        <w:ind w:left="522"/>
        <w:rPr>
          <w:rFonts w:ascii="宋体" w:hAnsi="宋体" w:eastAsia="宋体" w:cs="宋体"/>
          <w:sz w:val="24"/>
          <w:szCs w:val="24"/>
          <w:highlight w:val="none"/>
          <w:lang w:eastAsia="zh-CN"/>
        </w:rPr>
      </w:pPr>
      <w:r>
        <w:rPr>
          <w:rFonts w:ascii="宋体" w:hAnsi="宋体" w:eastAsia="宋体" w:cs="宋体"/>
          <w:spacing w:val="-3"/>
          <w:sz w:val="24"/>
          <w:szCs w:val="24"/>
          <w:highlight w:val="none"/>
          <w:lang w:eastAsia="zh-CN"/>
        </w:rPr>
        <w:t>5.质疑函的质疑请求应与质疑事项相关。</w:t>
      </w:r>
    </w:p>
    <w:p w14:paraId="34386DC5">
      <w:pPr>
        <w:spacing w:before="274" w:line="360" w:lineRule="auto"/>
        <w:ind w:left="41" w:right="29" w:firstLine="478"/>
        <w:rPr>
          <w:rFonts w:ascii="宋体" w:hAnsi="宋体" w:eastAsia="宋体" w:cs="宋体"/>
          <w:sz w:val="24"/>
          <w:szCs w:val="24"/>
          <w:highlight w:val="none"/>
          <w:lang w:eastAsia="zh-CN"/>
        </w:rPr>
      </w:pPr>
      <w:r>
        <w:rPr>
          <w:rFonts w:ascii="宋体" w:hAnsi="宋体" w:eastAsia="宋体" w:cs="宋体"/>
          <w:spacing w:val="-2"/>
          <w:sz w:val="24"/>
          <w:szCs w:val="24"/>
          <w:highlight w:val="none"/>
          <w:lang w:eastAsia="zh-CN"/>
        </w:rPr>
        <w:t>6.质疑供应商为自然人的，质疑函应由本人签字；质疑供应商为法人或者其他组</w:t>
      </w:r>
      <w:r>
        <w:rPr>
          <w:rFonts w:ascii="宋体" w:hAnsi="宋体" w:eastAsia="宋体" w:cs="宋体"/>
          <w:spacing w:val="-6"/>
          <w:sz w:val="24"/>
          <w:szCs w:val="24"/>
          <w:highlight w:val="none"/>
          <w:lang w:eastAsia="zh-CN"/>
        </w:rPr>
        <w:t>织的，质疑函应由法定代表人、主要负责人，</w:t>
      </w:r>
      <w:r>
        <w:rPr>
          <w:rFonts w:ascii="宋体" w:hAnsi="宋体" w:eastAsia="宋体" w:cs="宋体"/>
          <w:spacing w:val="53"/>
          <w:sz w:val="24"/>
          <w:szCs w:val="24"/>
          <w:highlight w:val="none"/>
          <w:lang w:eastAsia="zh-CN"/>
        </w:rPr>
        <w:t xml:space="preserve"> </w:t>
      </w:r>
      <w:r>
        <w:rPr>
          <w:rFonts w:ascii="宋体" w:hAnsi="宋体" w:eastAsia="宋体" w:cs="宋体"/>
          <w:spacing w:val="-6"/>
          <w:sz w:val="24"/>
          <w:szCs w:val="24"/>
          <w:highlight w:val="none"/>
          <w:lang w:eastAsia="zh-CN"/>
        </w:rPr>
        <w:t>或者其</w:t>
      </w:r>
      <w:r>
        <w:rPr>
          <w:rFonts w:ascii="宋体" w:hAnsi="宋体" w:eastAsia="宋体" w:cs="宋体"/>
          <w:spacing w:val="-7"/>
          <w:sz w:val="24"/>
          <w:szCs w:val="24"/>
          <w:highlight w:val="none"/>
          <w:lang w:eastAsia="zh-CN"/>
        </w:rPr>
        <w:t>授权代表签字或者盖章，并加盖</w:t>
      </w:r>
      <w:r>
        <w:rPr>
          <w:rFonts w:ascii="宋体" w:hAnsi="宋体" w:eastAsia="宋体" w:cs="宋体"/>
          <w:spacing w:val="-11"/>
          <w:sz w:val="24"/>
          <w:szCs w:val="24"/>
          <w:highlight w:val="none"/>
          <w:lang w:eastAsia="zh-CN"/>
        </w:rPr>
        <w:t>公章。</w:t>
      </w:r>
    </w:p>
    <w:p w14:paraId="71365FDC">
      <w:pPr>
        <w:pStyle w:val="4"/>
        <w:spacing w:line="246" w:lineRule="auto"/>
        <w:rPr>
          <w:rFonts w:eastAsiaTheme="minorEastAsia"/>
          <w:highlight w:val="none"/>
          <w:lang w:eastAsia="zh-CN"/>
        </w:rPr>
      </w:pPr>
    </w:p>
    <w:p w14:paraId="333BAC89">
      <w:pPr>
        <w:kinsoku/>
        <w:autoSpaceDE/>
        <w:autoSpaceDN/>
        <w:adjustRightInd/>
        <w:snapToGrid/>
        <w:textAlignment w:val="auto"/>
        <w:rPr>
          <w:highlight w:val="none"/>
          <w:lang w:eastAsia="zh-CN"/>
        </w:rPr>
      </w:pPr>
      <w:r>
        <w:rPr>
          <w:highlight w:val="none"/>
          <w:lang w:eastAsia="zh-CN"/>
        </w:rPr>
        <w:br w:type="page"/>
      </w:r>
    </w:p>
    <w:p w14:paraId="69D962A2">
      <w:pPr>
        <w:spacing w:before="140" w:line="223" w:lineRule="auto"/>
        <w:jc w:val="center"/>
        <w:outlineLvl w:val="0"/>
        <w:rPr>
          <w:rFonts w:ascii="宋体" w:hAnsi="宋体" w:eastAsia="宋体" w:cs="宋体"/>
          <w:sz w:val="43"/>
          <w:szCs w:val="43"/>
          <w:highlight w:val="none"/>
          <w:lang w:eastAsia="zh-CN"/>
        </w:rPr>
      </w:pPr>
      <w:bookmarkStart w:id="5" w:name="bookmark4"/>
      <w:bookmarkEnd w:id="5"/>
      <w:bookmarkStart w:id="6" w:name="_Toc13012"/>
      <w:r>
        <w:rPr>
          <w:rFonts w:ascii="宋体" w:hAnsi="宋体" w:eastAsia="宋体" w:cs="宋体"/>
          <w:b/>
          <w:bCs/>
          <w:spacing w:val="5"/>
          <w:sz w:val="43"/>
          <w:szCs w:val="43"/>
          <w:highlight w:val="none"/>
          <w:lang w:eastAsia="zh-CN"/>
        </w:rPr>
        <w:t>第三章</w:t>
      </w:r>
      <w:r>
        <w:rPr>
          <w:rFonts w:ascii="宋体" w:hAnsi="宋体" w:eastAsia="宋体" w:cs="宋体"/>
          <w:spacing w:val="5"/>
          <w:sz w:val="43"/>
          <w:szCs w:val="43"/>
          <w:highlight w:val="none"/>
          <w:lang w:eastAsia="zh-CN"/>
        </w:rPr>
        <w:t xml:space="preserve"> </w:t>
      </w:r>
      <w:r>
        <w:rPr>
          <w:rFonts w:hint="eastAsia" w:ascii="宋体" w:hAnsi="宋体" w:eastAsia="宋体" w:cs="宋体"/>
          <w:spacing w:val="5"/>
          <w:sz w:val="43"/>
          <w:szCs w:val="43"/>
          <w:highlight w:val="none"/>
          <w:lang w:eastAsia="zh-CN"/>
        </w:rPr>
        <w:t xml:space="preserve"> </w:t>
      </w:r>
      <w:r>
        <w:rPr>
          <w:rFonts w:ascii="宋体" w:hAnsi="宋体" w:eastAsia="宋体" w:cs="宋体"/>
          <w:b/>
          <w:bCs/>
          <w:spacing w:val="5"/>
          <w:sz w:val="43"/>
          <w:szCs w:val="43"/>
          <w:highlight w:val="none"/>
          <w:lang w:eastAsia="zh-CN"/>
        </w:rPr>
        <w:t>服务内容及要求</w:t>
      </w:r>
      <w:bookmarkEnd w:id="6"/>
    </w:p>
    <w:p w14:paraId="3AB8E6A6">
      <w:pPr>
        <w:spacing w:before="3" w:line="462" w:lineRule="auto"/>
        <w:ind w:left="25" w:right="199" w:firstLine="479"/>
        <w:jc w:val="both"/>
        <w:rPr>
          <w:rFonts w:ascii="宋体" w:hAnsi="宋体" w:eastAsia="宋体" w:cs="宋体"/>
          <w:sz w:val="24"/>
          <w:szCs w:val="24"/>
          <w:highlight w:val="none"/>
          <w:lang w:eastAsia="zh-CN"/>
        </w:rPr>
      </w:pPr>
    </w:p>
    <w:p w14:paraId="74D720EB">
      <w:pPr>
        <w:spacing w:before="3" w:line="480" w:lineRule="atLeast"/>
        <w:ind w:left="23" w:right="198" w:firstLine="476"/>
        <w:rPr>
          <w:rFonts w:ascii="宋体" w:hAnsi="宋体"/>
          <w:b/>
          <w:bCs/>
          <w:sz w:val="24"/>
          <w:szCs w:val="24"/>
          <w:highlight w:val="none"/>
          <w:lang w:eastAsia="zh-CN"/>
        </w:rPr>
      </w:pPr>
      <w:r>
        <w:rPr>
          <w:rFonts w:hint="eastAsia" w:ascii="宋体" w:hAnsi="宋体" w:eastAsia="宋体" w:cs="宋体"/>
          <w:b/>
          <w:bCs/>
          <w:sz w:val="24"/>
          <w:szCs w:val="24"/>
          <w:highlight w:val="none"/>
          <w:lang w:eastAsia="zh-CN"/>
        </w:rPr>
        <w:t>一、服务内容：</w:t>
      </w:r>
    </w:p>
    <w:p w14:paraId="5C6DA05C">
      <w:pPr>
        <w:spacing w:before="3" w:line="480" w:lineRule="atLeast"/>
        <w:ind w:left="23" w:right="198" w:firstLine="476"/>
        <w:rPr>
          <w:color w:val="0000FF"/>
          <w:spacing w:val="-1"/>
          <w:sz w:val="24"/>
          <w:szCs w:val="24"/>
          <w:highlight w:val="none"/>
          <w:lang w:eastAsia="zh-CN"/>
        </w:rPr>
      </w:pPr>
      <w:r>
        <w:rPr>
          <w:rFonts w:hint="eastAsia" w:ascii="宋体" w:hAnsi="宋体" w:eastAsia="宋体" w:cs="宋体"/>
          <w:sz w:val="24"/>
          <w:szCs w:val="24"/>
          <w:highlight w:val="none"/>
          <w:lang w:eastAsia="zh-CN"/>
        </w:rPr>
        <w:t>本项目为渑池县2024年度原天保工程区森林抚育项目（二次），该</w:t>
      </w:r>
      <w:r>
        <w:rPr>
          <w:rFonts w:hint="eastAsia" w:ascii="宋体" w:hAnsi="宋体" w:eastAsia="宋体" w:cs="宋体"/>
          <w:sz w:val="24"/>
          <w:szCs w:val="24"/>
          <w:highlight w:val="none"/>
          <w:lang w:val="en-US" w:eastAsia="zh-CN"/>
        </w:rPr>
        <w:t>项目</w:t>
      </w:r>
      <w:r>
        <w:rPr>
          <w:rFonts w:hint="eastAsia" w:ascii="宋体" w:hAnsi="宋体" w:eastAsia="宋体" w:cs="宋体"/>
          <w:sz w:val="24"/>
          <w:szCs w:val="24"/>
          <w:highlight w:val="none"/>
          <w:lang w:eastAsia="zh-CN"/>
        </w:rPr>
        <w:t>位于渑池县境内。主要内容为坡头乡、段村乡、南村乡、仰韶镇等4个乡镇，6个行政村，共计29个小班的森林抚育作业。</w:t>
      </w:r>
    </w:p>
    <w:p w14:paraId="27CAC65A">
      <w:pPr>
        <w:spacing w:before="3" w:line="480" w:lineRule="atLeast"/>
        <w:ind w:left="23" w:right="198" w:firstLine="476"/>
        <w:rPr>
          <w:rFonts w:ascii="宋体" w:hAnsi="宋体"/>
          <w:b/>
          <w:bCs/>
          <w:sz w:val="24"/>
          <w:szCs w:val="24"/>
          <w:highlight w:val="none"/>
          <w:lang w:eastAsia="zh-CN"/>
        </w:rPr>
      </w:pPr>
      <w:r>
        <w:rPr>
          <w:rFonts w:hint="eastAsia" w:ascii="宋体" w:hAnsi="宋体" w:eastAsia="宋体" w:cs="宋体"/>
          <w:b/>
          <w:bCs/>
          <w:sz w:val="24"/>
          <w:szCs w:val="24"/>
          <w:highlight w:val="none"/>
          <w:lang w:eastAsia="zh-CN"/>
        </w:rPr>
        <w:t>二、抚育原则及要求：</w:t>
      </w:r>
    </w:p>
    <w:p w14:paraId="3D2C4A8E">
      <w:pPr>
        <w:spacing w:before="3" w:line="480" w:lineRule="atLeast"/>
        <w:ind w:left="23" w:right="198" w:firstLine="476"/>
        <w:rPr>
          <w:rFonts w:ascii="宋体" w:hAnsi="宋体"/>
          <w:sz w:val="24"/>
          <w:szCs w:val="24"/>
          <w:highlight w:val="none"/>
          <w:lang w:eastAsia="zh-CN"/>
        </w:rPr>
      </w:pPr>
      <w:r>
        <w:rPr>
          <w:rFonts w:hint="eastAsia" w:ascii="宋体" w:hAnsi="宋体"/>
          <w:sz w:val="24"/>
          <w:szCs w:val="24"/>
          <w:highlight w:val="none"/>
          <w:lang w:eastAsia="zh-CN"/>
        </w:rPr>
        <w:t xml:space="preserve">2.1 </w:t>
      </w:r>
      <w:r>
        <w:rPr>
          <w:rFonts w:hint="eastAsia" w:ascii="宋体" w:hAnsi="宋体" w:eastAsia="宋体" w:cs="宋体"/>
          <w:sz w:val="24"/>
          <w:szCs w:val="24"/>
          <w:highlight w:val="none"/>
          <w:lang w:eastAsia="zh-CN"/>
        </w:rPr>
        <w:t>林分结构特点</w:t>
      </w:r>
    </w:p>
    <w:p w14:paraId="29423E98">
      <w:pPr>
        <w:spacing w:before="3" w:line="480" w:lineRule="atLeast"/>
        <w:ind w:left="23" w:right="198" w:firstLine="476"/>
        <w:rPr>
          <w:rFonts w:ascii="宋体" w:hAnsi="宋体"/>
          <w:sz w:val="24"/>
          <w:szCs w:val="24"/>
          <w:highlight w:val="none"/>
          <w:lang w:eastAsia="zh-CN"/>
        </w:rPr>
      </w:pPr>
      <w:r>
        <w:rPr>
          <w:rFonts w:hint="eastAsia" w:ascii="宋体" w:hAnsi="宋体" w:eastAsia="宋体" w:cs="宋体"/>
          <w:sz w:val="24"/>
          <w:szCs w:val="24"/>
          <w:highlight w:val="none"/>
          <w:lang w:eastAsia="zh-CN"/>
        </w:rPr>
        <w:t>本次抚育对象林分起源为天然幼龄林，森林类别为国家二级公益林，抚育作业区立地条件较好，优势树种以栎树等为主，林分往年未进行过任何抚育措施，林分密度大，郁闭度均在</w:t>
      </w:r>
      <w:r>
        <w:rPr>
          <w:rFonts w:hint="eastAsia" w:ascii="宋体" w:hAnsi="宋体"/>
          <w:sz w:val="24"/>
          <w:szCs w:val="24"/>
          <w:highlight w:val="none"/>
          <w:lang w:eastAsia="zh-CN"/>
        </w:rPr>
        <w:t>0.8</w:t>
      </w:r>
      <w:r>
        <w:rPr>
          <w:rFonts w:hint="eastAsia" w:ascii="宋体" w:hAnsi="宋体" w:eastAsia="宋体" w:cs="宋体"/>
          <w:sz w:val="24"/>
          <w:szCs w:val="24"/>
          <w:highlight w:val="none"/>
          <w:lang w:eastAsia="zh-CN"/>
        </w:rPr>
        <w:t>及以上，林木间对光、空间等产生比较激烈的竞争，急需对目的树种及幼苗幼树进行抚育，促进目的树种生长，改善林分条件。</w:t>
      </w:r>
    </w:p>
    <w:p w14:paraId="7601FD0E">
      <w:pPr>
        <w:spacing w:before="3" w:line="480" w:lineRule="atLeast"/>
        <w:ind w:left="23" w:right="198" w:firstLine="476"/>
        <w:rPr>
          <w:rFonts w:ascii="宋体" w:hAnsi="宋体"/>
          <w:sz w:val="24"/>
          <w:szCs w:val="24"/>
          <w:highlight w:val="none"/>
          <w:lang w:eastAsia="zh-CN"/>
        </w:rPr>
      </w:pPr>
      <w:r>
        <w:rPr>
          <w:rFonts w:hint="eastAsia" w:ascii="宋体" w:hAnsi="宋体"/>
          <w:sz w:val="24"/>
          <w:szCs w:val="24"/>
          <w:highlight w:val="none"/>
          <w:lang w:eastAsia="zh-CN"/>
        </w:rPr>
        <w:t xml:space="preserve">2.2 </w:t>
      </w:r>
      <w:r>
        <w:rPr>
          <w:rFonts w:hint="eastAsia" w:ascii="宋体" w:hAnsi="宋体" w:eastAsia="宋体" w:cs="宋体"/>
          <w:sz w:val="24"/>
          <w:szCs w:val="24"/>
          <w:highlight w:val="none"/>
          <w:lang w:eastAsia="zh-CN"/>
        </w:rPr>
        <w:t>森林抚育作业措施</w:t>
      </w:r>
    </w:p>
    <w:p w14:paraId="41194A2F">
      <w:pPr>
        <w:spacing w:before="3" w:line="480" w:lineRule="atLeast"/>
        <w:ind w:left="23" w:right="198" w:firstLine="476"/>
        <w:rPr>
          <w:rFonts w:ascii="宋体" w:hAnsi="宋体"/>
          <w:sz w:val="24"/>
          <w:szCs w:val="24"/>
          <w:highlight w:val="none"/>
          <w:lang w:eastAsia="zh-CN"/>
        </w:rPr>
      </w:pPr>
      <w:r>
        <w:rPr>
          <w:rFonts w:hint="eastAsia" w:ascii="宋体" w:hAnsi="宋体"/>
          <w:sz w:val="24"/>
          <w:szCs w:val="24"/>
          <w:highlight w:val="none"/>
          <w:lang w:eastAsia="zh-CN"/>
        </w:rPr>
        <w:t xml:space="preserve">2.2.1 </w:t>
      </w:r>
      <w:r>
        <w:rPr>
          <w:rFonts w:hint="eastAsia" w:ascii="宋体" w:hAnsi="宋体" w:eastAsia="宋体" w:cs="宋体"/>
          <w:sz w:val="24"/>
          <w:szCs w:val="24"/>
          <w:highlight w:val="none"/>
          <w:lang w:eastAsia="zh-CN"/>
        </w:rPr>
        <w:t>抚育原则</w:t>
      </w:r>
    </w:p>
    <w:p w14:paraId="1C05CEFF">
      <w:pPr>
        <w:spacing w:before="3" w:line="480" w:lineRule="atLeast"/>
        <w:ind w:left="23" w:right="198" w:firstLine="476"/>
        <w:rPr>
          <w:rFonts w:ascii="宋体" w:hAnsi="宋体"/>
          <w:sz w:val="24"/>
          <w:szCs w:val="24"/>
          <w:highlight w:val="none"/>
          <w:lang w:eastAsia="zh-CN"/>
        </w:rPr>
      </w:pPr>
      <w:r>
        <w:rPr>
          <w:rFonts w:hint="eastAsia" w:ascii="宋体" w:hAnsi="宋体" w:eastAsia="宋体" w:cs="宋体"/>
          <w:sz w:val="24"/>
          <w:szCs w:val="24"/>
          <w:highlight w:val="none"/>
          <w:lang w:eastAsia="zh-CN"/>
        </w:rPr>
        <w:t>抚育间伐坚持</w:t>
      </w:r>
      <w:r>
        <w:rPr>
          <w:sz w:val="24"/>
          <w:szCs w:val="24"/>
          <w:highlight w:val="none"/>
          <w:lang w:eastAsia="zh-CN"/>
        </w:rPr>
        <w:t>“</w:t>
      </w:r>
      <w:r>
        <w:rPr>
          <w:rFonts w:hint="eastAsia" w:ascii="宋体" w:hAnsi="宋体" w:eastAsia="宋体" w:cs="宋体"/>
          <w:sz w:val="24"/>
          <w:szCs w:val="24"/>
          <w:highlight w:val="none"/>
          <w:lang w:eastAsia="zh-CN"/>
        </w:rPr>
        <w:t>采小留大、采密留疏、采弯留直、采弱留强</w:t>
      </w:r>
      <w:r>
        <w:rPr>
          <w:sz w:val="24"/>
          <w:szCs w:val="24"/>
          <w:highlight w:val="none"/>
          <w:lang w:eastAsia="zh-CN"/>
        </w:rPr>
        <w:t>”</w:t>
      </w:r>
      <w:r>
        <w:rPr>
          <w:rFonts w:hint="eastAsia" w:ascii="宋体" w:hAnsi="宋体" w:eastAsia="宋体" w:cs="宋体"/>
          <w:sz w:val="24"/>
          <w:szCs w:val="24"/>
          <w:highlight w:val="none"/>
          <w:lang w:eastAsia="zh-CN"/>
        </w:rPr>
        <w:t>的原则，株数间伐强度一般不低于</w:t>
      </w:r>
      <w:r>
        <w:rPr>
          <w:rFonts w:hint="eastAsia" w:ascii="宋体" w:hAnsi="宋体"/>
          <w:sz w:val="24"/>
          <w:szCs w:val="24"/>
          <w:highlight w:val="none"/>
          <w:lang w:eastAsia="zh-CN"/>
        </w:rPr>
        <w:t>15%</w:t>
      </w:r>
      <w:r>
        <w:rPr>
          <w:rFonts w:hint="eastAsia" w:ascii="宋体" w:hAnsi="宋体" w:eastAsia="宋体" w:cs="宋体"/>
          <w:sz w:val="24"/>
          <w:szCs w:val="24"/>
          <w:highlight w:val="none"/>
          <w:lang w:eastAsia="zh-CN"/>
        </w:rPr>
        <w:t>，不超过</w:t>
      </w:r>
      <w:r>
        <w:rPr>
          <w:rFonts w:hint="eastAsia" w:ascii="宋体" w:hAnsi="宋体"/>
          <w:sz w:val="24"/>
          <w:szCs w:val="24"/>
          <w:highlight w:val="none"/>
          <w:lang w:eastAsia="zh-CN"/>
        </w:rPr>
        <w:t>35%</w:t>
      </w:r>
      <w:r>
        <w:rPr>
          <w:rFonts w:hint="eastAsia" w:ascii="宋体" w:hAnsi="宋体" w:eastAsia="宋体" w:cs="宋体"/>
          <w:sz w:val="24"/>
          <w:szCs w:val="24"/>
          <w:highlight w:val="none"/>
          <w:lang w:eastAsia="zh-CN"/>
        </w:rPr>
        <w:t>；蓄积强度视林分实际情况，原则上不高于</w:t>
      </w:r>
      <w:r>
        <w:rPr>
          <w:rFonts w:hint="eastAsia" w:ascii="宋体" w:hAnsi="宋体"/>
          <w:sz w:val="24"/>
          <w:szCs w:val="24"/>
          <w:highlight w:val="none"/>
          <w:lang w:eastAsia="zh-CN"/>
        </w:rPr>
        <w:t>20%</w:t>
      </w:r>
      <w:r>
        <w:rPr>
          <w:rFonts w:hint="eastAsia" w:ascii="宋体" w:hAnsi="宋体" w:eastAsia="宋体" w:cs="宋体"/>
          <w:sz w:val="24"/>
          <w:szCs w:val="24"/>
          <w:highlight w:val="none"/>
          <w:lang w:eastAsia="zh-CN"/>
        </w:rPr>
        <w:t>。兼顾目标树分布均匀、保护幼苗幼树，伐后林分郁闭度不低于</w:t>
      </w:r>
      <w:r>
        <w:rPr>
          <w:rFonts w:hint="eastAsia" w:ascii="宋体" w:hAnsi="宋体"/>
          <w:sz w:val="24"/>
          <w:szCs w:val="24"/>
          <w:highlight w:val="none"/>
          <w:lang w:eastAsia="zh-CN"/>
        </w:rPr>
        <w:t>0.6</w:t>
      </w:r>
      <w:r>
        <w:rPr>
          <w:rFonts w:hint="eastAsia" w:ascii="宋体" w:hAnsi="宋体" w:eastAsia="宋体" w:cs="宋体"/>
          <w:sz w:val="24"/>
          <w:szCs w:val="24"/>
          <w:highlight w:val="none"/>
          <w:lang w:eastAsia="zh-CN"/>
        </w:rPr>
        <w:t>，且不能造成天窗或形成疏林地。</w:t>
      </w:r>
    </w:p>
    <w:p w14:paraId="3BBBCE18">
      <w:pPr>
        <w:spacing w:before="3" w:line="480" w:lineRule="atLeast"/>
        <w:ind w:left="23" w:right="198" w:firstLine="476"/>
        <w:rPr>
          <w:rFonts w:ascii="宋体" w:hAnsi="宋体"/>
          <w:sz w:val="24"/>
          <w:szCs w:val="24"/>
          <w:highlight w:val="none"/>
          <w:lang w:eastAsia="zh-CN"/>
        </w:rPr>
      </w:pPr>
      <w:r>
        <w:rPr>
          <w:rFonts w:hint="eastAsia" w:ascii="宋体" w:hAnsi="宋体" w:eastAsia="宋体" w:cs="宋体"/>
          <w:sz w:val="24"/>
          <w:szCs w:val="24"/>
          <w:highlight w:val="none"/>
          <w:lang w:eastAsia="zh-CN"/>
        </w:rPr>
        <w:t>同时必须结合当地实际，综合考虑防止水土流失、促进天然更新、保护生物多样性等原则，科学设计抚育强度和方式，保护珍稀物种，保留更新目的树种的幼苗和幼树。</w:t>
      </w:r>
    </w:p>
    <w:p w14:paraId="17F2D3A8">
      <w:pPr>
        <w:spacing w:before="3" w:line="480" w:lineRule="atLeast"/>
        <w:ind w:left="23" w:right="198" w:firstLine="476"/>
        <w:rPr>
          <w:rFonts w:ascii="宋体" w:hAnsi="宋体"/>
          <w:sz w:val="24"/>
          <w:szCs w:val="24"/>
          <w:highlight w:val="none"/>
          <w:lang w:eastAsia="zh-CN"/>
        </w:rPr>
      </w:pPr>
      <w:r>
        <w:rPr>
          <w:rFonts w:hint="eastAsia" w:ascii="宋体" w:hAnsi="宋体"/>
          <w:sz w:val="24"/>
          <w:szCs w:val="24"/>
          <w:highlight w:val="none"/>
          <w:lang w:eastAsia="zh-CN"/>
        </w:rPr>
        <w:t xml:space="preserve">2.2.2 </w:t>
      </w:r>
      <w:r>
        <w:rPr>
          <w:rFonts w:hint="eastAsia" w:ascii="宋体" w:hAnsi="宋体" w:eastAsia="宋体" w:cs="宋体"/>
          <w:sz w:val="24"/>
          <w:szCs w:val="24"/>
          <w:highlight w:val="none"/>
          <w:lang w:eastAsia="zh-CN"/>
        </w:rPr>
        <w:t>抚育方式、方法及主要技术要求</w:t>
      </w:r>
    </w:p>
    <w:p w14:paraId="54893440">
      <w:pPr>
        <w:spacing w:before="3" w:line="480" w:lineRule="atLeast"/>
        <w:ind w:left="23" w:right="198" w:firstLine="476"/>
        <w:rPr>
          <w:rFonts w:ascii="宋体" w:hAnsi="宋体"/>
          <w:sz w:val="24"/>
          <w:szCs w:val="24"/>
          <w:highlight w:val="none"/>
          <w:lang w:eastAsia="zh-CN"/>
        </w:rPr>
      </w:pPr>
      <w:r>
        <w:rPr>
          <w:rFonts w:hint="eastAsia" w:ascii="宋体" w:hAnsi="宋体"/>
          <w:sz w:val="24"/>
          <w:szCs w:val="24"/>
          <w:highlight w:val="none"/>
          <w:lang w:eastAsia="zh-CN"/>
        </w:rPr>
        <w:t>(1)</w:t>
      </w:r>
      <w:r>
        <w:rPr>
          <w:rFonts w:hint="eastAsia" w:ascii="宋体" w:hAnsi="宋体" w:eastAsia="宋体" w:cs="宋体"/>
          <w:sz w:val="24"/>
          <w:szCs w:val="24"/>
          <w:highlight w:val="none"/>
          <w:lang w:eastAsia="zh-CN"/>
        </w:rPr>
        <w:t>抚育方式</w:t>
      </w:r>
    </w:p>
    <w:p w14:paraId="3C735D80">
      <w:pPr>
        <w:spacing w:before="3" w:line="480" w:lineRule="atLeast"/>
        <w:ind w:left="23" w:right="198" w:firstLine="476"/>
        <w:rPr>
          <w:rFonts w:ascii="宋体" w:hAnsi="宋体"/>
          <w:sz w:val="24"/>
          <w:szCs w:val="24"/>
          <w:highlight w:val="none"/>
          <w:lang w:eastAsia="zh-CN"/>
        </w:rPr>
      </w:pPr>
      <w:r>
        <w:rPr>
          <w:rFonts w:hint="eastAsia" w:ascii="宋体" w:hAnsi="宋体" w:eastAsia="宋体" w:cs="宋体"/>
          <w:sz w:val="24"/>
          <w:szCs w:val="24"/>
          <w:highlight w:val="none"/>
          <w:lang w:eastAsia="zh-CN"/>
        </w:rPr>
        <w:t>渑池县</w:t>
      </w:r>
      <w:r>
        <w:rPr>
          <w:rFonts w:hint="eastAsia" w:ascii="宋体" w:hAnsi="宋体"/>
          <w:sz w:val="24"/>
          <w:szCs w:val="24"/>
          <w:highlight w:val="none"/>
          <w:lang w:eastAsia="zh-CN"/>
        </w:rPr>
        <w:t>0.76</w:t>
      </w:r>
      <w:r>
        <w:rPr>
          <w:rFonts w:hint="eastAsia" w:ascii="宋体" w:hAnsi="宋体" w:eastAsia="宋体" w:cs="宋体"/>
          <w:sz w:val="24"/>
          <w:szCs w:val="24"/>
          <w:highlight w:val="none"/>
          <w:lang w:eastAsia="zh-CN"/>
        </w:rPr>
        <w:t>万亩抚育任务均采用综合抚育，采用疏伐加修枝加割灌除草。</w:t>
      </w:r>
    </w:p>
    <w:p w14:paraId="773ACD3D">
      <w:pPr>
        <w:spacing w:before="3" w:line="480" w:lineRule="atLeast"/>
        <w:ind w:left="23" w:right="198" w:firstLine="476"/>
        <w:rPr>
          <w:rFonts w:ascii="宋体" w:hAnsi="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sz w:val="24"/>
          <w:szCs w:val="24"/>
          <w:highlight w:val="none"/>
          <w:lang w:eastAsia="zh-CN"/>
        </w:rPr>
        <w:t>2)</w:t>
      </w:r>
      <w:r>
        <w:rPr>
          <w:rFonts w:hint="eastAsia" w:ascii="宋体" w:hAnsi="宋体" w:eastAsia="宋体" w:cs="宋体"/>
          <w:sz w:val="24"/>
          <w:szCs w:val="24"/>
          <w:highlight w:val="none"/>
          <w:lang w:eastAsia="zh-CN"/>
        </w:rPr>
        <w:t>综合抚育抚育方法</w:t>
      </w:r>
    </w:p>
    <w:p w14:paraId="2401AC18">
      <w:pPr>
        <w:spacing w:before="3" w:line="480" w:lineRule="atLeast"/>
        <w:ind w:left="23" w:right="198" w:firstLine="476"/>
        <w:rPr>
          <w:rFonts w:ascii="宋体" w:hAnsi="宋体"/>
          <w:sz w:val="24"/>
          <w:szCs w:val="24"/>
          <w:highlight w:val="none"/>
          <w:lang w:eastAsia="zh-CN"/>
        </w:rPr>
      </w:pPr>
      <w:r>
        <w:rPr>
          <w:rFonts w:hint="eastAsia" w:ascii="宋体" w:hAnsi="宋体" w:eastAsia="宋体" w:cs="宋体"/>
          <w:sz w:val="24"/>
          <w:szCs w:val="24"/>
          <w:highlight w:val="none"/>
          <w:lang w:eastAsia="zh-CN"/>
        </w:rPr>
        <w:t>确定保留木，</w:t>
      </w:r>
      <w:r>
        <w:rPr>
          <w:rFonts w:hint="eastAsia" w:ascii="宋体" w:hAnsi="宋体"/>
          <w:sz w:val="24"/>
          <w:szCs w:val="24"/>
          <w:highlight w:val="none"/>
          <w:lang w:eastAsia="zh-CN"/>
        </w:rPr>
        <w:t xml:space="preserve"> </w:t>
      </w:r>
      <w:r>
        <w:rPr>
          <w:rFonts w:hint="eastAsia" w:ascii="宋体" w:hAnsi="宋体" w:eastAsia="宋体" w:cs="宋体"/>
          <w:sz w:val="24"/>
          <w:szCs w:val="24"/>
          <w:highlight w:val="none"/>
          <w:lang w:eastAsia="zh-CN"/>
        </w:rPr>
        <w:t>综合抚育采用疏伐作业，进入林区后首先进行林分调查，将林木类型划分为目标树、辅助树、干扰树和其它树，保留木主要为目标树和辅助树，目标树是指在林内生活力强、干材质量好且无损伤的林木，辅助树是指有利于提高森林生物多样性，具有保护珍稀濒危物种等功能的树种；</w:t>
      </w:r>
    </w:p>
    <w:p w14:paraId="70751ECF">
      <w:pPr>
        <w:spacing w:before="3" w:line="480" w:lineRule="atLeast"/>
        <w:ind w:left="23" w:right="198" w:firstLine="476"/>
        <w:rPr>
          <w:rFonts w:ascii="宋体" w:hAnsi="宋体"/>
          <w:sz w:val="24"/>
          <w:szCs w:val="24"/>
          <w:highlight w:val="none"/>
          <w:lang w:eastAsia="zh-CN"/>
        </w:rPr>
      </w:pPr>
      <w:r>
        <w:rPr>
          <w:rFonts w:hint="eastAsia" w:ascii="宋体" w:hAnsi="宋体" w:eastAsia="宋体" w:cs="宋体"/>
          <w:sz w:val="24"/>
          <w:szCs w:val="24"/>
          <w:highlight w:val="none"/>
          <w:lang w:eastAsia="zh-CN"/>
        </w:rPr>
        <w:t>标记采伐木，采伐木是指影响目标树树冠自由生长的干扰树，劣质木、瘦弱木、弯曲木、断头木和质量不高的树及病腐木等林木，进行标记采伐；</w:t>
      </w:r>
    </w:p>
    <w:p w14:paraId="35AD34BB">
      <w:pPr>
        <w:spacing w:before="3" w:line="480" w:lineRule="atLeast"/>
        <w:ind w:left="23" w:right="198" w:firstLine="476"/>
        <w:rPr>
          <w:rFonts w:ascii="宋体" w:hAnsi="宋体"/>
          <w:sz w:val="24"/>
          <w:szCs w:val="24"/>
          <w:highlight w:val="none"/>
          <w:lang w:eastAsia="zh-CN"/>
        </w:rPr>
      </w:pPr>
      <w:r>
        <w:rPr>
          <w:rFonts w:hint="eastAsia" w:ascii="宋体" w:hAnsi="宋体" w:eastAsia="宋体" w:cs="宋体"/>
          <w:sz w:val="24"/>
          <w:szCs w:val="24"/>
          <w:highlight w:val="none"/>
          <w:lang w:eastAsia="zh-CN"/>
        </w:rPr>
        <w:t>采伐作业，在标记好采伐木后，进行采伐作业，要注意树倒方向，通常会利用树木自然倾斜方向、风向等来控制倒向，避免树木倒向造成对保留木的损伤，林木伐桩不高于</w:t>
      </w:r>
      <w:r>
        <w:rPr>
          <w:rFonts w:hint="eastAsia" w:ascii="宋体" w:hAnsi="宋体"/>
          <w:sz w:val="24"/>
          <w:szCs w:val="24"/>
          <w:highlight w:val="none"/>
          <w:lang w:eastAsia="zh-CN"/>
        </w:rPr>
        <w:t>10</w:t>
      </w:r>
      <w:r>
        <w:rPr>
          <w:rFonts w:hint="eastAsia" w:ascii="宋体" w:hAnsi="宋体" w:eastAsia="宋体" w:cs="宋体"/>
          <w:sz w:val="24"/>
          <w:szCs w:val="24"/>
          <w:highlight w:val="none"/>
          <w:lang w:eastAsia="zh-CN"/>
        </w:rPr>
        <w:t>厘米；</w:t>
      </w:r>
    </w:p>
    <w:p w14:paraId="107DBAC0">
      <w:pPr>
        <w:spacing w:before="3" w:line="480" w:lineRule="atLeast"/>
        <w:ind w:left="23" w:right="198" w:firstLine="476"/>
        <w:rPr>
          <w:rFonts w:ascii="宋体" w:hAnsi="宋体"/>
          <w:sz w:val="24"/>
          <w:szCs w:val="24"/>
          <w:highlight w:val="none"/>
          <w:lang w:eastAsia="zh-CN"/>
        </w:rPr>
      </w:pPr>
      <w:r>
        <w:rPr>
          <w:rFonts w:hint="eastAsia" w:ascii="宋体" w:hAnsi="宋体" w:eastAsia="宋体" w:cs="宋体"/>
          <w:sz w:val="24"/>
          <w:szCs w:val="24"/>
          <w:highlight w:val="none"/>
          <w:lang w:eastAsia="zh-CN"/>
        </w:rPr>
        <w:t>集采，伐木完成后，要将采伐下的木材集中运输。按照预先规划的集材道，使用合适的集材设备将木材运出。集材时要注意避免对林地土壤、保留木和幼树的破坏。病腐木伐除后，一定要清除出林分，采取掩埋等方式处理，避免进一步侵染林分；</w:t>
      </w:r>
    </w:p>
    <w:p w14:paraId="75174846">
      <w:pPr>
        <w:spacing w:before="3" w:line="480" w:lineRule="atLeast"/>
        <w:ind w:left="23" w:right="198" w:firstLine="476"/>
        <w:rPr>
          <w:rFonts w:ascii="宋体" w:hAnsi="宋体"/>
          <w:sz w:val="24"/>
          <w:szCs w:val="24"/>
          <w:highlight w:val="none"/>
          <w:lang w:eastAsia="zh-CN"/>
        </w:rPr>
      </w:pPr>
      <w:r>
        <w:rPr>
          <w:rFonts w:hint="eastAsia" w:ascii="宋体" w:hAnsi="宋体" w:eastAsia="宋体" w:cs="宋体"/>
          <w:sz w:val="24"/>
          <w:szCs w:val="24"/>
          <w:highlight w:val="none"/>
          <w:lang w:eastAsia="zh-CN"/>
        </w:rPr>
        <w:t>割灌除草，影响幼苗幼树生长的杂灌杂草和藤本植物全部割除；割灌除草必须在春夏季节作业（</w:t>
      </w:r>
      <w:r>
        <w:rPr>
          <w:rFonts w:hint="eastAsia" w:ascii="宋体" w:hAnsi="宋体"/>
          <w:sz w:val="24"/>
          <w:szCs w:val="24"/>
          <w:highlight w:val="none"/>
          <w:lang w:eastAsia="zh-CN"/>
        </w:rPr>
        <w:t>5</w:t>
      </w:r>
      <w:r>
        <w:rPr>
          <w:rFonts w:hint="eastAsia" w:ascii="宋体" w:hAnsi="宋体" w:eastAsia="宋体" w:cs="宋体"/>
          <w:sz w:val="24"/>
          <w:szCs w:val="24"/>
          <w:highlight w:val="none"/>
          <w:lang w:eastAsia="zh-CN"/>
        </w:rPr>
        <w:t>、</w:t>
      </w:r>
      <w:r>
        <w:rPr>
          <w:rFonts w:hint="eastAsia" w:ascii="宋体" w:hAnsi="宋体"/>
          <w:sz w:val="24"/>
          <w:szCs w:val="24"/>
          <w:highlight w:val="none"/>
          <w:lang w:eastAsia="zh-CN"/>
        </w:rPr>
        <w:t>6</w:t>
      </w:r>
      <w:r>
        <w:rPr>
          <w:rFonts w:hint="eastAsia" w:ascii="宋体" w:hAnsi="宋体" w:eastAsia="宋体" w:cs="宋体"/>
          <w:sz w:val="24"/>
          <w:szCs w:val="24"/>
          <w:highlight w:val="none"/>
          <w:lang w:eastAsia="zh-CN"/>
        </w:rPr>
        <w:t>月份进行），割灌除草在树木周边一米内影响树木生长的杂草灌木和藤本植物全部割除，灌茬不高于</w:t>
      </w:r>
      <w:r>
        <w:rPr>
          <w:rFonts w:hint="eastAsia" w:ascii="宋体" w:hAnsi="宋体"/>
          <w:sz w:val="24"/>
          <w:szCs w:val="24"/>
          <w:highlight w:val="none"/>
          <w:lang w:eastAsia="zh-CN"/>
        </w:rPr>
        <w:t>5cm</w:t>
      </w:r>
      <w:r>
        <w:rPr>
          <w:rFonts w:hint="eastAsia" w:ascii="宋体" w:hAnsi="宋体" w:eastAsia="宋体" w:cs="宋体"/>
          <w:sz w:val="24"/>
          <w:szCs w:val="24"/>
          <w:highlight w:val="none"/>
          <w:lang w:eastAsia="zh-CN"/>
        </w:rPr>
        <w:t>，避免全面割灌除草。</w:t>
      </w:r>
    </w:p>
    <w:p w14:paraId="4E7AB41B">
      <w:pPr>
        <w:spacing w:before="3" w:line="480" w:lineRule="atLeast"/>
        <w:ind w:left="23" w:right="198" w:firstLine="476"/>
        <w:rPr>
          <w:rFonts w:ascii="宋体" w:hAnsi="宋体"/>
          <w:sz w:val="24"/>
          <w:szCs w:val="24"/>
          <w:highlight w:val="none"/>
          <w:lang w:eastAsia="zh-CN"/>
        </w:rPr>
      </w:pPr>
      <w:r>
        <w:rPr>
          <w:rFonts w:hint="eastAsia" w:ascii="宋体" w:hAnsi="宋体" w:eastAsia="宋体" w:cs="宋体"/>
          <w:sz w:val="24"/>
          <w:szCs w:val="24"/>
          <w:highlight w:val="none"/>
          <w:lang w:eastAsia="zh-CN"/>
        </w:rPr>
        <w:t>修枝高度依林木的长势而定，冠高比控制在</w:t>
      </w:r>
      <w:r>
        <w:rPr>
          <w:rFonts w:hint="eastAsia" w:ascii="宋体" w:hAnsi="宋体"/>
          <w:sz w:val="24"/>
          <w:szCs w:val="24"/>
          <w:highlight w:val="none"/>
          <w:lang w:eastAsia="zh-CN"/>
        </w:rPr>
        <w:t>1/3—1/2</w:t>
      </w:r>
      <w:r>
        <w:rPr>
          <w:rFonts w:hint="eastAsia" w:ascii="宋体" w:hAnsi="宋体" w:eastAsia="宋体" w:cs="宋体"/>
          <w:sz w:val="24"/>
          <w:szCs w:val="24"/>
          <w:highlight w:val="none"/>
          <w:lang w:eastAsia="zh-CN"/>
        </w:rPr>
        <w:t>之间，修枝枝茬高度小于</w:t>
      </w:r>
      <w:r>
        <w:rPr>
          <w:rFonts w:hint="eastAsia" w:ascii="宋体" w:hAnsi="宋体"/>
          <w:sz w:val="24"/>
          <w:szCs w:val="24"/>
          <w:highlight w:val="none"/>
          <w:lang w:eastAsia="zh-CN"/>
        </w:rPr>
        <w:t>1.5cm</w:t>
      </w:r>
      <w:r>
        <w:rPr>
          <w:rFonts w:hint="eastAsia" w:ascii="宋体" w:hAnsi="宋体" w:eastAsia="宋体" w:cs="宋体"/>
          <w:sz w:val="24"/>
          <w:szCs w:val="24"/>
          <w:highlight w:val="none"/>
          <w:lang w:eastAsia="zh-CN"/>
        </w:rPr>
        <w:t>，施工工具用手锯、砍刀均可。细小枝条用镰刀或砍刀，紧贴树干由下向上剃削，不留茬，要保持切口平滑，避免刮伤树皮。对于较粗大的树枝，用锯先从下向上锯，再由上向下锯，避免劈裂或扯破树皮。采取留桩法和平切法，修去枯死枝（针叶树）和树冠下部</w:t>
      </w:r>
      <w:r>
        <w:rPr>
          <w:rFonts w:hint="eastAsia" w:ascii="宋体" w:hAnsi="宋体"/>
          <w:sz w:val="24"/>
          <w:szCs w:val="24"/>
          <w:highlight w:val="none"/>
          <w:lang w:eastAsia="zh-CN"/>
        </w:rPr>
        <w:t>1—2</w:t>
      </w:r>
      <w:r>
        <w:rPr>
          <w:rFonts w:hint="eastAsia" w:ascii="宋体" w:hAnsi="宋体" w:eastAsia="宋体" w:cs="宋体"/>
          <w:sz w:val="24"/>
          <w:szCs w:val="24"/>
          <w:highlight w:val="none"/>
          <w:lang w:eastAsia="zh-CN"/>
        </w:rPr>
        <w:t>轮活枝（阔叶树）；幼龄林阶段修枝强度不超过树高的</w:t>
      </w:r>
      <w:r>
        <w:rPr>
          <w:rFonts w:hint="eastAsia" w:ascii="宋体" w:hAnsi="宋体"/>
          <w:sz w:val="24"/>
          <w:szCs w:val="24"/>
          <w:highlight w:val="none"/>
          <w:lang w:eastAsia="zh-CN"/>
        </w:rPr>
        <w:t>1/3；综合抚育作业29个小班，规</w:t>
      </w:r>
      <w:r>
        <w:rPr>
          <w:rFonts w:hint="eastAsia" w:ascii="宋体" w:hAnsi="宋体" w:eastAsia="宋体" w:cs="宋体"/>
          <w:sz w:val="24"/>
          <w:szCs w:val="24"/>
          <w:highlight w:val="none"/>
          <w:lang w:eastAsia="zh-CN"/>
        </w:rPr>
        <w:t>划抚育面积</w:t>
      </w:r>
      <w:r>
        <w:rPr>
          <w:rFonts w:hint="eastAsia" w:ascii="宋体" w:hAnsi="宋体"/>
          <w:sz w:val="24"/>
          <w:szCs w:val="24"/>
          <w:highlight w:val="none"/>
          <w:lang w:eastAsia="zh-CN"/>
        </w:rPr>
        <w:t>0.76</w:t>
      </w:r>
      <w:r>
        <w:rPr>
          <w:rFonts w:hint="eastAsia" w:ascii="宋体" w:hAnsi="宋体" w:eastAsia="宋体" w:cs="宋体"/>
          <w:sz w:val="24"/>
          <w:szCs w:val="24"/>
          <w:highlight w:val="none"/>
          <w:lang w:eastAsia="zh-CN"/>
        </w:rPr>
        <w:t>万亩，采伐株数强度在</w:t>
      </w:r>
      <w:r>
        <w:rPr>
          <w:rFonts w:hint="eastAsia" w:ascii="宋体" w:hAnsi="宋体"/>
          <w:sz w:val="24"/>
          <w:szCs w:val="24"/>
          <w:highlight w:val="none"/>
          <w:lang w:eastAsia="zh-CN"/>
        </w:rPr>
        <w:t>19%-30%</w:t>
      </w:r>
      <w:r>
        <w:rPr>
          <w:rFonts w:hint="eastAsia" w:ascii="宋体" w:hAnsi="宋体" w:eastAsia="宋体" w:cs="宋体"/>
          <w:sz w:val="24"/>
          <w:szCs w:val="24"/>
          <w:highlight w:val="none"/>
          <w:lang w:eastAsia="zh-CN"/>
        </w:rPr>
        <w:t>之间，蓄积强度在</w:t>
      </w:r>
      <w:r>
        <w:rPr>
          <w:rFonts w:hint="eastAsia" w:ascii="宋体" w:hAnsi="宋体"/>
          <w:sz w:val="24"/>
          <w:szCs w:val="24"/>
          <w:highlight w:val="none"/>
          <w:lang w:eastAsia="zh-CN"/>
        </w:rPr>
        <w:t>1%-12%</w:t>
      </w:r>
      <w:r>
        <w:rPr>
          <w:rFonts w:hint="eastAsia" w:ascii="宋体" w:hAnsi="宋体" w:eastAsia="宋体" w:cs="宋体"/>
          <w:sz w:val="24"/>
          <w:szCs w:val="24"/>
          <w:highlight w:val="none"/>
          <w:lang w:eastAsia="zh-CN"/>
        </w:rPr>
        <w:t>之间。</w:t>
      </w:r>
    </w:p>
    <w:p w14:paraId="6742A93A">
      <w:pPr>
        <w:spacing w:before="3" w:line="480" w:lineRule="atLeast"/>
        <w:ind w:left="23" w:right="198" w:firstLine="476"/>
        <w:rPr>
          <w:rFonts w:ascii="宋体" w:hAnsi="宋体"/>
          <w:sz w:val="24"/>
          <w:szCs w:val="24"/>
          <w:highlight w:val="none"/>
          <w:lang w:eastAsia="zh-CN"/>
        </w:rPr>
      </w:pPr>
      <w:r>
        <w:rPr>
          <w:rFonts w:hint="eastAsia" w:ascii="宋体" w:hAnsi="宋体"/>
          <w:sz w:val="24"/>
          <w:szCs w:val="24"/>
          <w:highlight w:val="none"/>
          <w:lang w:eastAsia="zh-CN"/>
        </w:rPr>
        <w:t>2.2 .3</w:t>
      </w:r>
      <w:r>
        <w:rPr>
          <w:rFonts w:hint="eastAsia" w:ascii="宋体" w:hAnsi="宋体" w:eastAsia="宋体" w:cs="宋体"/>
          <w:sz w:val="24"/>
          <w:szCs w:val="24"/>
          <w:highlight w:val="none"/>
          <w:lang w:eastAsia="zh-CN"/>
        </w:rPr>
        <w:t>作业后效果要求</w:t>
      </w:r>
    </w:p>
    <w:p w14:paraId="2412C26F">
      <w:pPr>
        <w:spacing w:before="3" w:line="480" w:lineRule="atLeast"/>
        <w:ind w:left="23" w:right="198" w:firstLine="476"/>
        <w:rPr>
          <w:rFonts w:ascii="宋体" w:hAnsi="宋体"/>
          <w:sz w:val="24"/>
          <w:szCs w:val="24"/>
          <w:highlight w:val="none"/>
          <w:lang w:eastAsia="zh-CN"/>
        </w:rPr>
      </w:pPr>
      <w:r>
        <w:rPr>
          <w:rFonts w:hint="eastAsia" w:ascii="宋体" w:hAnsi="宋体" w:eastAsia="宋体" w:cs="宋体"/>
          <w:sz w:val="24"/>
          <w:szCs w:val="24"/>
          <w:highlight w:val="none"/>
          <w:lang w:eastAsia="zh-CN"/>
        </w:rPr>
        <w:t>森林抚育作业是为保留木释放林木生长空间，优化、调整林分结构，保护促进天然更新。改善竞争关系、调节树种组成、促进天然更新。抚育作业后林分郁闭度一次性降低不能超过</w:t>
      </w:r>
      <w:r>
        <w:rPr>
          <w:rFonts w:hint="eastAsia" w:ascii="宋体" w:hAnsi="宋体"/>
          <w:sz w:val="24"/>
          <w:szCs w:val="24"/>
          <w:highlight w:val="none"/>
          <w:lang w:eastAsia="zh-CN"/>
        </w:rPr>
        <w:t>0.2</w:t>
      </w:r>
      <w:r>
        <w:rPr>
          <w:rFonts w:hint="eastAsia" w:ascii="宋体" w:hAnsi="宋体" w:eastAsia="宋体" w:cs="宋体"/>
          <w:sz w:val="24"/>
          <w:szCs w:val="24"/>
          <w:highlight w:val="none"/>
          <w:lang w:eastAsia="zh-CN"/>
        </w:rPr>
        <w:t>，抚育后郁闭度不低于</w:t>
      </w:r>
      <w:r>
        <w:rPr>
          <w:rFonts w:hint="eastAsia" w:ascii="宋体" w:hAnsi="宋体"/>
          <w:sz w:val="24"/>
          <w:szCs w:val="24"/>
          <w:highlight w:val="none"/>
          <w:lang w:eastAsia="zh-CN"/>
        </w:rPr>
        <w:t>0.6</w:t>
      </w:r>
      <w:r>
        <w:rPr>
          <w:rFonts w:hint="eastAsia" w:ascii="宋体" w:hAnsi="宋体" w:eastAsia="宋体" w:cs="宋体"/>
          <w:sz w:val="24"/>
          <w:szCs w:val="24"/>
          <w:highlight w:val="none"/>
          <w:lang w:eastAsia="zh-CN"/>
        </w:rPr>
        <w:t>；株数间伐强度一般不低于</w:t>
      </w:r>
      <w:r>
        <w:rPr>
          <w:rFonts w:hint="eastAsia" w:ascii="宋体" w:hAnsi="宋体"/>
          <w:sz w:val="24"/>
          <w:szCs w:val="24"/>
          <w:highlight w:val="none"/>
          <w:lang w:eastAsia="zh-CN"/>
        </w:rPr>
        <w:t>15%</w:t>
      </w:r>
      <w:r>
        <w:rPr>
          <w:rFonts w:hint="eastAsia" w:ascii="宋体" w:hAnsi="宋体" w:eastAsia="宋体" w:cs="宋体"/>
          <w:sz w:val="24"/>
          <w:szCs w:val="24"/>
          <w:highlight w:val="none"/>
          <w:lang w:eastAsia="zh-CN"/>
        </w:rPr>
        <w:t>，不超过</w:t>
      </w:r>
      <w:r>
        <w:rPr>
          <w:rFonts w:hint="eastAsia" w:ascii="宋体" w:hAnsi="宋体"/>
          <w:sz w:val="24"/>
          <w:szCs w:val="24"/>
          <w:highlight w:val="none"/>
          <w:lang w:eastAsia="zh-CN"/>
        </w:rPr>
        <w:t>35%</w:t>
      </w:r>
      <w:r>
        <w:rPr>
          <w:rFonts w:hint="eastAsia" w:ascii="宋体" w:hAnsi="宋体" w:eastAsia="宋体" w:cs="宋体"/>
          <w:sz w:val="24"/>
          <w:szCs w:val="24"/>
          <w:highlight w:val="none"/>
          <w:lang w:eastAsia="zh-CN"/>
        </w:rPr>
        <w:t>；蓄积强度视林分实际情况，原则上不高于</w:t>
      </w:r>
      <w:r>
        <w:rPr>
          <w:rFonts w:hint="eastAsia" w:ascii="宋体" w:hAnsi="宋体"/>
          <w:sz w:val="24"/>
          <w:szCs w:val="24"/>
          <w:highlight w:val="none"/>
          <w:lang w:eastAsia="zh-CN"/>
        </w:rPr>
        <w:t>20%</w:t>
      </w:r>
      <w:r>
        <w:rPr>
          <w:rFonts w:hint="eastAsia" w:ascii="宋体" w:hAnsi="宋体" w:eastAsia="宋体" w:cs="宋体"/>
          <w:sz w:val="24"/>
          <w:szCs w:val="24"/>
          <w:highlight w:val="none"/>
          <w:lang w:eastAsia="zh-CN"/>
        </w:rPr>
        <w:t>。</w:t>
      </w:r>
    </w:p>
    <w:p w14:paraId="3F1C2931">
      <w:pPr>
        <w:spacing w:before="3" w:line="480" w:lineRule="atLeast"/>
        <w:ind w:left="23" w:right="198" w:firstLine="476"/>
        <w:rPr>
          <w:rFonts w:ascii="宋体" w:hAnsi="宋体"/>
          <w:sz w:val="24"/>
          <w:szCs w:val="24"/>
          <w:highlight w:val="none"/>
          <w:lang w:eastAsia="zh-CN"/>
        </w:rPr>
      </w:pPr>
      <w:r>
        <w:rPr>
          <w:rFonts w:hint="eastAsia" w:ascii="宋体" w:hAnsi="宋体" w:eastAsia="宋体" w:cs="宋体"/>
          <w:sz w:val="24"/>
          <w:szCs w:val="24"/>
          <w:highlight w:val="none"/>
          <w:lang w:eastAsia="zh-CN"/>
        </w:rPr>
        <w:t>抚育作业后的林分应达到以下要求：</w:t>
      </w:r>
    </w:p>
    <w:p w14:paraId="0D7E6D77">
      <w:pPr>
        <w:spacing w:before="3" w:line="480" w:lineRule="atLeast"/>
        <w:ind w:left="23" w:right="198" w:firstLine="476"/>
        <w:rPr>
          <w:rFonts w:ascii="宋体" w:hAnsi="宋体"/>
          <w:sz w:val="24"/>
          <w:szCs w:val="24"/>
          <w:highlight w:val="none"/>
          <w:lang w:eastAsia="zh-CN"/>
        </w:rPr>
      </w:pPr>
      <w:r>
        <w:rPr>
          <w:rFonts w:hint="eastAsia" w:ascii="宋体" w:hAnsi="宋体"/>
          <w:sz w:val="24"/>
          <w:szCs w:val="24"/>
          <w:highlight w:val="none"/>
          <w:lang w:eastAsia="zh-CN"/>
        </w:rPr>
        <w:t>(1)</w:t>
      </w:r>
      <w:r>
        <w:rPr>
          <w:rFonts w:hint="eastAsia" w:ascii="宋体" w:hAnsi="宋体" w:eastAsia="宋体" w:cs="宋体"/>
          <w:sz w:val="24"/>
          <w:szCs w:val="24"/>
          <w:highlight w:val="none"/>
          <w:lang w:eastAsia="zh-CN"/>
        </w:rPr>
        <w:t>林分郁闭度不低于</w:t>
      </w:r>
      <w:r>
        <w:rPr>
          <w:rFonts w:hint="eastAsia" w:ascii="宋体" w:hAnsi="宋体"/>
          <w:sz w:val="24"/>
          <w:szCs w:val="24"/>
          <w:highlight w:val="none"/>
          <w:lang w:eastAsia="zh-CN"/>
        </w:rPr>
        <w:t>0.6</w:t>
      </w:r>
      <w:r>
        <w:rPr>
          <w:rFonts w:hint="eastAsia" w:ascii="宋体" w:hAnsi="宋体" w:eastAsia="宋体" w:cs="宋体"/>
          <w:sz w:val="24"/>
          <w:szCs w:val="24"/>
          <w:highlight w:val="none"/>
          <w:lang w:eastAsia="zh-CN"/>
        </w:rPr>
        <w:t>；</w:t>
      </w:r>
    </w:p>
    <w:p w14:paraId="70376A5D">
      <w:pPr>
        <w:spacing w:before="3" w:line="480" w:lineRule="atLeast"/>
        <w:ind w:left="23" w:right="198" w:firstLine="476"/>
        <w:rPr>
          <w:rFonts w:ascii="宋体" w:hAnsi="宋体"/>
          <w:sz w:val="24"/>
          <w:szCs w:val="24"/>
          <w:highlight w:val="none"/>
          <w:lang w:eastAsia="zh-CN"/>
        </w:rPr>
      </w:pPr>
      <w:r>
        <w:rPr>
          <w:rFonts w:hint="eastAsia" w:ascii="宋体" w:hAnsi="宋体"/>
          <w:sz w:val="24"/>
          <w:szCs w:val="24"/>
          <w:highlight w:val="none"/>
          <w:lang w:eastAsia="zh-CN"/>
        </w:rPr>
        <w:t>(2)</w:t>
      </w:r>
      <w:r>
        <w:rPr>
          <w:rFonts w:hint="eastAsia" w:ascii="宋体" w:hAnsi="宋体" w:eastAsia="宋体" w:cs="宋体"/>
          <w:sz w:val="24"/>
          <w:szCs w:val="24"/>
          <w:highlight w:val="none"/>
          <w:lang w:eastAsia="zh-CN"/>
        </w:rPr>
        <w:t>在容易遭受风倒、雪压危害的地段，或第一次抚育采伐时，郁闭度降低不超过</w:t>
      </w:r>
      <w:r>
        <w:rPr>
          <w:rFonts w:hint="eastAsia" w:ascii="宋体" w:hAnsi="宋体"/>
          <w:sz w:val="24"/>
          <w:szCs w:val="24"/>
          <w:highlight w:val="none"/>
          <w:lang w:eastAsia="zh-CN"/>
        </w:rPr>
        <w:t>0.2</w:t>
      </w:r>
      <w:r>
        <w:rPr>
          <w:rFonts w:hint="eastAsia" w:ascii="宋体" w:hAnsi="宋体" w:eastAsia="宋体" w:cs="宋体"/>
          <w:sz w:val="24"/>
          <w:szCs w:val="24"/>
          <w:highlight w:val="none"/>
          <w:lang w:eastAsia="zh-CN"/>
        </w:rPr>
        <w:t>；</w:t>
      </w:r>
    </w:p>
    <w:p w14:paraId="1FB41326">
      <w:pPr>
        <w:spacing w:before="3" w:line="480" w:lineRule="atLeast"/>
        <w:ind w:left="23" w:right="198" w:firstLine="476"/>
        <w:rPr>
          <w:rFonts w:ascii="宋体" w:hAnsi="宋体"/>
          <w:sz w:val="24"/>
          <w:szCs w:val="24"/>
          <w:highlight w:val="none"/>
          <w:lang w:eastAsia="zh-CN"/>
        </w:rPr>
      </w:pPr>
      <w:r>
        <w:rPr>
          <w:rFonts w:hint="eastAsia" w:ascii="宋体" w:hAnsi="宋体"/>
          <w:sz w:val="24"/>
          <w:szCs w:val="24"/>
          <w:highlight w:val="none"/>
          <w:lang w:eastAsia="zh-CN"/>
        </w:rPr>
        <w:t>(3)</w:t>
      </w:r>
      <w:r>
        <w:rPr>
          <w:rFonts w:hint="eastAsia" w:ascii="宋体" w:hAnsi="宋体" w:eastAsia="宋体" w:cs="宋体"/>
          <w:sz w:val="24"/>
          <w:szCs w:val="24"/>
          <w:highlight w:val="none"/>
          <w:lang w:eastAsia="zh-CN"/>
        </w:rPr>
        <w:t>林分目的树种和辅助树种的林木株数所占林分总株数的比例不减少；</w:t>
      </w:r>
    </w:p>
    <w:p w14:paraId="3337A2EF">
      <w:pPr>
        <w:spacing w:before="3" w:line="480" w:lineRule="atLeast"/>
        <w:ind w:left="23" w:right="198" w:firstLine="476"/>
        <w:rPr>
          <w:rFonts w:ascii="宋体" w:hAnsi="宋体"/>
          <w:sz w:val="24"/>
          <w:szCs w:val="24"/>
          <w:highlight w:val="none"/>
          <w:lang w:eastAsia="zh-CN"/>
        </w:rPr>
      </w:pPr>
      <w:r>
        <w:rPr>
          <w:rFonts w:hint="eastAsia" w:ascii="宋体" w:hAnsi="宋体"/>
          <w:sz w:val="24"/>
          <w:szCs w:val="24"/>
          <w:highlight w:val="none"/>
          <w:lang w:eastAsia="zh-CN"/>
        </w:rPr>
        <w:t>(4)</w:t>
      </w:r>
      <w:r>
        <w:rPr>
          <w:rFonts w:hint="eastAsia" w:ascii="宋体" w:hAnsi="宋体" w:eastAsia="宋体" w:cs="宋体"/>
          <w:sz w:val="24"/>
          <w:szCs w:val="24"/>
          <w:highlight w:val="none"/>
          <w:lang w:eastAsia="zh-CN"/>
        </w:rPr>
        <w:t>林分目的树种平均胸径不低于采伐前平均胸径；</w:t>
      </w:r>
    </w:p>
    <w:p w14:paraId="274A74CC">
      <w:pPr>
        <w:spacing w:before="3" w:line="480" w:lineRule="atLeast"/>
        <w:ind w:left="23" w:right="198" w:firstLine="476"/>
        <w:rPr>
          <w:rFonts w:ascii="宋体" w:hAnsi="宋体"/>
          <w:sz w:val="24"/>
          <w:szCs w:val="24"/>
          <w:highlight w:val="none"/>
          <w:lang w:eastAsia="zh-CN"/>
        </w:rPr>
      </w:pPr>
      <w:r>
        <w:rPr>
          <w:rFonts w:hint="eastAsia" w:ascii="宋体" w:hAnsi="宋体"/>
          <w:sz w:val="24"/>
          <w:szCs w:val="24"/>
          <w:highlight w:val="none"/>
          <w:lang w:eastAsia="zh-CN"/>
        </w:rPr>
        <w:t>(5)</w:t>
      </w:r>
      <w:r>
        <w:rPr>
          <w:rFonts w:hint="eastAsia" w:ascii="宋体" w:hAnsi="宋体" w:eastAsia="宋体" w:cs="宋体"/>
          <w:sz w:val="24"/>
          <w:szCs w:val="24"/>
          <w:highlight w:val="none"/>
          <w:lang w:eastAsia="zh-CN"/>
        </w:rPr>
        <w:t>林木株数不少于该森林类型、生长发育阶段、立地条件的最低保留株数；</w:t>
      </w:r>
    </w:p>
    <w:p w14:paraId="4D43C060">
      <w:pPr>
        <w:spacing w:before="3" w:line="480" w:lineRule="atLeast"/>
        <w:ind w:left="23" w:right="198" w:firstLine="476"/>
        <w:rPr>
          <w:rFonts w:ascii="宋体" w:hAnsi="宋体"/>
          <w:sz w:val="24"/>
          <w:szCs w:val="24"/>
          <w:highlight w:val="none"/>
          <w:lang w:eastAsia="zh-CN"/>
        </w:rPr>
      </w:pPr>
      <w:r>
        <w:rPr>
          <w:rFonts w:hint="eastAsia" w:ascii="宋体" w:hAnsi="宋体"/>
          <w:sz w:val="24"/>
          <w:szCs w:val="24"/>
          <w:highlight w:val="none"/>
          <w:lang w:eastAsia="zh-CN"/>
        </w:rPr>
        <w:t>(6)</w:t>
      </w:r>
      <w:r>
        <w:rPr>
          <w:rFonts w:hint="eastAsia" w:ascii="宋体" w:hAnsi="宋体" w:eastAsia="宋体" w:cs="宋体"/>
          <w:sz w:val="24"/>
          <w:szCs w:val="24"/>
          <w:highlight w:val="none"/>
          <w:lang w:eastAsia="zh-CN"/>
        </w:rPr>
        <w:t>林木分布均匀，不造成林窗、林中空地等。对于天然林，如果出现林窗或林中空地则应进行补植；</w:t>
      </w:r>
    </w:p>
    <w:p w14:paraId="62AF4CB5">
      <w:pPr>
        <w:spacing w:before="3" w:line="480" w:lineRule="atLeast"/>
        <w:ind w:left="23" w:right="198" w:firstLine="476"/>
        <w:rPr>
          <w:rFonts w:ascii="宋体" w:hAnsi="宋体"/>
          <w:sz w:val="24"/>
          <w:szCs w:val="24"/>
          <w:highlight w:val="none"/>
          <w:lang w:eastAsia="zh-CN"/>
        </w:rPr>
      </w:pPr>
      <w:r>
        <w:rPr>
          <w:rFonts w:hint="eastAsia" w:ascii="宋体" w:hAnsi="宋体"/>
          <w:sz w:val="24"/>
          <w:szCs w:val="24"/>
          <w:highlight w:val="none"/>
          <w:lang w:eastAsia="zh-CN"/>
        </w:rPr>
        <w:t>2.3</w:t>
      </w:r>
      <w:r>
        <w:rPr>
          <w:rFonts w:hint="eastAsia" w:ascii="宋体" w:hAnsi="宋体" w:eastAsia="宋体" w:cs="宋体"/>
          <w:sz w:val="24"/>
          <w:szCs w:val="24"/>
          <w:highlight w:val="none"/>
          <w:lang w:eastAsia="zh-CN"/>
        </w:rPr>
        <w:t>生物多样性保护</w:t>
      </w:r>
    </w:p>
    <w:p w14:paraId="6FD2532F">
      <w:pPr>
        <w:spacing w:before="3" w:line="480" w:lineRule="atLeast"/>
        <w:ind w:left="23" w:right="198" w:firstLine="476"/>
        <w:rPr>
          <w:rFonts w:ascii="宋体" w:hAnsi="宋体"/>
          <w:sz w:val="24"/>
          <w:szCs w:val="24"/>
          <w:highlight w:val="none"/>
          <w:lang w:eastAsia="zh-CN"/>
        </w:rPr>
      </w:pPr>
      <w:r>
        <w:rPr>
          <w:rFonts w:hint="eastAsia" w:ascii="宋体" w:hAnsi="宋体" w:eastAsia="宋体" w:cs="宋体"/>
          <w:sz w:val="24"/>
          <w:szCs w:val="24"/>
          <w:highlight w:val="none"/>
          <w:lang w:eastAsia="zh-CN"/>
        </w:rPr>
        <w:t>森林抚育中保护生物多样性，需通过科学干预优化森林结构，模拟自然生态过程，在森林抚育作业中合理间伐，对密度过高的林分，移除病弱木、劣势木，保留乡土阔叶树及珍稀树种，形成</w:t>
      </w:r>
      <w:r>
        <w:rPr>
          <w:sz w:val="24"/>
          <w:szCs w:val="24"/>
          <w:highlight w:val="none"/>
          <w:lang w:eastAsia="zh-CN"/>
        </w:rPr>
        <w:t>“</w:t>
      </w:r>
      <w:r>
        <w:rPr>
          <w:rFonts w:hint="eastAsia" w:ascii="宋体" w:hAnsi="宋体" w:eastAsia="宋体" w:cs="宋体"/>
          <w:sz w:val="24"/>
          <w:szCs w:val="24"/>
          <w:highlight w:val="none"/>
          <w:lang w:eastAsia="zh-CN"/>
        </w:rPr>
        <w:t>针阔混交</w:t>
      </w:r>
      <w:r>
        <w:rPr>
          <w:sz w:val="24"/>
          <w:szCs w:val="24"/>
          <w:highlight w:val="none"/>
          <w:lang w:eastAsia="zh-CN"/>
        </w:rPr>
        <w:t>”</w:t>
      </w:r>
      <w:r>
        <w:rPr>
          <w:rFonts w:hint="eastAsia" w:ascii="宋体" w:hAnsi="宋体" w:eastAsia="宋体" w:cs="宋体"/>
          <w:sz w:val="24"/>
          <w:szCs w:val="24"/>
          <w:highlight w:val="none"/>
          <w:lang w:eastAsia="zh-CN"/>
        </w:rPr>
        <w:t>、</w:t>
      </w:r>
      <w:r>
        <w:rPr>
          <w:sz w:val="24"/>
          <w:szCs w:val="24"/>
          <w:highlight w:val="none"/>
          <w:lang w:eastAsia="zh-CN"/>
        </w:rPr>
        <w:t>“</w:t>
      </w:r>
      <w:r>
        <w:rPr>
          <w:rFonts w:hint="eastAsia" w:ascii="宋体" w:hAnsi="宋体" w:eastAsia="宋体" w:cs="宋体"/>
          <w:sz w:val="24"/>
          <w:szCs w:val="24"/>
          <w:highlight w:val="none"/>
          <w:lang w:eastAsia="zh-CN"/>
        </w:rPr>
        <w:t>异龄复层</w:t>
      </w:r>
      <w:r>
        <w:rPr>
          <w:sz w:val="24"/>
          <w:szCs w:val="24"/>
          <w:highlight w:val="none"/>
          <w:lang w:eastAsia="zh-CN"/>
        </w:rPr>
        <w:t>”</w:t>
      </w:r>
      <w:r>
        <w:rPr>
          <w:rFonts w:hint="eastAsia" w:ascii="宋体" w:hAnsi="宋体" w:eastAsia="宋体" w:cs="宋体"/>
          <w:sz w:val="24"/>
          <w:szCs w:val="24"/>
          <w:highlight w:val="none"/>
          <w:lang w:eastAsia="zh-CN"/>
        </w:rPr>
        <w:t>结构。维护灌木与地被层：抚育时避免全垦清理林下植物，保留蕨类、草本及低矮灌木。这些植被不仅是昆虫的食物源，还能为林蛙、刺猬等小型动物提供避难场所，同时通过凋落物改善土壤微生态。适当保留枯木与倒木：枯立木、倒木、腐烂的木材为真菌、甲虫提供栖息地。</w:t>
      </w:r>
    </w:p>
    <w:p w14:paraId="4292F83A">
      <w:pPr>
        <w:spacing w:before="3" w:line="480" w:lineRule="atLeast"/>
        <w:ind w:left="23" w:right="198" w:firstLine="476"/>
        <w:rPr>
          <w:rFonts w:ascii="宋体" w:hAnsi="宋体"/>
          <w:sz w:val="24"/>
          <w:szCs w:val="24"/>
          <w:highlight w:val="none"/>
          <w:lang w:eastAsia="zh-CN"/>
        </w:rPr>
      </w:pPr>
      <w:r>
        <w:rPr>
          <w:rFonts w:hint="eastAsia" w:ascii="宋体" w:hAnsi="宋体"/>
          <w:sz w:val="24"/>
          <w:szCs w:val="24"/>
          <w:highlight w:val="none"/>
          <w:lang w:eastAsia="zh-CN"/>
        </w:rPr>
        <w:t xml:space="preserve">2.4 </w:t>
      </w:r>
      <w:r>
        <w:rPr>
          <w:rFonts w:hint="eastAsia" w:ascii="宋体" w:hAnsi="宋体" w:eastAsia="宋体" w:cs="宋体"/>
          <w:sz w:val="24"/>
          <w:szCs w:val="24"/>
          <w:highlight w:val="none"/>
          <w:lang w:eastAsia="zh-CN"/>
        </w:rPr>
        <w:t>森林抚育剩余物清理</w:t>
      </w:r>
    </w:p>
    <w:p w14:paraId="01EDAB61">
      <w:pPr>
        <w:spacing w:before="3" w:line="480" w:lineRule="atLeast"/>
        <w:ind w:left="23" w:right="198" w:firstLine="476"/>
        <w:rPr>
          <w:rFonts w:ascii="宋体" w:hAnsi="宋体"/>
          <w:sz w:val="24"/>
          <w:szCs w:val="24"/>
          <w:highlight w:val="none"/>
          <w:lang w:eastAsia="zh-CN"/>
        </w:rPr>
      </w:pPr>
      <w:r>
        <w:rPr>
          <w:rFonts w:hint="eastAsia" w:ascii="宋体" w:hAnsi="宋体" w:eastAsia="宋体" w:cs="宋体"/>
          <w:sz w:val="24"/>
          <w:szCs w:val="24"/>
          <w:highlight w:val="none"/>
          <w:lang w:eastAsia="zh-CN"/>
        </w:rPr>
        <w:t>森林抚育抚育作业剩余物的处置应当综合考虑森林病虫害防治、森林防火、环境保护等要求，尽量将剩余物运出林区，有条件时，可粉碎后堆放于目标树根部周围。若确实无法运出，则应按下列要求进行堆放：一是应将剩余物按照大小进行分类，将原木段及大于</w:t>
      </w:r>
      <w:r>
        <w:rPr>
          <w:rFonts w:hint="eastAsia" w:ascii="宋体" w:hAnsi="宋体"/>
          <w:sz w:val="24"/>
          <w:szCs w:val="24"/>
          <w:highlight w:val="none"/>
          <w:lang w:eastAsia="zh-CN"/>
        </w:rPr>
        <w:t>3</w:t>
      </w:r>
      <w:r>
        <w:rPr>
          <w:rFonts w:hint="eastAsia" w:ascii="宋体" w:hAnsi="宋体" w:eastAsia="宋体" w:cs="宋体"/>
          <w:sz w:val="24"/>
          <w:szCs w:val="24"/>
          <w:highlight w:val="none"/>
          <w:lang w:eastAsia="zh-CN"/>
        </w:rPr>
        <w:t>公分的枝条和</w:t>
      </w:r>
      <w:r>
        <w:rPr>
          <w:rFonts w:hint="eastAsia" w:ascii="宋体" w:hAnsi="宋体"/>
          <w:sz w:val="24"/>
          <w:szCs w:val="24"/>
          <w:highlight w:val="none"/>
          <w:lang w:eastAsia="zh-CN"/>
        </w:rPr>
        <w:t>3</w:t>
      </w:r>
      <w:r>
        <w:rPr>
          <w:rFonts w:hint="eastAsia" w:ascii="宋体" w:hAnsi="宋体" w:eastAsia="宋体" w:cs="宋体"/>
          <w:sz w:val="24"/>
          <w:szCs w:val="24"/>
          <w:highlight w:val="none"/>
          <w:lang w:eastAsia="zh-CN"/>
        </w:rPr>
        <w:t>公分以下的枝条进行分别堆放；二是在堆放剩余物时，以横山带堆积的方式按一定间距均匀堆放在林内；三是原木段及大于</w:t>
      </w:r>
      <w:r>
        <w:rPr>
          <w:rFonts w:hint="eastAsia" w:ascii="宋体" w:hAnsi="宋体"/>
          <w:sz w:val="24"/>
          <w:szCs w:val="24"/>
          <w:highlight w:val="none"/>
          <w:lang w:eastAsia="zh-CN"/>
        </w:rPr>
        <w:t>3</w:t>
      </w:r>
      <w:r>
        <w:rPr>
          <w:rFonts w:hint="eastAsia" w:ascii="宋体" w:hAnsi="宋体" w:eastAsia="宋体" w:cs="宋体"/>
          <w:sz w:val="24"/>
          <w:szCs w:val="24"/>
          <w:highlight w:val="none"/>
          <w:lang w:eastAsia="zh-CN"/>
        </w:rPr>
        <w:t>公分的枝条堆放时，要堆放整齐；</w:t>
      </w:r>
      <w:r>
        <w:rPr>
          <w:rFonts w:hint="eastAsia" w:ascii="宋体" w:hAnsi="宋体"/>
          <w:sz w:val="24"/>
          <w:szCs w:val="24"/>
          <w:highlight w:val="none"/>
          <w:lang w:eastAsia="zh-CN"/>
        </w:rPr>
        <w:t>3</w:t>
      </w:r>
      <w:r>
        <w:rPr>
          <w:rFonts w:hint="eastAsia" w:ascii="宋体" w:hAnsi="宋体" w:eastAsia="宋体" w:cs="宋体"/>
          <w:sz w:val="24"/>
          <w:szCs w:val="24"/>
          <w:highlight w:val="none"/>
          <w:lang w:eastAsia="zh-CN"/>
        </w:rPr>
        <w:t>公分以下所剪的树枝、所伐的林木适当短截，并压实压紧堆集，堆集高度不超过</w:t>
      </w:r>
      <w:r>
        <w:rPr>
          <w:rFonts w:hint="eastAsia" w:ascii="宋体" w:hAnsi="宋体"/>
          <w:sz w:val="24"/>
          <w:szCs w:val="24"/>
          <w:highlight w:val="none"/>
          <w:lang w:eastAsia="zh-CN"/>
        </w:rPr>
        <w:t>1</w:t>
      </w:r>
      <w:r>
        <w:rPr>
          <w:rFonts w:hint="eastAsia" w:ascii="宋体" w:hAnsi="宋体" w:eastAsia="宋体" w:cs="宋体"/>
          <w:sz w:val="24"/>
          <w:szCs w:val="24"/>
          <w:highlight w:val="none"/>
          <w:lang w:eastAsia="zh-CN"/>
        </w:rPr>
        <w:t>米；四是对于感染林业检疫性有害生物的林木、采伐剩余物等，要全株清理出林分，集中烧毁或集中深埋。</w:t>
      </w:r>
    </w:p>
    <w:p w14:paraId="135FEE05">
      <w:pPr>
        <w:spacing w:before="3" w:line="480" w:lineRule="atLeast"/>
        <w:ind w:left="23" w:right="198" w:firstLine="476"/>
        <w:rPr>
          <w:rFonts w:ascii="宋体" w:hAnsi="宋体"/>
          <w:sz w:val="24"/>
          <w:szCs w:val="24"/>
          <w:highlight w:val="none"/>
          <w:lang w:eastAsia="zh-CN"/>
        </w:rPr>
      </w:pPr>
      <w:r>
        <w:rPr>
          <w:rFonts w:hint="eastAsia" w:ascii="宋体" w:hAnsi="宋体" w:eastAsia="宋体" w:cs="宋体"/>
          <w:sz w:val="24"/>
          <w:szCs w:val="24"/>
          <w:highlight w:val="none"/>
          <w:lang w:eastAsia="zh-CN"/>
        </w:rPr>
        <w:t>本次森林抚育作业，用工作业主要用于采伐林木、修枝、割灌除草、外运采伐木、修剪树枝外运或堆集等，全县采伐林木约</w:t>
      </w:r>
      <w:r>
        <w:rPr>
          <w:rFonts w:hint="eastAsia" w:ascii="宋体" w:hAnsi="宋体"/>
          <w:sz w:val="24"/>
          <w:szCs w:val="24"/>
          <w:highlight w:val="none"/>
          <w:lang w:eastAsia="zh-CN"/>
        </w:rPr>
        <w:t>34.0995</w:t>
      </w:r>
      <w:r>
        <w:rPr>
          <w:rFonts w:hint="eastAsia" w:ascii="宋体" w:hAnsi="宋体" w:eastAsia="宋体" w:cs="宋体"/>
          <w:sz w:val="24"/>
          <w:szCs w:val="24"/>
          <w:highlight w:val="none"/>
          <w:lang w:eastAsia="zh-CN"/>
        </w:rPr>
        <w:t>万株，采伐蓄积约</w:t>
      </w:r>
      <w:r>
        <w:rPr>
          <w:rFonts w:hint="eastAsia" w:ascii="宋体" w:hAnsi="宋体"/>
          <w:sz w:val="24"/>
          <w:szCs w:val="24"/>
          <w:highlight w:val="none"/>
          <w:lang w:eastAsia="zh-CN"/>
        </w:rPr>
        <w:t>1780.68m³</w:t>
      </w:r>
      <w:r>
        <w:rPr>
          <w:rFonts w:hint="eastAsia" w:ascii="宋体" w:hAnsi="宋体" w:eastAsia="宋体" w:cs="宋体"/>
          <w:sz w:val="24"/>
          <w:szCs w:val="24"/>
          <w:highlight w:val="none"/>
          <w:lang w:eastAsia="zh-CN"/>
        </w:rPr>
        <w:t>，出材量约</w:t>
      </w:r>
      <w:r>
        <w:rPr>
          <w:rFonts w:hint="eastAsia" w:ascii="宋体" w:hAnsi="宋体"/>
          <w:sz w:val="24"/>
          <w:szCs w:val="24"/>
          <w:highlight w:val="none"/>
          <w:lang w:eastAsia="zh-CN"/>
        </w:rPr>
        <w:t>712.27m³</w:t>
      </w:r>
      <w:r>
        <w:rPr>
          <w:rFonts w:hint="eastAsia" w:ascii="宋体" w:hAnsi="宋体" w:eastAsia="宋体" w:cs="宋体"/>
          <w:sz w:val="24"/>
          <w:szCs w:val="24"/>
          <w:highlight w:val="none"/>
          <w:lang w:eastAsia="zh-CN"/>
        </w:rPr>
        <w:t>，修枝约</w:t>
      </w:r>
      <w:r>
        <w:rPr>
          <w:rFonts w:hint="eastAsia" w:ascii="宋体" w:hAnsi="宋体"/>
          <w:sz w:val="24"/>
          <w:szCs w:val="24"/>
          <w:highlight w:val="none"/>
          <w:lang w:eastAsia="zh-CN"/>
        </w:rPr>
        <w:t>108.6573</w:t>
      </w:r>
      <w:r>
        <w:rPr>
          <w:rFonts w:hint="eastAsia" w:ascii="宋体" w:hAnsi="宋体" w:eastAsia="宋体" w:cs="宋体"/>
          <w:sz w:val="24"/>
          <w:szCs w:val="24"/>
          <w:highlight w:val="none"/>
          <w:lang w:eastAsia="zh-CN"/>
        </w:rPr>
        <w:t>万株，割灌除草约</w:t>
      </w:r>
      <w:r>
        <w:rPr>
          <w:rFonts w:hint="eastAsia" w:ascii="宋体" w:hAnsi="宋体"/>
          <w:sz w:val="24"/>
          <w:szCs w:val="24"/>
          <w:highlight w:val="none"/>
          <w:lang w:eastAsia="zh-CN"/>
        </w:rPr>
        <w:t>108.6573</w:t>
      </w:r>
      <w:r>
        <w:rPr>
          <w:rFonts w:hint="eastAsia" w:ascii="宋体" w:hAnsi="宋体" w:eastAsia="宋体" w:cs="宋体"/>
          <w:sz w:val="24"/>
          <w:szCs w:val="24"/>
          <w:highlight w:val="none"/>
          <w:lang w:eastAsia="zh-CN"/>
        </w:rPr>
        <w:t>万株，剩余物清理</w:t>
      </w:r>
      <w:r>
        <w:rPr>
          <w:rFonts w:hint="eastAsia" w:ascii="宋体" w:hAnsi="宋体"/>
          <w:sz w:val="24"/>
          <w:szCs w:val="24"/>
          <w:highlight w:val="none"/>
          <w:lang w:eastAsia="zh-CN"/>
        </w:rPr>
        <w:t>712.27m³</w:t>
      </w:r>
      <w:r>
        <w:rPr>
          <w:rFonts w:hint="eastAsia" w:ascii="宋体" w:hAnsi="宋体" w:eastAsia="宋体" w:cs="宋体"/>
          <w:sz w:val="24"/>
          <w:szCs w:val="24"/>
          <w:highlight w:val="none"/>
          <w:lang w:eastAsia="zh-CN"/>
        </w:rPr>
        <w:t>。</w:t>
      </w:r>
    </w:p>
    <w:p w14:paraId="1175EC0D">
      <w:pPr>
        <w:spacing w:before="3" w:line="480" w:lineRule="atLeast"/>
        <w:ind w:left="23" w:right="198" w:firstLine="476"/>
        <w:rPr>
          <w:rFonts w:ascii="宋体" w:hAnsi="宋体"/>
          <w:sz w:val="24"/>
          <w:szCs w:val="24"/>
          <w:highlight w:val="none"/>
          <w:lang w:eastAsia="zh-CN"/>
        </w:rPr>
      </w:pPr>
      <w:r>
        <w:rPr>
          <w:rFonts w:hint="eastAsia" w:ascii="宋体" w:hAnsi="宋体"/>
          <w:sz w:val="24"/>
          <w:szCs w:val="24"/>
          <w:highlight w:val="none"/>
          <w:lang w:eastAsia="zh-CN"/>
        </w:rPr>
        <w:t>2.5</w:t>
      </w:r>
      <w:r>
        <w:rPr>
          <w:rFonts w:hint="eastAsia" w:ascii="宋体" w:hAnsi="宋体" w:eastAsia="宋体" w:cs="宋体"/>
          <w:sz w:val="24"/>
          <w:szCs w:val="24"/>
          <w:highlight w:val="none"/>
          <w:lang w:eastAsia="zh-CN"/>
        </w:rPr>
        <w:t>安全管理</w:t>
      </w:r>
    </w:p>
    <w:p w14:paraId="0367EDCA">
      <w:pPr>
        <w:spacing w:before="3" w:line="480" w:lineRule="atLeast"/>
        <w:ind w:left="23" w:right="198" w:firstLine="476"/>
        <w:rPr>
          <w:rFonts w:ascii="宋体" w:hAnsi="宋体"/>
          <w:sz w:val="24"/>
          <w:szCs w:val="24"/>
          <w:highlight w:val="none"/>
          <w:lang w:eastAsia="zh-CN"/>
        </w:rPr>
      </w:pPr>
      <w:r>
        <w:rPr>
          <w:rFonts w:hint="eastAsia" w:ascii="宋体" w:hAnsi="宋体" w:eastAsia="宋体" w:cs="宋体"/>
          <w:sz w:val="24"/>
          <w:szCs w:val="24"/>
          <w:highlight w:val="none"/>
          <w:lang w:eastAsia="zh-CN"/>
        </w:rPr>
        <w:t>安全管理工作应贯穿森林抚育作业全周期，即从前期作业设计外业调查、现场作业施工、后期检查验收全过程，通过风险预判、流程规范、应急和防护措施，预防人员伤亡、设备损坏及森林生态破坏。</w:t>
      </w:r>
    </w:p>
    <w:p w14:paraId="1CDE70DB">
      <w:pPr>
        <w:spacing w:before="3" w:line="480" w:lineRule="atLeast"/>
        <w:ind w:left="23" w:right="198" w:firstLine="476"/>
        <w:rPr>
          <w:rFonts w:ascii="宋体" w:hAnsi="宋体"/>
          <w:sz w:val="24"/>
          <w:szCs w:val="24"/>
          <w:highlight w:val="none"/>
          <w:lang w:eastAsia="zh-CN"/>
        </w:rPr>
      </w:pPr>
      <w:r>
        <w:rPr>
          <w:rFonts w:hint="eastAsia" w:ascii="宋体" w:hAnsi="宋体"/>
          <w:sz w:val="24"/>
          <w:szCs w:val="24"/>
          <w:highlight w:val="none"/>
          <w:lang w:eastAsia="zh-CN"/>
        </w:rPr>
        <w:t>2.6</w:t>
      </w:r>
      <w:r>
        <w:rPr>
          <w:rFonts w:hint="eastAsia" w:ascii="宋体" w:hAnsi="宋体" w:eastAsia="宋体" w:cs="宋体"/>
          <w:sz w:val="24"/>
          <w:szCs w:val="24"/>
          <w:highlight w:val="none"/>
          <w:lang w:eastAsia="zh-CN"/>
        </w:rPr>
        <w:t>前期风险防范</w:t>
      </w:r>
    </w:p>
    <w:p w14:paraId="14DC9983">
      <w:pPr>
        <w:spacing w:before="3" w:line="480" w:lineRule="atLeast"/>
        <w:ind w:left="23" w:right="198" w:firstLine="476"/>
        <w:rPr>
          <w:rFonts w:ascii="宋体" w:hAnsi="宋体"/>
          <w:sz w:val="24"/>
          <w:szCs w:val="24"/>
          <w:highlight w:val="none"/>
          <w:lang w:eastAsia="zh-CN"/>
        </w:rPr>
      </w:pPr>
      <w:r>
        <w:rPr>
          <w:rFonts w:hint="eastAsia" w:ascii="宋体" w:hAnsi="宋体"/>
          <w:sz w:val="24"/>
          <w:szCs w:val="24"/>
          <w:highlight w:val="none"/>
          <w:lang w:eastAsia="zh-CN"/>
        </w:rPr>
        <w:t xml:space="preserve"> </w:t>
      </w:r>
      <w:r>
        <w:rPr>
          <w:rFonts w:hint="eastAsia" w:ascii="宋体" w:hAnsi="宋体" w:eastAsia="宋体" w:cs="宋体"/>
          <w:sz w:val="24"/>
          <w:szCs w:val="24"/>
          <w:highlight w:val="none"/>
          <w:lang w:eastAsia="zh-CN"/>
        </w:rPr>
        <w:t>提前识别潜在风险，从源头规避安全隐患，排查作业区域：明确标注作业区内的危险区域，包括陡坡、悬崖、沟壑、高压线路、有毒植物、野生动物栖息地。作业时段与天气规划：避开暴雨、大风、大雾、高温或严寒天气；山区作业需避开早晨露水期（防止滑倒）和傍晚视线不良时段。根据抚育任务合理配置设备，明确设备操作人员，禁止使用老化、故障设备，同时根据作业人数合理划分作业小组（每组</w:t>
      </w:r>
      <w:r>
        <w:rPr>
          <w:rFonts w:hint="eastAsia" w:ascii="宋体" w:hAnsi="宋体"/>
          <w:sz w:val="24"/>
          <w:szCs w:val="24"/>
          <w:highlight w:val="none"/>
          <w:lang w:eastAsia="zh-CN"/>
        </w:rPr>
        <w:t>2-3</w:t>
      </w:r>
      <w:r>
        <w:rPr>
          <w:rFonts w:hint="eastAsia" w:ascii="宋体" w:hAnsi="宋体" w:eastAsia="宋体" w:cs="宋体"/>
          <w:sz w:val="24"/>
          <w:szCs w:val="24"/>
          <w:highlight w:val="none"/>
          <w:lang w:eastAsia="zh-CN"/>
        </w:rPr>
        <w:t>人，避免单人作业）。</w:t>
      </w:r>
    </w:p>
    <w:p w14:paraId="7EE74DBC">
      <w:pPr>
        <w:spacing w:before="3" w:line="480" w:lineRule="atLeast"/>
        <w:ind w:left="23" w:right="198" w:firstLine="476"/>
        <w:rPr>
          <w:rFonts w:ascii="宋体" w:hAnsi="宋体"/>
          <w:sz w:val="24"/>
          <w:szCs w:val="24"/>
          <w:highlight w:val="none"/>
          <w:lang w:eastAsia="zh-CN"/>
        </w:rPr>
      </w:pPr>
      <w:r>
        <w:rPr>
          <w:rFonts w:hint="eastAsia" w:ascii="宋体" w:hAnsi="宋体"/>
          <w:sz w:val="24"/>
          <w:szCs w:val="24"/>
          <w:highlight w:val="none"/>
          <w:lang w:eastAsia="zh-CN"/>
        </w:rPr>
        <w:t>2.7</w:t>
      </w:r>
      <w:r>
        <w:rPr>
          <w:rFonts w:hint="eastAsia" w:ascii="宋体" w:hAnsi="宋体" w:eastAsia="宋体" w:cs="宋体"/>
          <w:sz w:val="24"/>
          <w:szCs w:val="24"/>
          <w:highlight w:val="none"/>
          <w:lang w:eastAsia="zh-CN"/>
        </w:rPr>
        <w:t>作业流程安全管理</w:t>
      </w:r>
    </w:p>
    <w:p w14:paraId="364CFE7F">
      <w:pPr>
        <w:spacing w:before="3" w:line="480" w:lineRule="atLeast"/>
        <w:ind w:left="23" w:right="198" w:firstLine="476"/>
        <w:rPr>
          <w:rFonts w:ascii="宋体" w:hAnsi="宋体"/>
          <w:sz w:val="24"/>
          <w:szCs w:val="24"/>
          <w:highlight w:val="none"/>
          <w:lang w:eastAsia="zh-CN"/>
        </w:rPr>
      </w:pPr>
      <w:r>
        <w:rPr>
          <w:rFonts w:hint="eastAsia" w:ascii="宋体" w:hAnsi="宋体"/>
          <w:sz w:val="24"/>
          <w:szCs w:val="24"/>
          <w:highlight w:val="none"/>
          <w:lang w:eastAsia="zh-CN"/>
        </w:rPr>
        <w:t xml:space="preserve"> </w:t>
      </w:r>
      <w:r>
        <w:rPr>
          <w:rFonts w:hint="eastAsia" w:ascii="宋体" w:hAnsi="宋体" w:eastAsia="宋体" w:cs="宋体"/>
          <w:sz w:val="24"/>
          <w:szCs w:val="24"/>
          <w:highlight w:val="none"/>
          <w:lang w:eastAsia="zh-CN"/>
        </w:rPr>
        <w:t>规范操作步骤，明确各环节安全要求，减少人为失误风险。核心作业安全规范，在间伐作业中，确定树木倾倒方向（远离作业人员、设备及周边林木），提前清理倾倒路径上的障碍物；使用油锯时，锯链需保持锋利且防护装置完好，禁止在身体正前方或上方作业。物料转运路径需提前清理，确保无凸起石块、树根等绊倒隐患。生态安全防护：避免在作业中破坏林地土壤，作业后及时清理残留的机油、燃油（防止污染土壤和水源），抚育剩余物可就地堆肥或集中处理。</w:t>
      </w:r>
    </w:p>
    <w:p w14:paraId="463E907B">
      <w:pPr>
        <w:spacing w:before="3" w:line="480" w:lineRule="atLeast"/>
        <w:ind w:left="23" w:right="198" w:firstLine="476"/>
        <w:rPr>
          <w:rFonts w:ascii="宋体" w:hAnsi="宋体"/>
          <w:sz w:val="24"/>
          <w:szCs w:val="24"/>
          <w:highlight w:val="none"/>
          <w:lang w:eastAsia="zh-CN"/>
        </w:rPr>
      </w:pPr>
      <w:r>
        <w:rPr>
          <w:rFonts w:hint="eastAsia" w:ascii="宋体" w:hAnsi="宋体" w:eastAsia="宋体" w:cs="宋体"/>
          <w:sz w:val="24"/>
          <w:szCs w:val="24"/>
          <w:highlight w:val="none"/>
          <w:lang w:eastAsia="zh-CN"/>
        </w:rPr>
        <w:t>加强现场安全监督，每个施工组均应设置专职安全员，全程巡查作业流程，及时排查作业区域内危险区域，并向作业人员提示，随时纠正违规作业操作，每日施工前应集中施工人员强调安全施工，内容包括设备操作规范、风险识别，每日作业结束后检查人员、设备安全情况。通过监督与培训，持续强化安全意识，保障森林抚育作业工作安全落地。</w:t>
      </w:r>
    </w:p>
    <w:p w14:paraId="7D6A4DC1">
      <w:pPr>
        <w:spacing w:before="3" w:line="480" w:lineRule="atLeast"/>
        <w:ind w:left="23" w:right="198" w:firstLine="476"/>
        <w:rPr>
          <w:rFonts w:ascii="宋体" w:hAnsi="宋体"/>
          <w:sz w:val="24"/>
          <w:szCs w:val="24"/>
          <w:highlight w:val="none"/>
          <w:lang w:eastAsia="zh-CN"/>
        </w:rPr>
      </w:pPr>
      <w:r>
        <w:rPr>
          <w:rFonts w:hint="eastAsia" w:ascii="宋体" w:hAnsi="宋体"/>
          <w:sz w:val="24"/>
          <w:szCs w:val="24"/>
          <w:highlight w:val="none"/>
          <w:lang w:eastAsia="zh-CN"/>
        </w:rPr>
        <w:t xml:space="preserve">2.8 </w:t>
      </w:r>
      <w:r>
        <w:rPr>
          <w:rFonts w:hint="eastAsia" w:ascii="宋体" w:hAnsi="宋体" w:eastAsia="宋体" w:cs="宋体"/>
          <w:sz w:val="24"/>
          <w:szCs w:val="24"/>
          <w:highlight w:val="none"/>
          <w:lang w:eastAsia="zh-CN"/>
        </w:rPr>
        <w:t>应急和防护措施</w:t>
      </w:r>
    </w:p>
    <w:p w14:paraId="5C40B4F7">
      <w:pPr>
        <w:spacing w:before="3" w:line="480" w:lineRule="atLeast"/>
        <w:ind w:left="23" w:right="198" w:firstLine="476"/>
        <w:rPr>
          <w:rFonts w:ascii="宋体" w:hAnsi="宋体"/>
          <w:sz w:val="24"/>
          <w:szCs w:val="24"/>
          <w:highlight w:val="none"/>
          <w:lang w:eastAsia="zh-CN"/>
        </w:rPr>
      </w:pPr>
      <w:r>
        <w:rPr>
          <w:rFonts w:hint="eastAsia" w:ascii="宋体" w:hAnsi="宋体"/>
          <w:sz w:val="24"/>
          <w:szCs w:val="24"/>
          <w:highlight w:val="none"/>
          <w:lang w:eastAsia="zh-CN"/>
        </w:rPr>
        <w:t xml:space="preserve"> </w:t>
      </w:r>
      <w:r>
        <w:rPr>
          <w:rFonts w:hint="eastAsia" w:ascii="宋体" w:hAnsi="宋体" w:eastAsia="宋体" w:cs="宋体"/>
          <w:sz w:val="24"/>
          <w:szCs w:val="24"/>
          <w:highlight w:val="none"/>
          <w:lang w:eastAsia="zh-CN"/>
        </w:rPr>
        <w:t>建立应急机制，配置防护资源，确保风险发生时能快速处置，应急物资配置：每个作业小组需携带急救箱（含止血带、碘伏、绷带、止痛药等）、通讯设备（如对讲机，确保山区信号畅通）、灭火器材。</w:t>
      </w:r>
    </w:p>
    <w:p w14:paraId="2728E6F0">
      <w:pPr>
        <w:spacing w:before="3" w:line="480" w:lineRule="atLeast"/>
        <w:ind w:left="23" w:right="198" w:firstLine="476"/>
        <w:rPr>
          <w:rFonts w:ascii="宋体" w:hAnsi="宋体"/>
          <w:sz w:val="24"/>
          <w:szCs w:val="24"/>
          <w:highlight w:val="none"/>
          <w:lang w:eastAsia="zh-CN"/>
        </w:rPr>
      </w:pPr>
      <w:r>
        <w:rPr>
          <w:rFonts w:hint="eastAsia" w:ascii="宋体" w:hAnsi="宋体"/>
          <w:sz w:val="24"/>
          <w:szCs w:val="24"/>
          <w:highlight w:val="none"/>
          <w:lang w:eastAsia="zh-CN"/>
        </w:rPr>
        <w:t>1</w:t>
      </w:r>
      <w:r>
        <w:rPr>
          <w:rFonts w:hint="eastAsia" w:ascii="宋体" w:hAnsi="宋体" w:eastAsia="宋体" w:cs="宋体"/>
          <w:sz w:val="24"/>
          <w:szCs w:val="24"/>
          <w:highlight w:val="none"/>
          <w:lang w:eastAsia="zh-CN"/>
        </w:rPr>
        <w:t>、生态优先：所有抚育措施必须有利于森林生态系统的健康和稳定。</w:t>
      </w:r>
    </w:p>
    <w:p w14:paraId="374606FC">
      <w:pPr>
        <w:spacing w:before="3" w:line="480" w:lineRule="atLeast"/>
        <w:ind w:left="23" w:right="198" w:firstLine="476"/>
        <w:rPr>
          <w:rFonts w:ascii="宋体" w:hAnsi="宋体" w:eastAsia="宋体" w:cs="宋体"/>
          <w:sz w:val="24"/>
          <w:szCs w:val="24"/>
          <w:highlight w:val="none"/>
          <w:lang w:eastAsia="zh-CN"/>
        </w:rPr>
      </w:pPr>
      <w:r>
        <w:rPr>
          <w:rFonts w:hint="eastAsia" w:ascii="宋体" w:hAnsi="宋体"/>
          <w:sz w:val="24"/>
          <w:szCs w:val="24"/>
          <w:highlight w:val="none"/>
          <w:lang w:eastAsia="zh-CN"/>
        </w:rPr>
        <w:t>2</w:t>
      </w:r>
      <w:r>
        <w:rPr>
          <w:rFonts w:hint="eastAsia" w:ascii="宋体" w:hAnsi="宋体" w:eastAsia="宋体" w:cs="宋体"/>
          <w:sz w:val="24"/>
          <w:szCs w:val="24"/>
          <w:highlight w:val="none"/>
          <w:lang w:eastAsia="zh-CN"/>
        </w:rPr>
        <w:t>、因地制宜，分类施策：根据不同小班的林分类型、立地条件、发育阶段及主导功能，精准抚育措施。</w:t>
      </w:r>
    </w:p>
    <w:p w14:paraId="2FC7DAEB">
      <w:pPr>
        <w:spacing w:before="3" w:line="480" w:lineRule="atLeast"/>
        <w:ind w:left="23" w:right="198" w:firstLine="476"/>
        <w:rPr>
          <w:rFonts w:ascii="宋体" w:hAnsi="宋体"/>
          <w:sz w:val="24"/>
          <w:szCs w:val="24"/>
          <w:highlight w:val="none"/>
          <w:lang w:eastAsia="zh-CN"/>
        </w:rPr>
      </w:pPr>
      <w:r>
        <w:rPr>
          <w:rFonts w:hint="eastAsia" w:ascii="宋体" w:hAnsi="宋体" w:cs="宋体"/>
          <w:sz w:val="24"/>
          <w:szCs w:val="24"/>
          <w:highlight w:val="none"/>
          <w:lang w:eastAsia="zh-CN"/>
        </w:rPr>
        <w:t>3</w:t>
      </w:r>
      <w:r>
        <w:rPr>
          <w:rFonts w:hint="eastAsia" w:ascii="宋体" w:hAnsi="宋体" w:eastAsia="宋体" w:cs="宋体"/>
          <w:sz w:val="24"/>
          <w:szCs w:val="24"/>
          <w:highlight w:val="none"/>
          <w:lang w:eastAsia="zh-CN"/>
        </w:rPr>
        <w:t>、质量第一：规范施工：严格执行技术标准，强化全过程质量监管，确保抚育作业规范、安全、有效。</w:t>
      </w:r>
    </w:p>
    <w:p w14:paraId="42AFA414">
      <w:pPr>
        <w:kinsoku/>
        <w:autoSpaceDE/>
        <w:autoSpaceDN/>
        <w:adjustRightInd/>
        <w:snapToGrid/>
        <w:textAlignment w:val="auto"/>
        <w:rPr>
          <w:highlight w:val="none"/>
          <w:lang w:eastAsia="zh-CN"/>
        </w:rPr>
      </w:pPr>
      <w:r>
        <w:rPr>
          <w:highlight w:val="none"/>
          <w:lang w:eastAsia="zh-CN"/>
        </w:rPr>
        <w:br w:type="page"/>
      </w:r>
    </w:p>
    <w:p w14:paraId="6AC4F2FB">
      <w:pPr>
        <w:rPr>
          <w:rFonts w:hint="eastAsia" w:asciiTheme="minorEastAsia" w:hAnsiTheme="minorEastAsia" w:eastAsiaTheme="minorEastAsia" w:cstheme="minorEastAsia"/>
          <w:b/>
          <w:bCs/>
          <w:sz w:val="28"/>
          <w:szCs w:val="28"/>
          <w:highlight w:val="none"/>
          <w:lang w:eastAsia="zh-CN"/>
        </w:rPr>
      </w:pPr>
      <w:r>
        <w:rPr>
          <w:rFonts w:hint="eastAsia" w:asciiTheme="minorEastAsia" w:hAnsiTheme="minorEastAsia" w:eastAsiaTheme="minorEastAsia" w:cstheme="minorEastAsia"/>
          <w:b/>
          <w:bCs/>
          <w:sz w:val="28"/>
          <w:szCs w:val="28"/>
          <w:highlight w:val="none"/>
          <w:lang w:eastAsia="zh-CN"/>
        </w:rPr>
        <w:t>附表：</w:t>
      </w:r>
    </w:p>
    <w:tbl>
      <w:tblPr>
        <w:tblStyle w:val="17"/>
        <w:tblW w:w="9298" w:type="dxa"/>
        <w:tblInd w:w="93" w:type="dxa"/>
        <w:tblLayout w:type="fixed"/>
        <w:tblCellMar>
          <w:top w:w="0" w:type="dxa"/>
          <w:left w:w="108" w:type="dxa"/>
          <w:bottom w:w="0" w:type="dxa"/>
          <w:right w:w="108" w:type="dxa"/>
        </w:tblCellMar>
      </w:tblPr>
      <w:tblGrid>
        <w:gridCol w:w="1573"/>
        <w:gridCol w:w="3438"/>
        <w:gridCol w:w="1741"/>
        <w:gridCol w:w="2546"/>
      </w:tblGrid>
      <w:tr w14:paraId="631B41F7">
        <w:tblPrEx>
          <w:tblCellMar>
            <w:top w:w="0" w:type="dxa"/>
            <w:left w:w="108" w:type="dxa"/>
            <w:bottom w:w="0" w:type="dxa"/>
            <w:right w:w="108" w:type="dxa"/>
          </w:tblCellMar>
        </w:tblPrEx>
        <w:trPr>
          <w:trHeight w:val="570" w:hRule="atLeast"/>
        </w:trPr>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0660">
            <w:pPr>
              <w:kinsoku/>
              <w:autoSpaceDE/>
              <w:autoSpaceDN/>
              <w:adjustRightInd/>
              <w:snapToGrid/>
              <w:jc w:val="center"/>
              <w:textAlignment w:val="auto"/>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lang w:eastAsia="zh-CN"/>
              </w:rPr>
              <w:t>序号</w:t>
            </w:r>
          </w:p>
        </w:tc>
        <w:tc>
          <w:tcPr>
            <w:tcW w:w="3438" w:type="dxa"/>
            <w:tcBorders>
              <w:top w:val="single" w:color="000000" w:sz="4" w:space="0"/>
              <w:left w:val="nil"/>
              <w:bottom w:val="single" w:color="000000" w:sz="4" w:space="0"/>
              <w:right w:val="single" w:color="000000" w:sz="4" w:space="0"/>
            </w:tcBorders>
            <w:shd w:val="clear" w:color="auto" w:fill="auto"/>
            <w:vAlign w:val="center"/>
          </w:tcPr>
          <w:p w14:paraId="18B0B6A6">
            <w:pPr>
              <w:kinsoku/>
              <w:autoSpaceDE/>
              <w:autoSpaceDN/>
              <w:adjustRightInd/>
              <w:snapToGrid/>
              <w:jc w:val="center"/>
              <w:textAlignment w:val="auto"/>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lang w:eastAsia="zh-CN"/>
              </w:rPr>
              <w:t>项目名称</w:t>
            </w:r>
          </w:p>
        </w:tc>
        <w:tc>
          <w:tcPr>
            <w:tcW w:w="1741" w:type="dxa"/>
            <w:tcBorders>
              <w:top w:val="single" w:color="000000" w:sz="4" w:space="0"/>
              <w:left w:val="nil"/>
              <w:bottom w:val="single" w:color="000000" w:sz="4" w:space="0"/>
              <w:right w:val="single" w:color="000000" w:sz="4" w:space="0"/>
            </w:tcBorders>
            <w:shd w:val="clear" w:color="auto" w:fill="auto"/>
            <w:vAlign w:val="center"/>
          </w:tcPr>
          <w:p w14:paraId="3E4D5715">
            <w:pPr>
              <w:kinsoku/>
              <w:autoSpaceDE/>
              <w:autoSpaceDN/>
              <w:adjustRightInd/>
              <w:snapToGrid/>
              <w:jc w:val="center"/>
              <w:textAlignment w:val="auto"/>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lang w:eastAsia="zh-CN"/>
              </w:rPr>
              <w:t>计量</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单位</w:t>
            </w:r>
          </w:p>
        </w:tc>
        <w:tc>
          <w:tcPr>
            <w:tcW w:w="2546" w:type="dxa"/>
            <w:tcBorders>
              <w:top w:val="single" w:color="000000" w:sz="4" w:space="0"/>
              <w:left w:val="nil"/>
              <w:bottom w:val="single" w:color="000000" w:sz="4" w:space="0"/>
              <w:right w:val="single" w:color="000000" w:sz="4" w:space="0"/>
            </w:tcBorders>
            <w:shd w:val="clear" w:color="auto" w:fill="auto"/>
            <w:vAlign w:val="center"/>
          </w:tcPr>
          <w:p w14:paraId="2525FE93">
            <w:pPr>
              <w:kinsoku/>
              <w:autoSpaceDE/>
              <w:autoSpaceDN/>
              <w:adjustRightInd/>
              <w:snapToGrid/>
              <w:jc w:val="center"/>
              <w:textAlignment w:val="auto"/>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lang w:eastAsia="zh-CN"/>
              </w:rPr>
              <w:t>数量</w:t>
            </w:r>
          </w:p>
        </w:tc>
      </w:tr>
      <w:tr w14:paraId="66000057">
        <w:tblPrEx>
          <w:tblCellMar>
            <w:top w:w="0" w:type="dxa"/>
            <w:left w:w="108" w:type="dxa"/>
            <w:bottom w:w="0" w:type="dxa"/>
            <w:right w:w="108" w:type="dxa"/>
          </w:tblCellMar>
        </w:tblPrEx>
        <w:trPr>
          <w:trHeight w:val="371" w:hRule="atLeast"/>
        </w:trPr>
        <w:tc>
          <w:tcPr>
            <w:tcW w:w="1573" w:type="dxa"/>
            <w:tcBorders>
              <w:top w:val="nil"/>
              <w:left w:val="single" w:color="000000" w:sz="4" w:space="0"/>
              <w:bottom w:val="single" w:color="000000" w:sz="4" w:space="0"/>
              <w:right w:val="single" w:color="000000" w:sz="4" w:space="0"/>
            </w:tcBorders>
            <w:shd w:val="clear" w:color="auto" w:fill="auto"/>
            <w:vAlign w:val="center"/>
          </w:tcPr>
          <w:p w14:paraId="6E3B2F08">
            <w:pPr>
              <w:kinsoku/>
              <w:autoSpaceDE/>
              <w:autoSpaceDN/>
              <w:adjustRightInd/>
              <w:snapToGrid/>
              <w:jc w:val="center"/>
              <w:textAlignment w:val="auto"/>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lang w:eastAsia="zh-CN"/>
              </w:rPr>
              <w:t>一</w:t>
            </w:r>
          </w:p>
        </w:tc>
        <w:tc>
          <w:tcPr>
            <w:tcW w:w="3438" w:type="dxa"/>
            <w:tcBorders>
              <w:top w:val="nil"/>
              <w:left w:val="nil"/>
              <w:bottom w:val="single" w:color="000000" w:sz="4" w:space="0"/>
              <w:right w:val="single" w:color="000000" w:sz="4" w:space="0"/>
            </w:tcBorders>
            <w:shd w:val="clear" w:color="auto" w:fill="auto"/>
            <w:vAlign w:val="center"/>
          </w:tcPr>
          <w:p w14:paraId="5261D5BA">
            <w:pPr>
              <w:kinsoku/>
              <w:autoSpaceDE/>
              <w:autoSpaceDN/>
              <w:adjustRightInd/>
              <w:snapToGrid/>
              <w:textAlignment w:val="auto"/>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lang w:eastAsia="zh-CN"/>
              </w:rPr>
              <w:t>仰韶乡</w:t>
            </w:r>
          </w:p>
        </w:tc>
        <w:tc>
          <w:tcPr>
            <w:tcW w:w="1741" w:type="dxa"/>
            <w:tcBorders>
              <w:top w:val="nil"/>
              <w:left w:val="nil"/>
              <w:bottom w:val="single" w:color="000000" w:sz="4" w:space="0"/>
              <w:right w:val="single" w:color="000000" w:sz="4" w:space="0"/>
            </w:tcBorders>
            <w:shd w:val="clear" w:color="auto" w:fill="auto"/>
            <w:noWrap/>
            <w:vAlign w:val="center"/>
          </w:tcPr>
          <w:p w14:paraId="386D7552">
            <w:pPr>
              <w:kinsoku/>
              <w:autoSpaceDE/>
              <w:autoSpaceDN/>
              <w:adjustRightInd/>
              <w:snapToGrid/>
              <w:jc w:val="center"/>
              <w:textAlignment w:val="auto"/>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lang w:eastAsia="zh-CN"/>
              </w:rPr>
              <w:t>　</w:t>
            </w:r>
          </w:p>
        </w:tc>
        <w:tc>
          <w:tcPr>
            <w:tcW w:w="2546" w:type="dxa"/>
            <w:tcBorders>
              <w:top w:val="nil"/>
              <w:left w:val="nil"/>
              <w:bottom w:val="single" w:color="000000" w:sz="4" w:space="0"/>
              <w:right w:val="single" w:color="000000" w:sz="4" w:space="0"/>
            </w:tcBorders>
            <w:shd w:val="clear" w:color="auto" w:fill="auto"/>
            <w:noWrap/>
            <w:vAlign w:val="center"/>
          </w:tcPr>
          <w:p w14:paraId="7E701DFA">
            <w:pPr>
              <w:kinsoku/>
              <w:autoSpaceDE/>
              <w:autoSpaceDN/>
              <w:adjustRightInd/>
              <w:snapToGrid/>
              <w:jc w:val="center"/>
              <w:textAlignment w:val="auto"/>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lang w:eastAsia="zh-CN"/>
              </w:rPr>
              <w:t xml:space="preserve"> </w:t>
            </w:r>
          </w:p>
        </w:tc>
      </w:tr>
      <w:tr w14:paraId="49855910">
        <w:tblPrEx>
          <w:tblCellMar>
            <w:top w:w="0" w:type="dxa"/>
            <w:left w:w="108" w:type="dxa"/>
            <w:bottom w:w="0" w:type="dxa"/>
            <w:right w:w="108" w:type="dxa"/>
          </w:tblCellMar>
        </w:tblPrEx>
        <w:trPr>
          <w:trHeight w:val="3301" w:hRule="atLeast"/>
        </w:trPr>
        <w:tc>
          <w:tcPr>
            <w:tcW w:w="1573" w:type="dxa"/>
            <w:tcBorders>
              <w:top w:val="nil"/>
              <w:left w:val="single" w:color="000000" w:sz="4" w:space="0"/>
              <w:bottom w:val="single" w:color="000000" w:sz="4" w:space="0"/>
              <w:right w:val="single" w:color="000000" w:sz="4" w:space="0"/>
            </w:tcBorders>
            <w:shd w:val="clear" w:color="auto" w:fill="auto"/>
            <w:vAlign w:val="center"/>
          </w:tcPr>
          <w:p w14:paraId="00570105">
            <w:pPr>
              <w:kinsoku/>
              <w:autoSpaceDE/>
              <w:autoSpaceDN/>
              <w:adjustRightInd/>
              <w:snapToGrid/>
              <w:jc w:val="center"/>
              <w:textAlignment w:val="auto"/>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lang w:eastAsia="zh-CN"/>
              </w:rPr>
              <w:t>1</w:t>
            </w:r>
          </w:p>
        </w:tc>
        <w:tc>
          <w:tcPr>
            <w:tcW w:w="3438" w:type="dxa"/>
            <w:tcBorders>
              <w:top w:val="nil"/>
              <w:left w:val="nil"/>
              <w:bottom w:val="single" w:color="000000" w:sz="4" w:space="0"/>
              <w:right w:val="single" w:color="000000" w:sz="4" w:space="0"/>
            </w:tcBorders>
            <w:shd w:val="clear" w:color="auto" w:fill="auto"/>
            <w:vAlign w:val="center"/>
          </w:tcPr>
          <w:p w14:paraId="1B96009C">
            <w:pPr>
              <w:kinsoku/>
              <w:autoSpaceDE/>
              <w:autoSpaceDN/>
              <w:adjustRightInd/>
              <w:snapToGrid/>
              <w:textAlignment w:val="auto"/>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lang w:eastAsia="zh-CN"/>
              </w:rPr>
              <w:t>采伐，采伐作业包含：（1）</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标记采伐木，（2）采伐作业</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，（3）集采。首先进行现场</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标记采伐木，标记好采伐门后</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进行采伐作业，避免树木倒向</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造成对保留木的损伤，林木伐</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桩不高于10厘米；伐木完成</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后，要将采伐下的木材集中运</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输，按照预先规划的集材道，</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使用合适的集材设备将木材运</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出，集材时要注意避免对林地</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土壤，保留木和幼树的破坏。</w:t>
            </w:r>
          </w:p>
        </w:tc>
        <w:tc>
          <w:tcPr>
            <w:tcW w:w="1741" w:type="dxa"/>
            <w:tcBorders>
              <w:top w:val="nil"/>
              <w:left w:val="nil"/>
              <w:bottom w:val="single" w:color="000000" w:sz="4" w:space="0"/>
              <w:right w:val="single" w:color="000000" w:sz="4" w:space="0"/>
            </w:tcBorders>
            <w:shd w:val="clear" w:color="auto" w:fill="auto"/>
            <w:vAlign w:val="center"/>
          </w:tcPr>
          <w:p w14:paraId="2C774846">
            <w:pPr>
              <w:kinsoku/>
              <w:autoSpaceDE/>
              <w:autoSpaceDN/>
              <w:adjustRightInd/>
              <w:snapToGrid/>
              <w:jc w:val="center"/>
              <w:textAlignment w:val="auto"/>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lang w:eastAsia="zh-CN"/>
              </w:rPr>
              <w:t>棵</w:t>
            </w:r>
          </w:p>
        </w:tc>
        <w:tc>
          <w:tcPr>
            <w:tcW w:w="2546" w:type="dxa"/>
            <w:tcBorders>
              <w:top w:val="nil"/>
              <w:left w:val="nil"/>
              <w:bottom w:val="single" w:color="000000" w:sz="4" w:space="0"/>
              <w:right w:val="single" w:color="000000" w:sz="4" w:space="0"/>
            </w:tcBorders>
            <w:shd w:val="clear" w:color="auto" w:fill="auto"/>
            <w:vAlign w:val="center"/>
          </w:tcPr>
          <w:p w14:paraId="37D17571">
            <w:pPr>
              <w:kinsoku/>
              <w:autoSpaceDE/>
              <w:autoSpaceDN/>
              <w:adjustRightInd/>
              <w:snapToGrid/>
              <w:jc w:val="center"/>
              <w:textAlignment w:val="auto"/>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lang w:eastAsia="zh-CN"/>
              </w:rPr>
              <w:t>23715</w:t>
            </w:r>
          </w:p>
        </w:tc>
      </w:tr>
      <w:tr w14:paraId="6A15703A">
        <w:tblPrEx>
          <w:tblCellMar>
            <w:top w:w="0" w:type="dxa"/>
            <w:left w:w="108" w:type="dxa"/>
            <w:bottom w:w="0" w:type="dxa"/>
            <w:right w:w="108" w:type="dxa"/>
          </w:tblCellMar>
        </w:tblPrEx>
        <w:trPr>
          <w:trHeight w:val="4101" w:hRule="atLeast"/>
        </w:trPr>
        <w:tc>
          <w:tcPr>
            <w:tcW w:w="1573" w:type="dxa"/>
            <w:tcBorders>
              <w:top w:val="nil"/>
              <w:left w:val="single" w:color="000000" w:sz="4" w:space="0"/>
              <w:bottom w:val="single" w:color="000000" w:sz="4" w:space="0"/>
              <w:right w:val="single" w:color="000000" w:sz="4" w:space="0"/>
            </w:tcBorders>
            <w:shd w:val="clear" w:color="auto" w:fill="auto"/>
            <w:vAlign w:val="center"/>
          </w:tcPr>
          <w:p w14:paraId="495796BC">
            <w:pPr>
              <w:kinsoku/>
              <w:autoSpaceDE/>
              <w:autoSpaceDN/>
              <w:adjustRightInd/>
              <w:snapToGrid/>
              <w:jc w:val="center"/>
              <w:textAlignment w:val="auto"/>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lang w:eastAsia="zh-CN"/>
              </w:rPr>
              <w:t>2</w:t>
            </w:r>
          </w:p>
        </w:tc>
        <w:tc>
          <w:tcPr>
            <w:tcW w:w="3438" w:type="dxa"/>
            <w:tcBorders>
              <w:top w:val="nil"/>
              <w:left w:val="nil"/>
              <w:bottom w:val="single" w:color="000000" w:sz="4" w:space="0"/>
              <w:right w:val="single" w:color="000000" w:sz="4" w:space="0"/>
            </w:tcBorders>
            <w:shd w:val="clear" w:color="auto" w:fill="auto"/>
            <w:vAlign w:val="center"/>
          </w:tcPr>
          <w:p w14:paraId="635803E5">
            <w:pPr>
              <w:kinsoku/>
              <w:autoSpaceDE/>
              <w:autoSpaceDN/>
              <w:adjustRightInd/>
              <w:snapToGrid/>
              <w:textAlignment w:val="auto"/>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lang w:eastAsia="zh-CN"/>
              </w:rPr>
              <w:t>修枝（修枝高度依林木的长势</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而定，冠高比控制在1/3-</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1/2之间，修枝枝茬高度小于</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1.5cm，施工工具用手锯、砍</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刀均可。细小枝条用镰刀或砍</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刀，紧贴树干由下向上剃削，</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不留茬，要保持切口平滑，避</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免刮伤树皮。对于较粗大的树</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枝，用锯先从下向上锯，再由</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上向下锯，避免劈裂或扯破树</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皮。采取留桩法和平切法，修</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去枯死枝(针叶树)和树冠下</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部1-2轮活枝(阔叶树);幼龄</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林阶段修枝强度不超过树高的</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1/3）</w:t>
            </w:r>
          </w:p>
        </w:tc>
        <w:tc>
          <w:tcPr>
            <w:tcW w:w="1741" w:type="dxa"/>
            <w:tcBorders>
              <w:top w:val="nil"/>
              <w:left w:val="nil"/>
              <w:bottom w:val="single" w:color="000000" w:sz="4" w:space="0"/>
              <w:right w:val="single" w:color="000000" w:sz="4" w:space="0"/>
            </w:tcBorders>
            <w:shd w:val="clear" w:color="auto" w:fill="auto"/>
            <w:vAlign w:val="center"/>
          </w:tcPr>
          <w:p w14:paraId="6EB09687">
            <w:pPr>
              <w:kinsoku/>
              <w:autoSpaceDE/>
              <w:autoSpaceDN/>
              <w:adjustRightInd/>
              <w:snapToGrid/>
              <w:jc w:val="center"/>
              <w:textAlignment w:val="auto"/>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lang w:eastAsia="zh-CN"/>
              </w:rPr>
              <w:t>棵</w:t>
            </w:r>
          </w:p>
        </w:tc>
        <w:tc>
          <w:tcPr>
            <w:tcW w:w="2546" w:type="dxa"/>
            <w:tcBorders>
              <w:top w:val="nil"/>
              <w:left w:val="nil"/>
              <w:bottom w:val="single" w:color="000000" w:sz="4" w:space="0"/>
              <w:right w:val="single" w:color="000000" w:sz="4" w:space="0"/>
            </w:tcBorders>
            <w:shd w:val="clear" w:color="auto" w:fill="auto"/>
            <w:vAlign w:val="center"/>
          </w:tcPr>
          <w:p w14:paraId="27BD698E">
            <w:pPr>
              <w:kinsoku/>
              <w:autoSpaceDE/>
              <w:autoSpaceDN/>
              <w:adjustRightInd/>
              <w:snapToGrid/>
              <w:jc w:val="center"/>
              <w:textAlignment w:val="auto"/>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lang w:eastAsia="zh-CN"/>
              </w:rPr>
              <w:t>77776</w:t>
            </w:r>
          </w:p>
        </w:tc>
      </w:tr>
      <w:tr w14:paraId="3492BED9">
        <w:tblPrEx>
          <w:tblCellMar>
            <w:top w:w="0" w:type="dxa"/>
            <w:left w:w="108" w:type="dxa"/>
            <w:bottom w:w="0" w:type="dxa"/>
            <w:right w:w="108" w:type="dxa"/>
          </w:tblCellMar>
        </w:tblPrEx>
        <w:trPr>
          <w:trHeight w:val="3301" w:hRule="atLeast"/>
        </w:trPr>
        <w:tc>
          <w:tcPr>
            <w:tcW w:w="1573" w:type="dxa"/>
            <w:tcBorders>
              <w:top w:val="nil"/>
              <w:left w:val="single" w:color="000000" w:sz="4" w:space="0"/>
              <w:bottom w:val="single" w:color="000000" w:sz="4" w:space="0"/>
              <w:right w:val="single" w:color="000000" w:sz="4" w:space="0"/>
            </w:tcBorders>
            <w:shd w:val="clear" w:color="auto" w:fill="auto"/>
            <w:vAlign w:val="center"/>
          </w:tcPr>
          <w:p w14:paraId="650E8AAE">
            <w:pPr>
              <w:kinsoku/>
              <w:autoSpaceDE/>
              <w:autoSpaceDN/>
              <w:adjustRightInd/>
              <w:snapToGrid/>
              <w:jc w:val="center"/>
              <w:textAlignment w:val="auto"/>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lang w:eastAsia="zh-CN"/>
              </w:rPr>
              <w:t>3</w:t>
            </w:r>
          </w:p>
        </w:tc>
        <w:tc>
          <w:tcPr>
            <w:tcW w:w="3438" w:type="dxa"/>
            <w:tcBorders>
              <w:top w:val="nil"/>
              <w:left w:val="nil"/>
              <w:bottom w:val="single" w:color="000000" w:sz="4" w:space="0"/>
              <w:right w:val="single" w:color="000000" w:sz="4" w:space="0"/>
            </w:tcBorders>
            <w:shd w:val="clear" w:color="auto" w:fill="auto"/>
            <w:vAlign w:val="center"/>
          </w:tcPr>
          <w:p w14:paraId="5B212508">
            <w:pPr>
              <w:kinsoku/>
              <w:autoSpaceDE/>
              <w:autoSpaceDN/>
              <w:adjustRightInd/>
              <w:snapToGrid/>
              <w:textAlignment w:val="auto"/>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lang w:eastAsia="zh-CN"/>
              </w:rPr>
              <w:t>割灌除草、剩余物清理（割灌</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除草，影响幼苗幼树生长的杂</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灌杂草和藤本植物全部割除</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;割灌除草在树木周边一米内</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影响树木生长的杂草灌木和藤</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本植物全部割除，灌茬不高于</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5cm，避免全面割灌除草，割</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灌除草完成后，清除出场地，</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要注意避免对林地土壤、保留</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木和幼树造成破坏，对剩余物</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进行清理，运出施工场地外。</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w:t>
            </w:r>
          </w:p>
        </w:tc>
        <w:tc>
          <w:tcPr>
            <w:tcW w:w="1741" w:type="dxa"/>
            <w:tcBorders>
              <w:top w:val="nil"/>
              <w:left w:val="nil"/>
              <w:bottom w:val="single" w:color="000000" w:sz="4" w:space="0"/>
              <w:right w:val="single" w:color="000000" w:sz="4" w:space="0"/>
            </w:tcBorders>
            <w:shd w:val="clear" w:color="auto" w:fill="auto"/>
            <w:vAlign w:val="center"/>
          </w:tcPr>
          <w:p w14:paraId="7C983B3C">
            <w:pPr>
              <w:kinsoku/>
              <w:autoSpaceDE/>
              <w:autoSpaceDN/>
              <w:adjustRightInd/>
              <w:snapToGrid/>
              <w:jc w:val="center"/>
              <w:textAlignment w:val="auto"/>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lang w:eastAsia="zh-CN"/>
              </w:rPr>
              <w:t>亩</w:t>
            </w:r>
          </w:p>
        </w:tc>
        <w:tc>
          <w:tcPr>
            <w:tcW w:w="2546" w:type="dxa"/>
            <w:tcBorders>
              <w:top w:val="nil"/>
              <w:left w:val="nil"/>
              <w:bottom w:val="single" w:color="000000" w:sz="4" w:space="0"/>
              <w:right w:val="single" w:color="000000" w:sz="4" w:space="0"/>
            </w:tcBorders>
            <w:shd w:val="clear" w:color="auto" w:fill="auto"/>
            <w:vAlign w:val="center"/>
          </w:tcPr>
          <w:p w14:paraId="0E53170B">
            <w:pPr>
              <w:kinsoku/>
              <w:autoSpaceDE/>
              <w:autoSpaceDN/>
              <w:adjustRightInd/>
              <w:snapToGrid/>
              <w:jc w:val="center"/>
              <w:textAlignment w:val="auto"/>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lang w:eastAsia="zh-CN"/>
              </w:rPr>
              <w:t>519.4</w:t>
            </w:r>
          </w:p>
        </w:tc>
      </w:tr>
      <w:tr w14:paraId="14897322">
        <w:tblPrEx>
          <w:tblCellMar>
            <w:top w:w="0" w:type="dxa"/>
            <w:left w:w="108" w:type="dxa"/>
            <w:bottom w:w="0" w:type="dxa"/>
            <w:right w:w="108" w:type="dxa"/>
          </w:tblCellMar>
        </w:tblPrEx>
        <w:trPr>
          <w:trHeight w:val="371" w:hRule="atLeast"/>
        </w:trPr>
        <w:tc>
          <w:tcPr>
            <w:tcW w:w="1573" w:type="dxa"/>
            <w:tcBorders>
              <w:top w:val="nil"/>
              <w:left w:val="single" w:color="000000" w:sz="4" w:space="0"/>
              <w:bottom w:val="single" w:color="000000" w:sz="4" w:space="0"/>
              <w:right w:val="single" w:color="000000" w:sz="4" w:space="0"/>
            </w:tcBorders>
            <w:shd w:val="clear" w:color="auto" w:fill="auto"/>
            <w:vAlign w:val="center"/>
          </w:tcPr>
          <w:p w14:paraId="49D1EC0B">
            <w:pPr>
              <w:kinsoku/>
              <w:autoSpaceDE/>
              <w:autoSpaceDN/>
              <w:adjustRightInd/>
              <w:snapToGrid/>
              <w:jc w:val="center"/>
              <w:textAlignment w:val="auto"/>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lang w:eastAsia="zh-CN"/>
              </w:rPr>
              <w:t>二</w:t>
            </w:r>
          </w:p>
        </w:tc>
        <w:tc>
          <w:tcPr>
            <w:tcW w:w="3438" w:type="dxa"/>
            <w:tcBorders>
              <w:top w:val="nil"/>
              <w:left w:val="nil"/>
              <w:bottom w:val="single" w:color="000000" w:sz="4" w:space="0"/>
              <w:right w:val="single" w:color="000000" w:sz="4" w:space="0"/>
            </w:tcBorders>
            <w:shd w:val="clear" w:color="auto" w:fill="auto"/>
            <w:vAlign w:val="center"/>
          </w:tcPr>
          <w:p w14:paraId="57BC42E5">
            <w:pPr>
              <w:kinsoku/>
              <w:autoSpaceDE/>
              <w:autoSpaceDN/>
              <w:adjustRightInd/>
              <w:snapToGrid/>
              <w:textAlignment w:val="auto"/>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lang w:eastAsia="zh-CN"/>
              </w:rPr>
              <w:t>南村乡</w:t>
            </w:r>
          </w:p>
        </w:tc>
        <w:tc>
          <w:tcPr>
            <w:tcW w:w="1741" w:type="dxa"/>
            <w:tcBorders>
              <w:top w:val="nil"/>
              <w:left w:val="nil"/>
              <w:bottom w:val="single" w:color="000000" w:sz="4" w:space="0"/>
              <w:right w:val="single" w:color="000000" w:sz="4" w:space="0"/>
            </w:tcBorders>
            <w:shd w:val="clear" w:color="auto" w:fill="auto"/>
            <w:noWrap/>
            <w:vAlign w:val="center"/>
          </w:tcPr>
          <w:p w14:paraId="772F6517">
            <w:pPr>
              <w:kinsoku/>
              <w:autoSpaceDE/>
              <w:autoSpaceDN/>
              <w:adjustRightInd/>
              <w:snapToGrid/>
              <w:jc w:val="center"/>
              <w:textAlignment w:val="auto"/>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lang w:eastAsia="zh-CN"/>
              </w:rPr>
              <w:t>　</w:t>
            </w:r>
          </w:p>
        </w:tc>
        <w:tc>
          <w:tcPr>
            <w:tcW w:w="2546" w:type="dxa"/>
            <w:tcBorders>
              <w:top w:val="nil"/>
              <w:left w:val="nil"/>
              <w:bottom w:val="single" w:color="000000" w:sz="4" w:space="0"/>
              <w:right w:val="single" w:color="000000" w:sz="4" w:space="0"/>
            </w:tcBorders>
            <w:shd w:val="clear" w:color="auto" w:fill="auto"/>
            <w:noWrap/>
            <w:vAlign w:val="center"/>
          </w:tcPr>
          <w:p w14:paraId="0D8A23EB">
            <w:pPr>
              <w:kinsoku/>
              <w:autoSpaceDE/>
              <w:autoSpaceDN/>
              <w:adjustRightInd/>
              <w:snapToGrid/>
              <w:jc w:val="center"/>
              <w:textAlignment w:val="auto"/>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lang w:eastAsia="zh-CN"/>
              </w:rPr>
              <w:t xml:space="preserve"> </w:t>
            </w:r>
          </w:p>
        </w:tc>
      </w:tr>
      <w:tr w14:paraId="3CFEC1E3">
        <w:tblPrEx>
          <w:tblCellMar>
            <w:top w:w="0" w:type="dxa"/>
            <w:left w:w="108" w:type="dxa"/>
            <w:bottom w:w="0" w:type="dxa"/>
            <w:right w:w="108" w:type="dxa"/>
          </w:tblCellMar>
        </w:tblPrEx>
        <w:trPr>
          <w:trHeight w:val="3301" w:hRule="atLeast"/>
        </w:trPr>
        <w:tc>
          <w:tcPr>
            <w:tcW w:w="1573" w:type="dxa"/>
            <w:tcBorders>
              <w:top w:val="nil"/>
              <w:left w:val="single" w:color="000000" w:sz="4" w:space="0"/>
              <w:bottom w:val="single" w:color="000000" w:sz="4" w:space="0"/>
              <w:right w:val="single" w:color="000000" w:sz="4" w:space="0"/>
            </w:tcBorders>
            <w:shd w:val="clear" w:color="auto" w:fill="auto"/>
            <w:vAlign w:val="center"/>
          </w:tcPr>
          <w:p w14:paraId="5DD72C94">
            <w:pPr>
              <w:kinsoku/>
              <w:autoSpaceDE/>
              <w:autoSpaceDN/>
              <w:adjustRightInd/>
              <w:snapToGrid/>
              <w:jc w:val="center"/>
              <w:textAlignment w:val="auto"/>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lang w:eastAsia="zh-CN"/>
              </w:rPr>
              <w:t>1</w:t>
            </w:r>
          </w:p>
        </w:tc>
        <w:tc>
          <w:tcPr>
            <w:tcW w:w="3438" w:type="dxa"/>
            <w:tcBorders>
              <w:top w:val="nil"/>
              <w:left w:val="nil"/>
              <w:bottom w:val="single" w:color="000000" w:sz="4" w:space="0"/>
              <w:right w:val="single" w:color="000000" w:sz="4" w:space="0"/>
            </w:tcBorders>
            <w:shd w:val="clear" w:color="auto" w:fill="auto"/>
            <w:vAlign w:val="center"/>
          </w:tcPr>
          <w:p w14:paraId="3C46C4C3">
            <w:pPr>
              <w:kinsoku/>
              <w:autoSpaceDE/>
              <w:autoSpaceDN/>
              <w:adjustRightInd/>
              <w:snapToGrid/>
              <w:textAlignment w:val="auto"/>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lang w:eastAsia="zh-CN"/>
              </w:rPr>
              <w:t>采伐，采伐作业包含：（1）</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标记采伐木，（2）采伐作业</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，（3）集采。首先进行现场</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标记采伐木，标记好采伐门后</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进行采伐作业，避免树木倒向</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造成对保留木的损伤，林木伐</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桩不高于10厘米；伐木完成</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后，要将采伐下的木材集中运</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输，按照预先规划的集材道，</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使用合适的集材设备将木材运</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出，集材时要注意避免对林地</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土壤，保留木和幼树的破坏。</w:t>
            </w:r>
          </w:p>
        </w:tc>
        <w:tc>
          <w:tcPr>
            <w:tcW w:w="1741" w:type="dxa"/>
            <w:tcBorders>
              <w:top w:val="nil"/>
              <w:left w:val="nil"/>
              <w:bottom w:val="single" w:color="000000" w:sz="4" w:space="0"/>
              <w:right w:val="single" w:color="000000" w:sz="4" w:space="0"/>
            </w:tcBorders>
            <w:shd w:val="clear" w:color="auto" w:fill="auto"/>
            <w:vAlign w:val="center"/>
          </w:tcPr>
          <w:p w14:paraId="44CDB409">
            <w:pPr>
              <w:kinsoku/>
              <w:autoSpaceDE/>
              <w:autoSpaceDN/>
              <w:adjustRightInd/>
              <w:snapToGrid/>
              <w:jc w:val="center"/>
              <w:textAlignment w:val="auto"/>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lang w:eastAsia="zh-CN"/>
              </w:rPr>
              <w:t>棵</w:t>
            </w:r>
          </w:p>
        </w:tc>
        <w:tc>
          <w:tcPr>
            <w:tcW w:w="2546" w:type="dxa"/>
            <w:tcBorders>
              <w:top w:val="nil"/>
              <w:left w:val="nil"/>
              <w:bottom w:val="single" w:color="000000" w:sz="4" w:space="0"/>
              <w:right w:val="single" w:color="000000" w:sz="4" w:space="0"/>
            </w:tcBorders>
            <w:shd w:val="clear" w:color="auto" w:fill="auto"/>
            <w:vAlign w:val="center"/>
          </w:tcPr>
          <w:p w14:paraId="33DC87E4">
            <w:pPr>
              <w:kinsoku/>
              <w:autoSpaceDE/>
              <w:autoSpaceDN/>
              <w:adjustRightInd/>
              <w:snapToGrid/>
              <w:jc w:val="center"/>
              <w:textAlignment w:val="auto"/>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lang w:eastAsia="zh-CN"/>
              </w:rPr>
              <w:t>76210</w:t>
            </w:r>
          </w:p>
        </w:tc>
      </w:tr>
      <w:tr w14:paraId="5D94D713">
        <w:tblPrEx>
          <w:tblCellMar>
            <w:top w:w="0" w:type="dxa"/>
            <w:left w:w="108" w:type="dxa"/>
            <w:bottom w:w="0" w:type="dxa"/>
            <w:right w:w="108" w:type="dxa"/>
          </w:tblCellMar>
        </w:tblPrEx>
        <w:trPr>
          <w:trHeight w:val="4101" w:hRule="atLeast"/>
        </w:trPr>
        <w:tc>
          <w:tcPr>
            <w:tcW w:w="1573" w:type="dxa"/>
            <w:tcBorders>
              <w:top w:val="nil"/>
              <w:left w:val="single" w:color="000000" w:sz="4" w:space="0"/>
              <w:bottom w:val="single" w:color="000000" w:sz="4" w:space="0"/>
              <w:right w:val="single" w:color="000000" w:sz="4" w:space="0"/>
            </w:tcBorders>
            <w:shd w:val="clear" w:color="auto" w:fill="auto"/>
            <w:vAlign w:val="center"/>
          </w:tcPr>
          <w:p w14:paraId="50B4C14D">
            <w:pPr>
              <w:kinsoku/>
              <w:autoSpaceDE/>
              <w:autoSpaceDN/>
              <w:adjustRightInd/>
              <w:snapToGrid/>
              <w:jc w:val="center"/>
              <w:textAlignment w:val="auto"/>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lang w:eastAsia="zh-CN"/>
              </w:rPr>
              <w:t>2</w:t>
            </w:r>
          </w:p>
        </w:tc>
        <w:tc>
          <w:tcPr>
            <w:tcW w:w="3438" w:type="dxa"/>
            <w:tcBorders>
              <w:top w:val="nil"/>
              <w:left w:val="nil"/>
              <w:bottom w:val="single" w:color="000000" w:sz="4" w:space="0"/>
              <w:right w:val="single" w:color="000000" w:sz="4" w:space="0"/>
            </w:tcBorders>
            <w:shd w:val="clear" w:color="auto" w:fill="auto"/>
            <w:vAlign w:val="center"/>
          </w:tcPr>
          <w:p w14:paraId="1B40A2A1">
            <w:pPr>
              <w:kinsoku/>
              <w:autoSpaceDE/>
              <w:autoSpaceDN/>
              <w:adjustRightInd/>
              <w:snapToGrid/>
              <w:textAlignment w:val="auto"/>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lang w:eastAsia="zh-CN"/>
              </w:rPr>
              <w:t>修枝（修枝高度依林木的长势</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而定，冠高比控制在1/3-</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1/2之间，修枝枝茬高度小于</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1.5cm，施工工具用手锯、砍</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刀均可。细小枝条用镰刀或砍</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刀，紧贴树干由下向上剃削，</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不留茬，要保持切口平滑，避</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免刮伤树皮。对于较粗大的树</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枝，用锯先从下向上锯，再由</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上向下锯，避免劈裂或扯破树</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皮。采取留桩法和平切法，修</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去枯死枝(针叶树)和树冠下</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部1-2轮活枝(阔叶树);幼龄</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林阶段修枝强度不超过树高的</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1/3）</w:t>
            </w:r>
          </w:p>
        </w:tc>
        <w:tc>
          <w:tcPr>
            <w:tcW w:w="1741" w:type="dxa"/>
            <w:tcBorders>
              <w:top w:val="nil"/>
              <w:left w:val="nil"/>
              <w:bottom w:val="single" w:color="000000" w:sz="4" w:space="0"/>
              <w:right w:val="single" w:color="000000" w:sz="4" w:space="0"/>
            </w:tcBorders>
            <w:shd w:val="clear" w:color="auto" w:fill="auto"/>
            <w:vAlign w:val="center"/>
          </w:tcPr>
          <w:p w14:paraId="13FC4157">
            <w:pPr>
              <w:kinsoku/>
              <w:autoSpaceDE/>
              <w:autoSpaceDN/>
              <w:adjustRightInd/>
              <w:snapToGrid/>
              <w:jc w:val="center"/>
              <w:textAlignment w:val="auto"/>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lang w:eastAsia="zh-CN"/>
              </w:rPr>
              <w:t>棵</w:t>
            </w:r>
          </w:p>
        </w:tc>
        <w:tc>
          <w:tcPr>
            <w:tcW w:w="2546" w:type="dxa"/>
            <w:tcBorders>
              <w:top w:val="nil"/>
              <w:left w:val="nil"/>
              <w:bottom w:val="single" w:color="000000" w:sz="4" w:space="0"/>
              <w:right w:val="single" w:color="000000" w:sz="4" w:space="0"/>
            </w:tcBorders>
            <w:shd w:val="clear" w:color="auto" w:fill="auto"/>
            <w:vAlign w:val="center"/>
          </w:tcPr>
          <w:p w14:paraId="2EAB7006">
            <w:pPr>
              <w:kinsoku/>
              <w:autoSpaceDE/>
              <w:autoSpaceDN/>
              <w:adjustRightInd/>
              <w:snapToGrid/>
              <w:jc w:val="center"/>
              <w:textAlignment w:val="auto"/>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lang w:eastAsia="zh-CN"/>
              </w:rPr>
              <w:t>244655</w:t>
            </w:r>
          </w:p>
        </w:tc>
      </w:tr>
      <w:tr w14:paraId="67D0FA8C">
        <w:tblPrEx>
          <w:tblCellMar>
            <w:top w:w="0" w:type="dxa"/>
            <w:left w:w="108" w:type="dxa"/>
            <w:bottom w:w="0" w:type="dxa"/>
            <w:right w:w="108" w:type="dxa"/>
          </w:tblCellMar>
        </w:tblPrEx>
        <w:trPr>
          <w:trHeight w:val="3301" w:hRule="atLeast"/>
        </w:trPr>
        <w:tc>
          <w:tcPr>
            <w:tcW w:w="1573" w:type="dxa"/>
            <w:tcBorders>
              <w:top w:val="nil"/>
              <w:left w:val="single" w:color="000000" w:sz="4" w:space="0"/>
              <w:bottom w:val="single" w:color="000000" w:sz="4" w:space="0"/>
              <w:right w:val="single" w:color="000000" w:sz="4" w:space="0"/>
            </w:tcBorders>
            <w:shd w:val="clear" w:color="auto" w:fill="auto"/>
            <w:vAlign w:val="center"/>
          </w:tcPr>
          <w:p w14:paraId="5D1876FB">
            <w:pPr>
              <w:kinsoku/>
              <w:autoSpaceDE/>
              <w:autoSpaceDN/>
              <w:adjustRightInd/>
              <w:snapToGrid/>
              <w:jc w:val="center"/>
              <w:textAlignment w:val="auto"/>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lang w:eastAsia="zh-CN"/>
              </w:rPr>
              <w:t>3</w:t>
            </w:r>
          </w:p>
        </w:tc>
        <w:tc>
          <w:tcPr>
            <w:tcW w:w="3438" w:type="dxa"/>
            <w:tcBorders>
              <w:top w:val="nil"/>
              <w:left w:val="nil"/>
              <w:bottom w:val="single" w:color="000000" w:sz="4" w:space="0"/>
              <w:right w:val="single" w:color="000000" w:sz="4" w:space="0"/>
            </w:tcBorders>
            <w:shd w:val="clear" w:color="auto" w:fill="auto"/>
            <w:vAlign w:val="center"/>
          </w:tcPr>
          <w:p w14:paraId="7AFBF2FB">
            <w:pPr>
              <w:kinsoku/>
              <w:autoSpaceDE/>
              <w:autoSpaceDN/>
              <w:adjustRightInd/>
              <w:snapToGrid/>
              <w:textAlignment w:val="auto"/>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lang w:eastAsia="zh-CN"/>
              </w:rPr>
              <w:t>割灌除草、剩余物清理（割灌</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除草，影响幼苗幼树生长的杂</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灌杂草和藤本植物全部割除</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;割灌除草在树木周边一米内</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影响树木生长的杂草灌木和藤</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本植物全部割除，灌茬不高于</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5cm，避免全面割灌除草，割</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灌除草完成后，清除出场地，</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要注意避免对林地土壤、保留</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木和幼树造成破坏，对剩余物</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进行清理，运出施工场地外。</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w:t>
            </w:r>
          </w:p>
        </w:tc>
        <w:tc>
          <w:tcPr>
            <w:tcW w:w="1741" w:type="dxa"/>
            <w:tcBorders>
              <w:top w:val="nil"/>
              <w:left w:val="nil"/>
              <w:bottom w:val="single" w:color="000000" w:sz="4" w:space="0"/>
              <w:right w:val="single" w:color="000000" w:sz="4" w:space="0"/>
            </w:tcBorders>
            <w:shd w:val="clear" w:color="auto" w:fill="auto"/>
            <w:vAlign w:val="center"/>
          </w:tcPr>
          <w:p w14:paraId="5127B14E">
            <w:pPr>
              <w:kinsoku/>
              <w:autoSpaceDE/>
              <w:autoSpaceDN/>
              <w:adjustRightInd/>
              <w:snapToGrid/>
              <w:jc w:val="center"/>
              <w:textAlignment w:val="auto"/>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lang w:eastAsia="zh-CN"/>
              </w:rPr>
              <w:t>亩</w:t>
            </w:r>
          </w:p>
        </w:tc>
        <w:tc>
          <w:tcPr>
            <w:tcW w:w="2546" w:type="dxa"/>
            <w:tcBorders>
              <w:top w:val="nil"/>
              <w:left w:val="nil"/>
              <w:bottom w:val="single" w:color="000000" w:sz="4" w:space="0"/>
              <w:right w:val="single" w:color="000000" w:sz="4" w:space="0"/>
            </w:tcBorders>
            <w:shd w:val="clear" w:color="auto" w:fill="auto"/>
            <w:vAlign w:val="center"/>
          </w:tcPr>
          <w:p w14:paraId="7F82712F">
            <w:pPr>
              <w:kinsoku/>
              <w:autoSpaceDE/>
              <w:autoSpaceDN/>
              <w:adjustRightInd/>
              <w:snapToGrid/>
              <w:jc w:val="center"/>
              <w:textAlignment w:val="auto"/>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lang w:eastAsia="zh-CN"/>
              </w:rPr>
              <w:t>1503.9</w:t>
            </w:r>
          </w:p>
        </w:tc>
      </w:tr>
      <w:tr w14:paraId="05BE01EF">
        <w:tblPrEx>
          <w:tblCellMar>
            <w:top w:w="0" w:type="dxa"/>
            <w:left w:w="108" w:type="dxa"/>
            <w:bottom w:w="0" w:type="dxa"/>
            <w:right w:w="108" w:type="dxa"/>
          </w:tblCellMar>
        </w:tblPrEx>
        <w:trPr>
          <w:trHeight w:val="371" w:hRule="atLeast"/>
        </w:trPr>
        <w:tc>
          <w:tcPr>
            <w:tcW w:w="1573" w:type="dxa"/>
            <w:tcBorders>
              <w:top w:val="nil"/>
              <w:left w:val="single" w:color="000000" w:sz="4" w:space="0"/>
              <w:bottom w:val="single" w:color="000000" w:sz="4" w:space="0"/>
              <w:right w:val="single" w:color="000000" w:sz="4" w:space="0"/>
            </w:tcBorders>
            <w:shd w:val="clear" w:color="auto" w:fill="auto"/>
            <w:vAlign w:val="center"/>
          </w:tcPr>
          <w:p w14:paraId="62D69BE5">
            <w:pPr>
              <w:kinsoku/>
              <w:autoSpaceDE/>
              <w:autoSpaceDN/>
              <w:adjustRightInd/>
              <w:snapToGrid/>
              <w:jc w:val="center"/>
              <w:textAlignment w:val="auto"/>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lang w:eastAsia="zh-CN"/>
              </w:rPr>
              <w:t>三</w:t>
            </w:r>
          </w:p>
        </w:tc>
        <w:tc>
          <w:tcPr>
            <w:tcW w:w="3438" w:type="dxa"/>
            <w:tcBorders>
              <w:top w:val="nil"/>
              <w:left w:val="nil"/>
              <w:bottom w:val="single" w:color="000000" w:sz="4" w:space="0"/>
              <w:right w:val="single" w:color="000000" w:sz="4" w:space="0"/>
            </w:tcBorders>
            <w:shd w:val="clear" w:color="auto" w:fill="auto"/>
            <w:vAlign w:val="center"/>
          </w:tcPr>
          <w:p w14:paraId="6B67094C">
            <w:pPr>
              <w:kinsoku/>
              <w:autoSpaceDE/>
              <w:autoSpaceDN/>
              <w:adjustRightInd/>
              <w:snapToGrid/>
              <w:textAlignment w:val="auto"/>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lang w:eastAsia="zh-CN"/>
              </w:rPr>
              <w:t>坡头乡</w:t>
            </w:r>
          </w:p>
        </w:tc>
        <w:tc>
          <w:tcPr>
            <w:tcW w:w="1741" w:type="dxa"/>
            <w:tcBorders>
              <w:top w:val="nil"/>
              <w:left w:val="nil"/>
              <w:bottom w:val="single" w:color="000000" w:sz="4" w:space="0"/>
              <w:right w:val="single" w:color="000000" w:sz="4" w:space="0"/>
            </w:tcBorders>
            <w:shd w:val="clear" w:color="auto" w:fill="auto"/>
            <w:noWrap/>
            <w:vAlign w:val="center"/>
          </w:tcPr>
          <w:p w14:paraId="16004655">
            <w:pPr>
              <w:kinsoku/>
              <w:autoSpaceDE/>
              <w:autoSpaceDN/>
              <w:adjustRightInd/>
              <w:snapToGrid/>
              <w:jc w:val="center"/>
              <w:textAlignment w:val="auto"/>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lang w:eastAsia="zh-CN"/>
              </w:rPr>
              <w:t>　</w:t>
            </w:r>
          </w:p>
        </w:tc>
        <w:tc>
          <w:tcPr>
            <w:tcW w:w="2546" w:type="dxa"/>
            <w:tcBorders>
              <w:top w:val="nil"/>
              <w:left w:val="nil"/>
              <w:bottom w:val="single" w:color="000000" w:sz="4" w:space="0"/>
              <w:right w:val="single" w:color="000000" w:sz="4" w:space="0"/>
            </w:tcBorders>
            <w:shd w:val="clear" w:color="auto" w:fill="auto"/>
            <w:noWrap/>
            <w:vAlign w:val="center"/>
          </w:tcPr>
          <w:p w14:paraId="13B95644">
            <w:pPr>
              <w:kinsoku/>
              <w:autoSpaceDE/>
              <w:autoSpaceDN/>
              <w:adjustRightInd/>
              <w:snapToGrid/>
              <w:jc w:val="center"/>
              <w:textAlignment w:val="auto"/>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lang w:eastAsia="zh-CN"/>
              </w:rPr>
              <w:t xml:space="preserve"> </w:t>
            </w:r>
          </w:p>
        </w:tc>
      </w:tr>
      <w:tr w14:paraId="010F1A88">
        <w:tblPrEx>
          <w:tblCellMar>
            <w:top w:w="0" w:type="dxa"/>
            <w:left w:w="108" w:type="dxa"/>
            <w:bottom w:w="0" w:type="dxa"/>
            <w:right w:w="108" w:type="dxa"/>
          </w:tblCellMar>
        </w:tblPrEx>
        <w:trPr>
          <w:trHeight w:val="3301" w:hRule="atLeast"/>
        </w:trPr>
        <w:tc>
          <w:tcPr>
            <w:tcW w:w="1573" w:type="dxa"/>
            <w:tcBorders>
              <w:top w:val="nil"/>
              <w:left w:val="single" w:color="000000" w:sz="4" w:space="0"/>
              <w:bottom w:val="single" w:color="000000" w:sz="4" w:space="0"/>
              <w:right w:val="single" w:color="000000" w:sz="4" w:space="0"/>
            </w:tcBorders>
            <w:shd w:val="clear" w:color="auto" w:fill="auto"/>
            <w:vAlign w:val="center"/>
          </w:tcPr>
          <w:p w14:paraId="6B41EC17">
            <w:pPr>
              <w:kinsoku/>
              <w:autoSpaceDE/>
              <w:autoSpaceDN/>
              <w:adjustRightInd/>
              <w:snapToGrid/>
              <w:jc w:val="center"/>
              <w:textAlignment w:val="auto"/>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lang w:eastAsia="zh-CN"/>
              </w:rPr>
              <w:t>1</w:t>
            </w:r>
          </w:p>
        </w:tc>
        <w:tc>
          <w:tcPr>
            <w:tcW w:w="3438" w:type="dxa"/>
            <w:tcBorders>
              <w:top w:val="nil"/>
              <w:left w:val="nil"/>
              <w:bottom w:val="single" w:color="000000" w:sz="4" w:space="0"/>
              <w:right w:val="single" w:color="000000" w:sz="4" w:space="0"/>
            </w:tcBorders>
            <w:shd w:val="clear" w:color="auto" w:fill="auto"/>
            <w:vAlign w:val="center"/>
          </w:tcPr>
          <w:p w14:paraId="2F4E791C">
            <w:pPr>
              <w:kinsoku/>
              <w:autoSpaceDE/>
              <w:autoSpaceDN/>
              <w:adjustRightInd/>
              <w:snapToGrid/>
              <w:textAlignment w:val="auto"/>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lang w:eastAsia="zh-CN"/>
              </w:rPr>
              <w:t>采伐，采伐作业包含：（1）</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标记采伐木，（2）采伐作业</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，（3）集采。首先进行现场</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标记采伐木，标记好采伐门后</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进行采伐作业，避免树木倒向</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造成对保留木的损伤，林木伐</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桩不高于10厘米；伐木完成</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后，要将采伐下的木材集中运</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输，按照预先规划的集材道，</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使用合适的集材设备将木材运</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出，集材时要注意避免对林地</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土壤，保留木和幼树的破坏。</w:t>
            </w:r>
          </w:p>
        </w:tc>
        <w:tc>
          <w:tcPr>
            <w:tcW w:w="1741" w:type="dxa"/>
            <w:tcBorders>
              <w:top w:val="nil"/>
              <w:left w:val="nil"/>
              <w:bottom w:val="single" w:color="000000" w:sz="4" w:space="0"/>
              <w:right w:val="single" w:color="000000" w:sz="4" w:space="0"/>
            </w:tcBorders>
            <w:shd w:val="clear" w:color="auto" w:fill="auto"/>
            <w:vAlign w:val="center"/>
          </w:tcPr>
          <w:p w14:paraId="06098A23">
            <w:pPr>
              <w:kinsoku/>
              <w:autoSpaceDE/>
              <w:autoSpaceDN/>
              <w:adjustRightInd/>
              <w:snapToGrid/>
              <w:jc w:val="center"/>
              <w:textAlignment w:val="auto"/>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lang w:eastAsia="zh-CN"/>
              </w:rPr>
              <w:t>棵</w:t>
            </w:r>
          </w:p>
        </w:tc>
        <w:tc>
          <w:tcPr>
            <w:tcW w:w="2546" w:type="dxa"/>
            <w:tcBorders>
              <w:top w:val="nil"/>
              <w:left w:val="nil"/>
              <w:bottom w:val="single" w:color="000000" w:sz="4" w:space="0"/>
              <w:right w:val="single" w:color="000000" w:sz="4" w:space="0"/>
            </w:tcBorders>
            <w:shd w:val="clear" w:color="auto" w:fill="auto"/>
            <w:vAlign w:val="center"/>
          </w:tcPr>
          <w:p w14:paraId="274C261E">
            <w:pPr>
              <w:kinsoku/>
              <w:autoSpaceDE/>
              <w:autoSpaceDN/>
              <w:adjustRightInd/>
              <w:snapToGrid/>
              <w:jc w:val="center"/>
              <w:textAlignment w:val="auto"/>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lang w:eastAsia="zh-CN"/>
              </w:rPr>
              <w:t>54885</w:t>
            </w:r>
          </w:p>
        </w:tc>
      </w:tr>
      <w:tr w14:paraId="53F1B338">
        <w:tblPrEx>
          <w:tblCellMar>
            <w:top w:w="0" w:type="dxa"/>
            <w:left w:w="108" w:type="dxa"/>
            <w:bottom w:w="0" w:type="dxa"/>
            <w:right w:w="108" w:type="dxa"/>
          </w:tblCellMar>
        </w:tblPrEx>
        <w:trPr>
          <w:trHeight w:val="4101" w:hRule="atLeast"/>
        </w:trPr>
        <w:tc>
          <w:tcPr>
            <w:tcW w:w="1573" w:type="dxa"/>
            <w:tcBorders>
              <w:top w:val="nil"/>
              <w:left w:val="single" w:color="000000" w:sz="4" w:space="0"/>
              <w:bottom w:val="single" w:color="000000" w:sz="4" w:space="0"/>
              <w:right w:val="single" w:color="000000" w:sz="4" w:space="0"/>
            </w:tcBorders>
            <w:shd w:val="clear" w:color="auto" w:fill="auto"/>
            <w:vAlign w:val="center"/>
          </w:tcPr>
          <w:p w14:paraId="23FC958C">
            <w:pPr>
              <w:kinsoku/>
              <w:autoSpaceDE/>
              <w:autoSpaceDN/>
              <w:adjustRightInd/>
              <w:snapToGrid/>
              <w:jc w:val="center"/>
              <w:textAlignment w:val="auto"/>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lang w:eastAsia="zh-CN"/>
              </w:rPr>
              <w:t>2</w:t>
            </w:r>
          </w:p>
        </w:tc>
        <w:tc>
          <w:tcPr>
            <w:tcW w:w="3438" w:type="dxa"/>
            <w:tcBorders>
              <w:top w:val="nil"/>
              <w:left w:val="nil"/>
              <w:bottom w:val="single" w:color="000000" w:sz="4" w:space="0"/>
              <w:right w:val="single" w:color="000000" w:sz="4" w:space="0"/>
            </w:tcBorders>
            <w:shd w:val="clear" w:color="auto" w:fill="auto"/>
            <w:vAlign w:val="center"/>
          </w:tcPr>
          <w:p w14:paraId="751C0B1D">
            <w:pPr>
              <w:kinsoku/>
              <w:autoSpaceDE/>
              <w:autoSpaceDN/>
              <w:adjustRightInd/>
              <w:snapToGrid/>
              <w:textAlignment w:val="auto"/>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lang w:eastAsia="zh-CN"/>
              </w:rPr>
              <w:t>修枝（修枝高度依林木的长势</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而定，冠高比控制在1/3-</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1/2之间，修枝枝茬高度小于</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1.5cm，施工工具用手锯、砍</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刀均可。细小枝条用镰刀或砍</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刀，紧贴树干由下向上剃削，</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不留茬，要保持切口平滑，避</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免刮伤树皮。对于较粗大的树</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枝，用锯先从下向上锯，再由</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上向下锯，避免劈裂或扯破树</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皮。采取留桩法和平切法，修</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去枯死枝(针叶树)和树冠下</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部1-2轮活枝(阔叶树);幼龄</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林阶段修枝强度不超过树高的</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1/3）</w:t>
            </w:r>
          </w:p>
        </w:tc>
        <w:tc>
          <w:tcPr>
            <w:tcW w:w="1741" w:type="dxa"/>
            <w:tcBorders>
              <w:top w:val="nil"/>
              <w:left w:val="nil"/>
              <w:bottom w:val="single" w:color="000000" w:sz="4" w:space="0"/>
              <w:right w:val="single" w:color="000000" w:sz="4" w:space="0"/>
            </w:tcBorders>
            <w:shd w:val="clear" w:color="auto" w:fill="auto"/>
            <w:vAlign w:val="center"/>
          </w:tcPr>
          <w:p w14:paraId="554CBCC7">
            <w:pPr>
              <w:kinsoku/>
              <w:autoSpaceDE/>
              <w:autoSpaceDN/>
              <w:adjustRightInd/>
              <w:snapToGrid/>
              <w:jc w:val="center"/>
              <w:textAlignment w:val="auto"/>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lang w:eastAsia="zh-CN"/>
              </w:rPr>
              <w:t>棵</w:t>
            </w:r>
          </w:p>
        </w:tc>
        <w:tc>
          <w:tcPr>
            <w:tcW w:w="2546" w:type="dxa"/>
            <w:tcBorders>
              <w:top w:val="nil"/>
              <w:left w:val="nil"/>
              <w:bottom w:val="single" w:color="000000" w:sz="4" w:space="0"/>
              <w:right w:val="single" w:color="000000" w:sz="4" w:space="0"/>
            </w:tcBorders>
            <w:shd w:val="clear" w:color="auto" w:fill="auto"/>
            <w:vAlign w:val="center"/>
          </w:tcPr>
          <w:p w14:paraId="1EF40649">
            <w:pPr>
              <w:kinsoku/>
              <w:autoSpaceDE/>
              <w:autoSpaceDN/>
              <w:adjustRightInd/>
              <w:snapToGrid/>
              <w:jc w:val="center"/>
              <w:textAlignment w:val="auto"/>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lang w:eastAsia="zh-CN"/>
              </w:rPr>
              <w:t>194116</w:t>
            </w:r>
          </w:p>
        </w:tc>
      </w:tr>
      <w:tr w14:paraId="0ADB1313">
        <w:tblPrEx>
          <w:tblCellMar>
            <w:top w:w="0" w:type="dxa"/>
            <w:left w:w="108" w:type="dxa"/>
            <w:bottom w:w="0" w:type="dxa"/>
            <w:right w:w="108" w:type="dxa"/>
          </w:tblCellMar>
        </w:tblPrEx>
        <w:trPr>
          <w:trHeight w:val="3301" w:hRule="atLeast"/>
        </w:trPr>
        <w:tc>
          <w:tcPr>
            <w:tcW w:w="1573" w:type="dxa"/>
            <w:tcBorders>
              <w:top w:val="nil"/>
              <w:left w:val="single" w:color="000000" w:sz="4" w:space="0"/>
              <w:bottom w:val="single" w:color="000000" w:sz="4" w:space="0"/>
              <w:right w:val="single" w:color="000000" w:sz="4" w:space="0"/>
            </w:tcBorders>
            <w:shd w:val="clear" w:color="auto" w:fill="auto"/>
            <w:vAlign w:val="center"/>
          </w:tcPr>
          <w:p w14:paraId="1F818716">
            <w:pPr>
              <w:kinsoku/>
              <w:autoSpaceDE/>
              <w:autoSpaceDN/>
              <w:adjustRightInd/>
              <w:snapToGrid/>
              <w:jc w:val="center"/>
              <w:textAlignment w:val="auto"/>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lang w:eastAsia="zh-CN"/>
              </w:rPr>
              <w:t>3</w:t>
            </w:r>
          </w:p>
        </w:tc>
        <w:tc>
          <w:tcPr>
            <w:tcW w:w="3438" w:type="dxa"/>
            <w:tcBorders>
              <w:top w:val="nil"/>
              <w:left w:val="nil"/>
              <w:bottom w:val="single" w:color="000000" w:sz="4" w:space="0"/>
              <w:right w:val="single" w:color="000000" w:sz="4" w:space="0"/>
            </w:tcBorders>
            <w:shd w:val="clear" w:color="auto" w:fill="auto"/>
            <w:vAlign w:val="center"/>
          </w:tcPr>
          <w:p w14:paraId="33FACC1A">
            <w:pPr>
              <w:kinsoku/>
              <w:autoSpaceDE/>
              <w:autoSpaceDN/>
              <w:adjustRightInd/>
              <w:snapToGrid/>
              <w:textAlignment w:val="auto"/>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lang w:eastAsia="zh-CN"/>
              </w:rPr>
              <w:t>割灌除草、剩余物清理（割灌</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除草，影响幼苗幼树生长的杂</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灌杂草和藤本植物全部割除</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;割灌除草在树木周边一米内</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影响树木生长的杂草灌木和藤</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本植物全部割除，灌茬不高于</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5cm，避免全面割灌除草，割</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灌除草完成后，清除出场地，</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要注意避免对林地土壤、保留</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木和幼树造成破坏，对剩余物</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进行清理，运出施工场地外。</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w:t>
            </w:r>
          </w:p>
        </w:tc>
        <w:tc>
          <w:tcPr>
            <w:tcW w:w="1741" w:type="dxa"/>
            <w:tcBorders>
              <w:top w:val="nil"/>
              <w:left w:val="nil"/>
              <w:bottom w:val="single" w:color="000000" w:sz="4" w:space="0"/>
              <w:right w:val="single" w:color="000000" w:sz="4" w:space="0"/>
            </w:tcBorders>
            <w:shd w:val="clear" w:color="auto" w:fill="auto"/>
            <w:vAlign w:val="center"/>
          </w:tcPr>
          <w:p w14:paraId="61877834">
            <w:pPr>
              <w:kinsoku/>
              <w:autoSpaceDE/>
              <w:autoSpaceDN/>
              <w:adjustRightInd/>
              <w:snapToGrid/>
              <w:jc w:val="center"/>
              <w:textAlignment w:val="auto"/>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lang w:eastAsia="zh-CN"/>
              </w:rPr>
              <w:t>亩</w:t>
            </w:r>
          </w:p>
        </w:tc>
        <w:tc>
          <w:tcPr>
            <w:tcW w:w="2546" w:type="dxa"/>
            <w:tcBorders>
              <w:top w:val="nil"/>
              <w:left w:val="nil"/>
              <w:bottom w:val="single" w:color="000000" w:sz="4" w:space="0"/>
              <w:right w:val="single" w:color="000000" w:sz="4" w:space="0"/>
            </w:tcBorders>
            <w:shd w:val="clear" w:color="auto" w:fill="auto"/>
            <w:vAlign w:val="center"/>
          </w:tcPr>
          <w:p w14:paraId="1F62AB30">
            <w:pPr>
              <w:kinsoku/>
              <w:autoSpaceDE/>
              <w:autoSpaceDN/>
              <w:adjustRightInd/>
              <w:snapToGrid/>
              <w:jc w:val="center"/>
              <w:textAlignment w:val="auto"/>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lang w:eastAsia="zh-CN"/>
              </w:rPr>
              <w:t>1491.4</w:t>
            </w:r>
          </w:p>
        </w:tc>
      </w:tr>
      <w:tr w14:paraId="7ECCDAD1">
        <w:tblPrEx>
          <w:tblCellMar>
            <w:top w:w="0" w:type="dxa"/>
            <w:left w:w="108" w:type="dxa"/>
            <w:bottom w:w="0" w:type="dxa"/>
            <w:right w:w="108" w:type="dxa"/>
          </w:tblCellMar>
        </w:tblPrEx>
        <w:trPr>
          <w:trHeight w:val="371" w:hRule="atLeast"/>
        </w:trPr>
        <w:tc>
          <w:tcPr>
            <w:tcW w:w="1573" w:type="dxa"/>
            <w:tcBorders>
              <w:top w:val="nil"/>
              <w:left w:val="single" w:color="000000" w:sz="4" w:space="0"/>
              <w:bottom w:val="single" w:color="000000" w:sz="4" w:space="0"/>
              <w:right w:val="single" w:color="000000" w:sz="4" w:space="0"/>
            </w:tcBorders>
            <w:shd w:val="clear" w:color="auto" w:fill="auto"/>
            <w:vAlign w:val="center"/>
          </w:tcPr>
          <w:p w14:paraId="616156EF">
            <w:pPr>
              <w:kinsoku/>
              <w:autoSpaceDE/>
              <w:autoSpaceDN/>
              <w:adjustRightInd/>
              <w:snapToGrid/>
              <w:jc w:val="center"/>
              <w:textAlignment w:val="auto"/>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lang w:eastAsia="zh-CN"/>
              </w:rPr>
              <w:t>四</w:t>
            </w:r>
          </w:p>
        </w:tc>
        <w:tc>
          <w:tcPr>
            <w:tcW w:w="3438" w:type="dxa"/>
            <w:tcBorders>
              <w:top w:val="nil"/>
              <w:left w:val="nil"/>
              <w:bottom w:val="single" w:color="000000" w:sz="4" w:space="0"/>
              <w:right w:val="single" w:color="000000" w:sz="4" w:space="0"/>
            </w:tcBorders>
            <w:shd w:val="clear" w:color="auto" w:fill="auto"/>
            <w:vAlign w:val="center"/>
          </w:tcPr>
          <w:p w14:paraId="02AC30B7">
            <w:pPr>
              <w:kinsoku/>
              <w:autoSpaceDE/>
              <w:autoSpaceDN/>
              <w:adjustRightInd/>
              <w:snapToGrid/>
              <w:textAlignment w:val="auto"/>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lang w:eastAsia="zh-CN"/>
              </w:rPr>
              <w:t>段村乡</w:t>
            </w:r>
          </w:p>
        </w:tc>
        <w:tc>
          <w:tcPr>
            <w:tcW w:w="1741" w:type="dxa"/>
            <w:tcBorders>
              <w:top w:val="nil"/>
              <w:left w:val="nil"/>
              <w:bottom w:val="single" w:color="000000" w:sz="4" w:space="0"/>
              <w:right w:val="single" w:color="000000" w:sz="4" w:space="0"/>
            </w:tcBorders>
            <w:shd w:val="clear" w:color="auto" w:fill="auto"/>
            <w:noWrap/>
            <w:vAlign w:val="center"/>
          </w:tcPr>
          <w:p w14:paraId="0A37B854">
            <w:pPr>
              <w:kinsoku/>
              <w:autoSpaceDE/>
              <w:autoSpaceDN/>
              <w:adjustRightInd/>
              <w:snapToGrid/>
              <w:jc w:val="center"/>
              <w:textAlignment w:val="auto"/>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lang w:eastAsia="zh-CN"/>
              </w:rPr>
              <w:t>　</w:t>
            </w:r>
          </w:p>
        </w:tc>
        <w:tc>
          <w:tcPr>
            <w:tcW w:w="2546" w:type="dxa"/>
            <w:tcBorders>
              <w:top w:val="nil"/>
              <w:left w:val="nil"/>
              <w:bottom w:val="single" w:color="000000" w:sz="4" w:space="0"/>
              <w:right w:val="single" w:color="000000" w:sz="4" w:space="0"/>
            </w:tcBorders>
            <w:shd w:val="clear" w:color="auto" w:fill="auto"/>
            <w:noWrap/>
            <w:vAlign w:val="center"/>
          </w:tcPr>
          <w:p w14:paraId="3D52E94E">
            <w:pPr>
              <w:kinsoku/>
              <w:autoSpaceDE/>
              <w:autoSpaceDN/>
              <w:adjustRightInd/>
              <w:snapToGrid/>
              <w:jc w:val="center"/>
              <w:textAlignment w:val="auto"/>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lang w:eastAsia="zh-CN"/>
              </w:rPr>
              <w:t xml:space="preserve"> </w:t>
            </w:r>
          </w:p>
        </w:tc>
      </w:tr>
      <w:tr w14:paraId="6939B92D">
        <w:tblPrEx>
          <w:tblCellMar>
            <w:top w:w="0" w:type="dxa"/>
            <w:left w:w="108" w:type="dxa"/>
            <w:bottom w:w="0" w:type="dxa"/>
            <w:right w:w="108" w:type="dxa"/>
          </w:tblCellMar>
        </w:tblPrEx>
        <w:trPr>
          <w:trHeight w:val="3301" w:hRule="atLeast"/>
        </w:trPr>
        <w:tc>
          <w:tcPr>
            <w:tcW w:w="1573" w:type="dxa"/>
            <w:tcBorders>
              <w:top w:val="nil"/>
              <w:left w:val="single" w:color="000000" w:sz="4" w:space="0"/>
              <w:bottom w:val="single" w:color="000000" w:sz="4" w:space="0"/>
              <w:right w:val="single" w:color="000000" w:sz="4" w:space="0"/>
            </w:tcBorders>
            <w:shd w:val="clear" w:color="auto" w:fill="auto"/>
            <w:vAlign w:val="center"/>
          </w:tcPr>
          <w:p w14:paraId="10C86D13">
            <w:pPr>
              <w:kinsoku/>
              <w:autoSpaceDE/>
              <w:autoSpaceDN/>
              <w:adjustRightInd/>
              <w:snapToGrid/>
              <w:jc w:val="center"/>
              <w:textAlignment w:val="auto"/>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lang w:eastAsia="zh-CN"/>
              </w:rPr>
              <w:t>1</w:t>
            </w:r>
          </w:p>
        </w:tc>
        <w:tc>
          <w:tcPr>
            <w:tcW w:w="3438" w:type="dxa"/>
            <w:tcBorders>
              <w:top w:val="nil"/>
              <w:left w:val="nil"/>
              <w:bottom w:val="single" w:color="000000" w:sz="4" w:space="0"/>
              <w:right w:val="single" w:color="000000" w:sz="4" w:space="0"/>
            </w:tcBorders>
            <w:shd w:val="clear" w:color="auto" w:fill="auto"/>
            <w:vAlign w:val="center"/>
          </w:tcPr>
          <w:p w14:paraId="6780BF17">
            <w:pPr>
              <w:kinsoku/>
              <w:autoSpaceDE/>
              <w:autoSpaceDN/>
              <w:adjustRightInd/>
              <w:snapToGrid/>
              <w:textAlignment w:val="auto"/>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lang w:eastAsia="zh-CN"/>
              </w:rPr>
              <w:t>采伐，采伐作业包含：（1）</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标记采伐木，（2）采伐作业</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，（3）集采。首先进行现场</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标记采伐木，标记好采伐门后</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进行采伐作业，避免树木倒向</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造成对保留木的损伤，林木伐</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桩不高于10厘米；伐木完成</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后，要将采伐下的木材集中运</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输，按照预先规划的集材道，</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使用合适的集材设备将木材运</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出，集材时要注意避免对林地</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土壤，保留木和幼树的破坏。</w:t>
            </w:r>
          </w:p>
        </w:tc>
        <w:tc>
          <w:tcPr>
            <w:tcW w:w="1741" w:type="dxa"/>
            <w:tcBorders>
              <w:top w:val="nil"/>
              <w:left w:val="nil"/>
              <w:bottom w:val="single" w:color="000000" w:sz="4" w:space="0"/>
              <w:right w:val="single" w:color="000000" w:sz="4" w:space="0"/>
            </w:tcBorders>
            <w:shd w:val="clear" w:color="auto" w:fill="auto"/>
            <w:vAlign w:val="center"/>
          </w:tcPr>
          <w:p w14:paraId="4C21DD71">
            <w:pPr>
              <w:kinsoku/>
              <w:autoSpaceDE/>
              <w:autoSpaceDN/>
              <w:adjustRightInd/>
              <w:snapToGrid/>
              <w:jc w:val="center"/>
              <w:textAlignment w:val="auto"/>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lang w:eastAsia="zh-CN"/>
              </w:rPr>
              <w:t>棵</w:t>
            </w:r>
          </w:p>
        </w:tc>
        <w:tc>
          <w:tcPr>
            <w:tcW w:w="2546" w:type="dxa"/>
            <w:tcBorders>
              <w:top w:val="nil"/>
              <w:left w:val="nil"/>
              <w:bottom w:val="single" w:color="000000" w:sz="4" w:space="0"/>
              <w:right w:val="single" w:color="000000" w:sz="4" w:space="0"/>
            </w:tcBorders>
            <w:shd w:val="clear" w:color="auto" w:fill="auto"/>
            <w:vAlign w:val="center"/>
          </w:tcPr>
          <w:p w14:paraId="673A465A">
            <w:pPr>
              <w:kinsoku/>
              <w:autoSpaceDE/>
              <w:autoSpaceDN/>
              <w:adjustRightInd/>
              <w:snapToGrid/>
              <w:jc w:val="center"/>
              <w:textAlignment w:val="auto"/>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lang w:eastAsia="zh-CN"/>
              </w:rPr>
              <w:t>186184</w:t>
            </w:r>
          </w:p>
        </w:tc>
      </w:tr>
      <w:tr w14:paraId="55DA984B">
        <w:tblPrEx>
          <w:tblCellMar>
            <w:top w:w="0" w:type="dxa"/>
            <w:left w:w="108" w:type="dxa"/>
            <w:bottom w:w="0" w:type="dxa"/>
            <w:right w:w="108" w:type="dxa"/>
          </w:tblCellMar>
        </w:tblPrEx>
        <w:trPr>
          <w:trHeight w:val="4101" w:hRule="atLeast"/>
        </w:trPr>
        <w:tc>
          <w:tcPr>
            <w:tcW w:w="1573" w:type="dxa"/>
            <w:tcBorders>
              <w:top w:val="nil"/>
              <w:left w:val="single" w:color="000000" w:sz="4" w:space="0"/>
              <w:bottom w:val="single" w:color="000000" w:sz="4" w:space="0"/>
              <w:right w:val="single" w:color="000000" w:sz="4" w:space="0"/>
            </w:tcBorders>
            <w:shd w:val="clear" w:color="auto" w:fill="auto"/>
            <w:vAlign w:val="center"/>
          </w:tcPr>
          <w:p w14:paraId="2A846BF6">
            <w:pPr>
              <w:kinsoku/>
              <w:autoSpaceDE/>
              <w:autoSpaceDN/>
              <w:adjustRightInd/>
              <w:snapToGrid/>
              <w:jc w:val="center"/>
              <w:textAlignment w:val="auto"/>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lang w:eastAsia="zh-CN"/>
              </w:rPr>
              <w:t>2</w:t>
            </w:r>
          </w:p>
        </w:tc>
        <w:tc>
          <w:tcPr>
            <w:tcW w:w="3438" w:type="dxa"/>
            <w:tcBorders>
              <w:top w:val="nil"/>
              <w:left w:val="nil"/>
              <w:bottom w:val="single" w:color="000000" w:sz="4" w:space="0"/>
              <w:right w:val="single" w:color="000000" w:sz="4" w:space="0"/>
            </w:tcBorders>
            <w:shd w:val="clear" w:color="auto" w:fill="auto"/>
            <w:vAlign w:val="center"/>
          </w:tcPr>
          <w:p w14:paraId="45BFD882">
            <w:pPr>
              <w:kinsoku/>
              <w:autoSpaceDE/>
              <w:autoSpaceDN/>
              <w:adjustRightInd/>
              <w:snapToGrid/>
              <w:textAlignment w:val="auto"/>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lang w:eastAsia="zh-CN"/>
              </w:rPr>
              <w:t>修枝（修枝高度依林木的长势</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而定，冠高比控制在1/3-</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1/2之间，修枝枝茬高度小于</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1.5cm，施工工具用手锯、砍</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刀均可。细小枝条用镰刀或砍</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刀，紧贴树干由下向上剃削，</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不留茬，要保持切口平滑，避</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免刮伤树皮。对于较粗大的树</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枝，用锯先从下向上锯，再由</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上向下锯，避免劈裂或扯破树</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皮。采取留桩法和平切法，修</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去枯死枝(针叶树)和树冠下</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部1-2轮活枝(阔叶树);幼龄</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林阶段修枝强度不超过树高的</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1/3）</w:t>
            </w:r>
          </w:p>
        </w:tc>
        <w:tc>
          <w:tcPr>
            <w:tcW w:w="1741" w:type="dxa"/>
            <w:tcBorders>
              <w:top w:val="nil"/>
              <w:left w:val="nil"/>
              <w:bottom w:val="single" w:color="000000" w:sz="4" w:space="0"/>
              <w:right w:val="single" w:color="000000" w:sz="4" w:space="0"/>
            </w:tcBorders>
            <w:shd w:val="clear" w:color="auto" w:fill="auto"/>
            <w:vAlign w:val="center"/>
          </w:tcPr>
          <w:p w14:paraId="10520C53">
            <w:pPr>
              <w:kinsoku/>
              <w:autoSpaceDE/>
              <w:autoSpaceDN/>
              <w:adjustRightInd/>
              <w:snapToGrid/>
              <w:jc w:val="center"/>
              <w:textAlignment w:val="auto"/>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lang w:eastAsia="zh-CN"/>
              </w:rPr>
              <w:t>棵</w:t>
            </w:r>
          </w:p>
        </w:tc>
        <w:tc>
          <w:tcPr>
            <w:tcW w:w="2546" w:type="dxa"/>
            <w:tcBorders>
              <w:top w:val="nil"/>
              <w:left w:val="nil"/>
              <w:bottom w:val="single" w:color="000000" w:sz="4" w:space="0"/>
              <w:right w:val="single" w:color="000000" w:sz="4" w:space="0"/>
            </w:tcBorders>
            <w:shd w:val="clear" w:color="auto" w:fill="auto"/>
            <w:vAlign w:val="center"/>
          </w:tcPr>
          <w:p w14:paraId="5DB67EF7">
            <w:pPr>
              <w:kinsoku/>
              <w:autoSpaceDE/>
              <w:autoSpaceDN/>
              <w:adjustRightInd/>
              <w:snapToGrid/>
              <w:jc w:val="center"/>
              <w:textAlignment w:val="auto"/>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lang w:eastAsia="zh-CN"/>
              </w:rPr>
              <w:t>570026</w:t>
            </w:r>
          </w:p>
        </w:tc>
      </w:tr>
      <w:tr w14:paraId="329DDFAF">
        <w:tblPrEx>
          <w:tblCellMar>
            <w:top w:w="0" w:type="dxa"/>
            <w:left w:w="108" w:type="dxa"/>
            <w:bottom w:w="0" w:type="dxa"/>
            <w:right w:w="108" w:type="dxa"/>
          </w:tblCellMar>
        </w:tblPrEx>
        <w:trPr>
          <w:trHeight w:val="3311" w:hRule="atLeast"/>
        </w:trPr>
        <w:tc>
          <w:tcPr>
            <w:tcW w:w="1573" w:type="dxa"/>
            <w:tcBorders>
              <w:top w:val="nil"/>
              <w:left w:val="single" w:color="000000" w:sz="4" w:space="0"/>
              <w:bottom w:val="single" w:color="000000" w:sz="4" w:space="0"/>
              <w:right w:val="single" w:color="000000" w:sz="4" w:space="0"/>
            </w:tcBorders>
            <w:shd w:val="clear" w:color="auto" w:fill="auto"/>
            <w:vAlign w:val="center"/>
          </w:tcPr>
          <w:p w14:paraId="4F3FEADC">
            <w:pPr>
              <w:kinsoku/>
              <w:autoSpaceDE/>
              <w:autoSpaceDN/>
              <w:adjustRightInd/>
              <w:snapToGrid/>
              <w:jc w:val="center"/>
              <w:textAlignment w:val="auto"/>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lang w:eastAsia="zh-CN"/>
              </w:rPr>
              <w:t>3</w:t>
            </w:r>
          </w:p>
        </w:tc>
        <w:tc>
          <w:tcPr>
            <w:tcW w:w="3438" w:type="dxa"/>
            <w:tcBorders>
              <w:top w:val="nil"/>
              <w:left w:val="nil"/>
              <w:bottom w:val="single" w:color="000000" w:sz="4" w:space="0"/>
              <w:right w:val="single" w:color="000000" w:sz="4" w:space="0"/>
            </w:tcBorders>
            <w:shd w:val="clear" w:color="auto" w:fill="auto"/>
            <w:vAlign w:val="center"/>
          </w:tcPr>
          <w:p w14:paraId="60400ACF">
            <w:pPr>
              <w:kinsoku/>
              <w:autoSpaceDE/>
              <w:autoSpaceDN/>
              <w:adjustRightInd/>
              <w:snapToGrid/>
              <w:textAlignment w:val="auto"/>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lang w:eastAsia="zh-CN"/>
              </w:rPr>
              <w:t>割灌除草、剩余物清理（割灌</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除草，影响幼苗幼树生长的杂</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灌杂草和藤本植物全部割除</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;割灌除草在树木周边一米内</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影响树木生长的杂草灌木和藤</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本植物全部割除，灌茬不高于</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5cm，避免全面割灌除草，割</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灌除草完成后，清除出场地，</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要注意避免对林地土壤、保留</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木和幼树造成破坏，对剩余物</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进行清理，运出施工场地外。</w:t>
            </w:r>
            <w:r>
              <w:rPr>
                <w:rFonts w:hint="eastAsia" w:ascii="宋体" w:hAnsi="宋体" w:eastAsia="宋体" w:cs="宋体"/>
                <w:snapToGrid/>
                <w:sz w:val="24"/>
                <w:szCs w:val="24"/>
                <w:highlight w:val="none"/>
                <w:lang w:eastAsia="zh-CN"/>
              </w:rPr>
              <w:br w:type="textWrapping"/>
            </w:r>
            <w:r>
              <w:rPr>
                <w:rFonts w:hint="eastAsia" w:ascii="宋体" w:hAnsi="宋体" w:eastAsia="宋体" w:cs="宋体"/>
                <w:snapToGrid/>
                <w:sz w:val="24"/>
                <w:szCs w:val="24"/>
                <w:highlight w:val="none"/>
                <w:lang w:eastAsia="zh-CN"/>
              </w:rPr>
              <w:t>）</w:t>
            </w:r>
          </w:p>
        </w:tc>
        <w:tc>
          <w:tcPr>
            <w:tcW w:w="1741" w:type="dxa"/>
            <w:tcBorders>
              <w:top w:val="nil"/>
              <w:left w:val="nil"/>
              <w:bottom w:val="single" w:color="000000" w:sz="4" w:space="0"/>
              <w:right w:val="single" w:color="000000" w:sz="4" w:space="0"/>
            </w:tcBorders>
            <w:shd w:val="clear" w:color="auto" w:fill="auto"/>
            <w:vAlign w:val="center"/>
          </w:tcPr>
          <w:p w14:paraId="4626DE61">
            <w:pPr>
              <w:kinsoku/>
              <w:autoSpaceDE/>
              <w:autoSpaceDN/>
              <w:adjustRightInd/>
              <w:snapToGrid/>
              <w:jc w:val="center"/>
              <w:textAlignment w:val="auto"/>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lang w:eastAsia="zh-CN"/>
              </w:rPr>
              <w:t>亩</w:t>
            </w:r>
          </w:p>
        </w:tc>
        <w:tc>
          <w:tcPr>
            <w:tcW w:w="2546" w:type="dxa"/>
            <w:tcBorders>
              <w:top w:val="nil"/>
              <w:left w:val="nil"/>
              <w:bottom w:val="single" w:color="000000" w:sz="4" w:space="0"/>
              <w:right w:val="single" w:color="000000" w:sz="4" w:space="0"/>
            </w:tcBorders>
            <w:shd w:val="clear" w:color="auto" w:fill="auto"/>
            <w:vAlign w:val="center"/>
          </w:tcPr>
          <w:p w14:paraId="2ED01EF9">
            <w:pPr>
              <w:kinsoku/>
              <w:autoSpaceDE/>
              <w:autoSpaceDN/>
              <w:adjustRightInd/>
              <w:snapToGrid/>
              <w:jc w:val="center"/>
              <w:textAlignment w:val="auto"/>
              <w:rPr>
                <w:rFonts w:hint="eastAsia" w:ascii="宋体" w:hAnsi="宋体" w:eastAsia="宋体" w:cs="宋体"/>
                <w:snapToGrid/>
                <w:sz w:val="24"/>
                <w:szCs w:val="24"/>
                <w:highlight w:val="none"/>
                <w:lang w:eastAsia="zh-CN"/>
              </w:rPr>
            </w:pPr>
            <w:r>
              <w:rPr>
                <w:rFonts w:hint="eastAsia" w:ascii="宋体" w:hAnsi="宋体" w:eastAsia="宋体" w:cs="宋体"/>
                <w:snapToGrid/>
                <w:sz w:val="24"/>
                <w:szCs w:val="24"/>
                <w:highlight w:val="none"/>
                <w:lang w:eastAsia="zh-CN"/>
              </w:rPr>
              <w:t>4085.3</w:t>
            </w:r>
          </w:p>
        </w:tc>
      </w:tr>
    </w:tbl>
    <w:p w14:paraId="1C52059C">
      <w:pPr>
        <w:pStyle w:val="4"/>
        <w:spacing w:line="246" w:lineRule="auto"/>
        <w:rPr>
          <w:highlight w:val="none"/>
          <w:lang w:eastAsia="zh-CN"/>
        </w:rPr>
      </w:pPr>
    </w:p>
    <w:p w14:paraId="729C1B13">
      <w:pPr>
        <w:pStyle w:val="4"/>
        <w:spacing w:line="246" w:lineRule="auto"/>
        <w:rPr>
          <w:rFonts w:eastAsiaTheme="minorEastAsia"/>
          <w:highlight w:val="none"/>
          <w:lang w:eastAsia="zh-CN"/>
        </w:rPr>
      </w:pPr>
    </w:p>
    <w:p w14:paraId="5E4DE893">
      <w:pPr>
        <w:kinsoku/>
        <w:autoSpaceDE/>
        <w:autoSpaceDN/>
        <w:adjustRightInd/>
        <w:snapToGrid/>
        <w:textAlignment w:val="auto"/>
        <w:rPr>
          <w:rFonts w:ascii="宋体" w:hAnsi="宋体" w:eastAsia="宋体" w:cs="宋体"/>
          <w:b/>
          <w:bCs/>
          <w:spacing w:val="4"/>
          <w:sz w:val="43"/>
          <w:szCs w:val="43"/>
          <w:highlight w:val="none"/>
          <w:lang w:eastAsia="zh-CN"/>
        </w:rPr>
      </w:pPr>
      <w:bookmarkStart w:id="7" w:name="bookmark5"/>
      <w:bookmarkEnd w:id="7"/>
      <w:r>
        <w:rPr>
          <w:rFonts w:ascii="宋体" w:hAnsi="宋体" w:eastAsia="宋体" w:cs="宋体"/>
          <w:b/>
          <w:bCs/>
          <w:spacing w:val="4"/>
          <w:sz w:val="43"/>
          <w:szCs w:val="43"/>
          <w:highlight w:val="none"/>
          <w:lang w:eastAsia="zh-CN"/>
        </w:rPr>
        <w:br w:type="page"/>
      </w:r>
    </w:p>
    <w:p w14:paraId="54A07132">
      <w:pPr>
        <w:spacing w:before="140" w:line="223" w:lineRule="auto"/>
        <w:jc w:val="center"/>
        <w:outlineLvl w:val="0"/>
        <w:rPr>
          <w:rFonts w:ascii="宋体" w:hAnsi="宋体" w:eastAsia="宋体" w:cs="宋体"/>
          <w:sz w:val="43"/>
          <w:szCs w:val="43"/>
          <w:highlight w:val="none"/>
          <w:lang w:eastAsia="zh-CN"/>
        </w:rPr>
      </w:pPr>
      <w:bookmarkStart w:id="8" w:name="_Toc22529"/>
      <w:r>
        <w:rPr>
          <w:rFonts w:ascii="宋体" w:hAnsi="宋体" w:eastAsia="宋体" w:cs="宋体"/>
          <w:b/>
          <w:bCs/>
          <w:spacing w:val="4"/>
          <w:sz w:val="43"/>
          <w:szCs w:val="43"/>
          <w:highlight w:val="none"/>
          <w:lang w:eastAsia="zh-CN"/>
        </w:rPr>
        <w:t>第四章</w:t>
      </w:r>
      <w:r>
        <w:rPr>
          <w:rFonts w:ascii="宋体" w:hAnsi="宋体" w:eastAsia="宋体" w:cs="宋体"/>
          <w:spacing w:val="4"/>
          <w:sz w:val="43"/>
          <w:szCs w:val="43"/>
          <w:highlight w:val="none"/>
          <w:lang w:eastAsia="zh-CN"/>
        </w:rPr>
        <w:t xml:space="preserve">  </w:t>
      </w:r>
      <w:r>
        <w:rPr>
          <w:rFonts w:ascii="宋体" w:hAnsi="宋体" w:eastAsia="宋体" w:cs="宋体"/>
          <w:b/>
          <w:bCs/>
          <w:spacing w:val="4"/>
          <w:sz w:val="43"/>
          <w:szCs w:val="43"/>
          <w:highlight w:val="none"/>
          <w:lang w:eastAsia="zh-CN"/>
        </w:rPr>
        <w:t>评标办法</w:t>
      </w:r>
      <w:bookmarkEnd w:id="8"/>
    </w:p>
    <w:p w14:paraId="7FF30A8A">
      <w:pPr>
        <w:spacing w:before="209" w:line="220" w:lineRule="auto"/>
        <w:ind w:left="521"/>
        <w:rPr>
          <w:rFonts w:ascii="宋体" w:hAnsi="宋体" w:eastAsia="宋体" w:cs="宋体"/>
          <w:sz w:val="24"/>
          <w:szCs w:val="24"/>
          <w:highlight w:val="none"/>
          <w:lang w:eastAsia="zh-CN"/>
        </w:rPr>
      </w:pPr>
      <w:r>
        <w:rPr>
          <w:rFonts w:ascii="宋体" w:hAnsi="宋体" w:eastAsia="宋体" w:cs="宋体"/>
          <w:spacing w:val="-5"/>
          <w:sz w:val="24"/>
          <w:szCs w:val="24"/>
          <w:highlight w:val="none"/>
          <w:lang w:eastAsia="zh-CN"/>
        </w:rPr>
        <w:t>1．评标方法</w:t>
      </w:r>
    </w:p>
    <w:p w14:paraId="6375144A">
      <w:pPr>
        <w:spacing w:before="212" w:line="361" w:lineRule="auto"/>
        <w:ind w:left="21" w:right="203" w:firstLine="499"/>
        <w:rPr>
          <w:rFonts w:ascii="宋体" w:hAnsi="宋体" w:eastAsia="宋体" w:cs="宋体"/>
          <w:sz w:val="24"/>
          <w:szCs w:val="24"/>
          <w:highlight w:val="none"/>
          <w:lang w:eastAsia="zh-CN"/>
        </w:rPr>
      </w:pPr>
      <w:r>
        <w:rPr>
          <w:rFonts w:ascii="宋体" w:hAnsi="宋体" w:eastAsia="宋体" w:cs="宋体"/>
          <w:spacing w:val="-2"/>
          <w:sz w:val="24"/>
          <w:szCs w:val="24"/>
          <w:highlight w:val="none"/>
          <w:lang w:eastAsia="zh-CN"/>
        </w:rPr>
        <w:t>1.1</w:t>
      </w:r>
      <w:r>
        <w:rPr>
          <w:rFonts w:ascii="宋体" w:hAnsi="宋体" w:eastAsia="宋体" w:cs="宋体"/>
          <w:spacing w:val="-49"/>
          <w:sz w:val="24"/>
          <w:szCs w:val="24"/>
          <w:highlight w:val="none"/>
          <w:lang w:eastAsia="zh-CN"/>
        </w:rPr>
        <w:t xml:space="preserve"> </w:t>
      </w:r>
      <w:r>
        <w:rPr>
          <w:rFonts w:ascii="宋体" w:hAnsi="宋体" w:eastAsia="宋体" w:cs="宋体"/>
          <w:spacing w:val="-2"/>
          <w:sz w:val="24"/>
          <w:szCs w:val="24"/>
          <w:highlight w:val="none"/>
          <w:lang w:eastAsia="zh-CN"/>
        </w:rPr>
        <w:t>本次招标采用综合评分法。评标委员会对符合资格的供应商的</w:t>
      </w:r>
      <w:r>
        <w:rPr>
          <w:rFonts w:ascii="宋体" w:hAnsi="宋体" w:eastAsia="宋体" w:cs="宋体"/>
          <w:spacing w:val="-3"/>
          <w:sz w:val="24"/>
          <w:szCs w:val="24"/>
          <w:highlight w:val="none"/>
          <w:lang w:eastAsia="zh-CN"/>
        </w:rPr>
        <w:t>投标文件进行符合性审查，以确定其是否满足招标文件的实质性要求，并按照招标文件中规定的评标方法和标准，对符合性审查合格的投标文件进行商务和技术评估，综</w:t>
      </w:r>
      <w:r>
        <w:rPr>
          <w:rFonts w:ascii="宋体" w:hAnsi="宋体" w:eastAsia="宋体" w:cs="宋体"/>
          <w:spacing w:val="-5"/>
          <w:sz w:val="24"/>
          <w:szCs w:val="24"/>
          <w:highlight w:val="none"/>
          <w:lang w:eastAsia="zh-CN"/>
        </w:rPr>
        <w:t>合比较与评价。按照本章规定的评审因素和评分标准进行打分，</w:t>
      </w:r>
      <w:r>
        <w:rPr>
          <w:rFonts w:ascii="宋体" w:hAnsi="宋体" w:eastAsia="宋体" w:cs="宋体"/>
          <w:spacing w:val="-46"/>
          <w:sz w:val="24"/>
          <w:szCs w:val="24"/>
          <w:highlight w:val="none"/>
          <w:lang w:eastAsia="zh-CN"/>
        </w:rPr>
        <w:t xml:space="preserve"> </w:t>
      </w:r>
      <w:r>
        <w:rPr>
          <w:rFonts w:ascii="宋体" w:hAnsi="宋体" w:eastAsia="宋体" w:cs="宋体"/>
          <w:spacing w:val="-5"/>
          <w:sz w:val="24"/>
          <w:szCs w:val="24"/>
          <w:highlight w:val="none"/>
          <w:lang w:eastAsia="zh-CN"/>
        </w:rPr>
        <w:t>并按得分由</w:t>
      </w:r>
      <w:r>
        <w:rPr>
          <w:rFonts w:ascii="宋体" w:hAnsi="宋体" w:eastAsia="宋体" w:cs="宋体"/>
          <w:spacing w:val="-6"/>
          <w:sz w:val="24"/>
          <w:szCs w:val="24"/>
          <w:highlight w:val="none"/>
          <w:lang w:eastAsia="zh-CN"/>
        </w:rPr>
        <w:t>高到</w:t>
      </w:r>
      <w:r>
        <w:rPr>
          <w:rFonts w:ascii="宋体" w:hAnsi="宋体" w:eastAsia="宋体" w:cs="宋体"/>
          <w:spacing w:val="-3"/>
          <w:sz w:val="24"/>
          <w:szCs w:val="24"/>
          <w:highlight w:val="none"/>
          <w:lang w:eastAsia="zh-CN"/>
        </w:rPr>
        <w:t>低顺序推荐中标候选人。综合评分相等时，按技术得分高的优先；技术得分也相等，按商务标由高到低的顺序排列，以上各项都相同的，由评标委员会确定排名</w:t>
      </w:r>
      <w:r>
        <w:rPr>
          <w:rFonts w:ascii="宋体" w:hAnsi="宋体" w:eastAsia="宋体" w:cs="宋体"/>
          <w:spacing w:val="-4"/>
          <w:sz w:val="24"/>
          <w:szCs w:val="24"/>
          <w:highlight w:val="none"/>
          <w:lang w:eastAsia="zh-CN"/>
        </w:rPr>
        <w:t>第一的为中标供应商。</w:t>
      </w:r>
    </w:p>
    <w:p w14:paraId="76390726">
      <w:pPr>
        <w:spacing w:before="218" w:line="301" w:lineRule="auto"/>
        <w:ind w:left="33" w:right="205" w:firstLine="488"/>
        <w:rPr>
          <w:rFonts w:ascii="宋体" w:hAnsi="宋体" w:eastAsia="宋体" w:cs="宋体"/>
          <w:sz w:val="24"/>
          <w:szCs w:val="24"/>
          <w:highlight w:val="none"/>
          <w:lang w:eastAsia="zh-CN"/>
        </w:rPr>
      </w:pPr>
      <w:r>
        <w:rPr>
          <w:rFonts w:ascii="宋体" w:hAnsi="宋体" w:eastAsia="宋体" w:cs="宋体"/>
          <w:spacing w:val="-2"/>
          <w:sz w:val="24"/>
          <w:szCs w:val="24"/>
          <w:highlight w:val="none"/>
          <w:lang w:eastAsia="zh-CN"/>
        </w:rPr>
        <w:t>1.2</w:t>
      </w:r>
      <w:r>
        <w:rPr>
          <w:rFonts w:ascii="宋体" w:hAnsi="宋体" w:eastAsia="宋体" w:cs="宋体"/>
          <w:spacing w:val="-51"/>
          <w:sz w:val="24"/>
          <w:szCs w:val="24"/>
          <w:highlight w:val="none"/>
          <w:lang w:eastAsia="zh-CN"/>
        </w:rPr>
        <w:t xml:space="preserve"> </w:t>
      </w:r>
      <w:r>
        <w:rPr>
          <w:rFonts w:ascii="宋体" w:hAnsi="宋体" w:eastAsia="宋体" w:cs="宋体"/>
          <w:spacing w:val="-2"/>
          <w:sz w:val="24"/>
          <w:szCs w:val="24"/>
          <w:highlight w:val="none"/>
          <w:lang w:eastAsia="zh-CN"/>
        </w:rPr>
        <w:t>采购人或者采购代理机构负责组织评标工作，并履行相关职责；</w:t>
      </w:r>
      <w:r>
        <w:rPr>
          <w:rFonts w:ascii="宋体" w:hAnsi="宋体" w:eastAsia="宋体" w:cs="宋体"/>
          <w:spacing w:val="-3"/>
          <w:sz w:val="24"/>
          <w:szCs w:val="24"/>
          <w:highlight w:val="none"/>
          <w:lang w:eastAsia="zh-CN"/>
        </w:rPr>
        <w:t>评标委员会负责具体评标事务，并独立履行相关职责。</w:t>
      </w:r>
    </w:p>
    <w:p w14:paraId="4633FEB3">
      <w:pPr>
        <w:spacing w:before="216" w:line="343" w:lineRule="auto"/>
        <w:ind w:left="22" w:firstLine="498"/>
        <w:rPr>
          <w:rFonts w:ascii="宋体" w:hAnsi="宋体" w:eastAsia="宋体" w:cs="宋体"/>
          <w:sz w:val="24"/>
          <w:szCs w:val="24"/>
          <w:highlight w:val="none"/>
          <w:lang w:eastAsia="zh-CN"/>
        </w:rPr>
      </w:pPr>
      <w:r>
        <w:rPr>
          <w:rFonts w:ascii="宋体" w:hAnsi="宋体" w:eastAsia="宋体" w:cs="宋体"/>
          <w:spacing w:val="-2"/>
          <w:sz w:val="24"/>
          <w:szCs w:val="24"/>
          <w:highlight w:val="none"/>
          <w:lang w:eastAsia="zh-CN"/>
        </w:rPr>
        <w:t>1.3</w:t>
      </w:r>
      <w:r>
        <w:rPr>
          <w:rFonts w:ascii="宋体" w:hAnsi="宋体" w:eastAsia="宋体" w:cs="宋体"/>
          <w:spacing w:val="-51"/>
          <w:sz w:val="24"/>
          <w:szCs w:val="24"/>
          <w:highlight w:val="none"/>
          <w:lang w:eastAsia="zh-CN"/>
        </w:rPr>
        <w:t xml:space="preserve"> </w:t>
      </w:r>
      <w:r>
        <w:rPr>
          <w:rFonts w:ascii="宋体" w:hAnsi="宋体" w:eastAsia="宋体" w:cs="宋体"/>
          <w:spacing w:val="-2"/>
          <w:sz w:val="24"/>
          <w:szCs w:val="24"/>
          <w:highlight w:val="none"/>
          <w:lang w:eastAsia="zh-CN"/>
        </w:rPr>
        <w:t>在评审过程中，评标委员会可以要求投标供应商就电子化投标文</w:t>
      </w:r>
      <w:r>
        <w:rPr>
          <w:rFonts w:ascii="宋体" w:hAnsi="宋体" w:eastAsia="宋体" w:cs="宋体"/>
          <w:spacing w:val="-3"/>
          <w:sz w:val="24"/>
          <w:szCs w:val="24"/>
          <w:highlight w:val="none"/>
          <w:lang w:eastAsia="zh-CN"/>
        </w:rPr>
        <w:t>件中含</w:t>
      </w:r>
      <w:r>
        <w:rPr>
          <w:rFonts w:ascii="宋体" w:hAnsi="宋体" w:eastAsia="宋体" w:cs="宋体"/>
          <w:spacing w:val="-4"/>
          <w:sz w:val="24"/>
          <w:szCs w:val="24"/>
          <w:highlight w:val="none"/>
          <w:lang w:eastAsia="zh-CN"/>
        </w:rPr>
        <w:t>义不明确的内容进行说明并提供相关材料；凡遇到招标文件中无界定或界定不清、</w:t>
      </w:r>
      <w:r>
        <w:rPr>
          <w:rFonts w:ascii="宋体" w:hAnsi="宋体" w:eastAsia="宋体" w:cs="宋体"/>
          <w:spacing w:val="-3"/>
          <w:sz w:val="24"/>
          <w:szCs w:val="24"/>
          <w:highlight w:val="none"/>
          <w:lang w:eastAsia="zh-CN"/>
        </w:rPr>
        <w:t>前后不一致使评委会成员意见有分歧且又难于协商一致的问题，均由评委会予以</w:t>
      </w:r>
      <w:r>
        <w:rPr>
          <w:rFonts w:ascii="宋体" w:hAnsi="宋体" w:eastAsia="宋体" w:cs="宋体"/>
          <w:spacing w:val="-2"/>
          <w:sz w:val="24"/>
          <w:szCs w:val="24"/>
          <w:highlight w:val="none"/>
          <w:lang w:eastAsia="zh-CN"/>
        </w:rPr>
        <w:t>表决，获半数以上同意的即为通过，未获半数同意的即为否决。</w:t>
      </w:r>
    </w:p>
    <w:p w14:paraId="03516C0F">
      <w:pPr>
        <w:spacing w:before="216" w:line="219" w:lineRule="auto"/>
        <w:ind w:left="506"/>
        <w:rPr>
          <w:rFonts w:ascii="宋体" w:hAnsi="宋体" w:eastAsia="宋体" w:cs="宋体"/>
          <w:sz w:val="24"/>
          <w:szCs w:val="24"/>
          <w:highlight w:val="none"/>
          <w:lang w:eastAsia="zh-CN"/>
        </w:rPr>
      </w:pPr>
      <w:r>
        <w:rPr>
          <w:rFonts w:ascii="宋体" w:hAnsi="宋体" w:eastAsia="宋体" w:cs="宋体"/>
          <w:spacing w:val="-1"/>
          <w:sz w:val="24"/>
          <w:szCs w:val="24"/>
          <w:highlight w:val="none"/>
          <w:lang w:eastAsia="zh-CN"/>
        </w:rPr>
        <w:t>2．评分标准(采用综合评分法)</w:t>
      </w:r>
    </w:p>
    <w:p w14:paraId="7763357C">
      <w:pPr>
        <w:spacing w:before="214" w:line="385" w:lineRule="auto"/>
        <w:ind w:left="27" w:right="205" w:firstLine="475"/>
        <w:rPr>
          <w:rFonts w:ascii="宋体" w:hAnsi="宋体" w:eastAsia="宋体" w:cs="宋体"/>
          <w:sz w:val="24"/>
          <w:szCs w:val="24"/>
          <w:highlight w:val="none"/>
          <w:lang w:eastAsia="zh-CN"/>
        </w:rPr>
      </w:pPr>
      <w:r>
        <w:rPr>
          <w:rFonts w:ascii="宋体" w:hAnsi="宋体" w:eastAsia="宋体" w:cs="宋体"/>
          <w:spacing w:val="-3"/>
          <w:sz w:val="24"/>
          <w:szCs w:val="24"/>
          <w:highlight w:val="none"/>
          <w:lang w:eastAsia="zh-CN"/>
        </w:rPr>
        <w:t>评标委员会按照《中华人民共和国政府采购法</w:t>
      </w:r>
      <w:r>
        <w:rPr>
          <w:rFonts w:ascii="宋体" w:hAnsi="宋体" w:eastAsia="宋体" w:cs="宋体"/>
          <w:spacing w:val="-4"/>
          <w:sz w:val="24"/>
          <w:szCs w:val="24"/>
          <w:highlight w:val="none"/>
          <w:lang w:eastAsia="zh-CN"/>
        </w:rPr>
        <w:t>》和《评标委员会和评标方法</w:t>
      </w:r>
      <w:r>
        <w:rPr>
          <w:rFonts w:ascii="宋体" w:hAnsi="宋体" w:eastAsia="宋体" w:cs="宋体"/>
          <w:spacing w:val="-6"/>
          <w:sz w:val="24"/>
          <w:szCs w:val="24"/>
          <w:highlight w:val="none"/>
          <w:lang w:eastAsia="zh-CN"/>
        </w:rPr>
        <w:t>暂行规定》，结合本项目具体情况，按下列标准打</w:t>
      </w:r>
      <w:r>
        <w:rPr>
          <w:rFonts w:ascii="宋体" w:hAnsi="宋体" w:eastAsia="宋体" w:cs="宋体"/>
          <w:spacing w:val="-7"/>
          <w:sz w:val="24"/>
          <w:szCs w:val="24"/>
          <w:highlight w:val="none"/>
          <w:lang w:eastAsia="zh-CN"/>
        </w:rPr>
        <w:t>分：第一部分：投标报价；第</w:t>
      </w:r>
      <w:r>
        <w:rPr>
          <w:rFonts w:ascii="宋体" w:hAnsi="宋体" w:eastAsia="宋体" w:cs="宋体"/>
          <w:spacing w:val="-2"/>
          <w:sz w:val="24"/>
          <w:szCs w:val="24"/>
          <w:highlight w:val="none"/>
          <w:lang w:eastAsia="zh-CN"/>
        </w:rPr>
        <w:t>二部分：技术部分评审；第三部分：商务部分评审。</w:t>
      </w:r>
    </w:p>
    <w:p w14:paraId="705B01DC">
      <w:pPr>
        <w:spacing w:line="218" w:lineRule="auto"/>
        <w:ind w:left="986"/>
        <w:rPr>
          <w:rFonts w:ascii="宋体" w:hAnsi="宋体" w:eastAsia="宋体" w:cs="宋体"/>
          <w:sz w:val="24"/>
          <w:szCs w:val="24"/>
          <w:highlight w:val="none"/>
          <w:lang w:eastAsia="zh-CN"/>
        </w:rPr>
      </w:pPr>
      <w:r>
        <w:rPr>
          <w:rFonts w:ascii="宋体" w:hAnsi="宋体" w:eastAsia="宋体" w:cs="宋体"/>
          <w:spacing w:val="-1"/>
          <w:sz w:val="24"/>
          <w:szCs w:val="24"/>
          <w:highlight w:val="none"/>
          <w:lang w:eastAsia="zh-CN"/>
        </w:rPr>
        <w:t>投标供应商最终得分=投标报价+技术评审得分+</w:t>
      </w:r>
      <w:r>
        <w:rPr>
          <w:rFonts w:ascii="宋体" w:hAnsi="宋体" w:eastAsia="宋体" w:cs="宋体"/>
          <w:spacing w:val="-2"/>
          <w:sz w:val="24"/>
          <w:szCs w:val="24"/>
          <w:highlight w:val="none"/>
          <w:lang w:eastAsia="zh-CN"/>
        </w:rPr>
        <w:t>商务评审得分。</w:t>
      </w:r>
    </w:p>
    <w:p w14:paraId="5A83BFBE">
      <w:pPr>
        <w:spacing w:before="216" w:line="220" w:lineRule="auto"/>
        <w:ind w:left="508"/>
        <w:rPr>
          <w:rFonts w:ascii="宋体" w:hAnsi="宋体" w:eastAsia="宋体" w:cs="宋体"/>
          <w:sz w:val="24"/>
          <w:szCs w:val="24"/>
          <w:highlight w:val="none"/>
          <w:lang w:eastAsia="zh-CN"/>
        </w:rPr>
      </w:pPr>
      <w:r>
        <w:rPr>
          <w:rFonts w:ascii="宋体" w:hAnsi="宋体" w:eastAsia="宋体" w:cs="宋体"/>
          <w:spacing w:val="-3"/>
          <w:sz w:val="24"/>
          <w:szCs w:val="24"/>
          <w:highlight w:val="none"/>
          <w:lang w:eastAsia="zh-CN"/>
        </w:rPr>
        <w:t>3.评审程序</w:t>
      </w:r>
    </w:p>
    <w:p w14:paraId="20362764">
      <w:pPr>
        <w:spacing w:before="214" w:line="220" w:lineRule="auto"/>
        <w:ind w:left="508"/>
        <w:rPr>
          <w:rFonts w:ascii="宋体" w:hAnsi="宋体" w:eastAsia="宋体" w:cs="宋体"/>
          <w:sz w:val="24"/>
          <w:szCs w:val="24"/>
          <w:highlight w:val="none"/>
          <w:lang w:eastAsia="zh-CN"/>
        </w:rPr>
      </w:pPr>
      <w:r>
        <w:rPr>
          <w:rFonts w:ascii="宋体" w:hAnsi="宋体" w:eastAsia="宋体" w:cs="宋体"/>
          <w:spacing w:val="-5"/>
          <w:sz w:val="24"/>
          <w:szCs w:val="24"/>
          <w:highlight w:val="none"/>
          <w:lang w:eastAsia="zh-CN"/>
        </w:rPr>
        <w:t>3.1</w:t>
      </w:r>
      <w:r>
        <w:rPr>
          <w:rFonts w:ascii="宋体" w:hAnsi="宋体" w:eastAsia="宋体" w:cs="宋体"/>
          <w:spacing w:val="-36"/>
          <w:sz w:val="24"/>
          <w:szCs w:val="24"/>
          <w:highlight w:val="none"/>
          <w:lang w:eastAsia="zh-CN"/>
        </w:rPr>
        <w:t xml:space="preserve"> </w:t>
      </w:r>
      <w:r>
        <w:rPr>
          <w:rFonts w:ascii="宋体" w:hAnsi="宋体" w:eastAsia="宋体" w:cs="宋体"/>
          <w:spacing w:val="-5"/>
          <w:sz w:val="24"/>
          <w:szCs w:val="24"/>
          <w:highlight w:val="none"/>
          <w:lang w:eastAsia="zh-CN"/>
        </w:rPr>
        <w:t>资格审查</w:t>
      </w:r>
    </w:p>
    <w:p w14:paraId="5CC49641">
      <w:pPr>
        <w:spacing w:before="213" w:line="385" w:lineRule="auto"/>
        <w:ind w:left="22" w:right="17" w:firstLine="481"/>
        <w:rPr>
          <w:rFonts w:ascii="宋体" w:hAnsi="宋体" w:eastAsia="宋体" w:cs="宋体"/>
          <w:sz w:val="24"/>
          <w:szCs w:val="24"/>
          <w:highlight w:val="none"/>
          <w:lang w:eastAsia="zh-CN"/>
        </w:rPr>
      </w:pPr>
      <w:r>
        <w:rPr>
          <w:rFonts w:ascii="宋体" w:hAnsi="宋体" w:eastAsia="宋体" w:cs="宋体"/>
          <w:spacing w:val="-5"/>
          <w:sz w:val="24"/>
          <w:szCs w:val="24"/>
          <w:highlight w:val="none"/>
          <w:lang w:eastAsia="zh-CN"/>
        </w:rPr>
        <w:t>开标会议结束后，由采购人或采购代理机构人员按照</w:t>
      </w:r>
      <w:r>
        <w:rPr>
          <w:rFonts w:ascii="宋体" w:hAnsi="宋体" w:eastAsia="宋体" w:cs="宋体"/>
          <w:b/>
          <w:bCs/>
          <w:spacing w:val="-5"/>
          <w:sz w:val="24"/>
          <w:szCs w:val="24"/>
          <w:highlight w:val="none"/>
          <w:lang w:eastAsia="zh-CN"/>
        </w:rPr>
        <w:t>评标办法前附</w:t>
      </w:r>
      <w:r>
        <w:rPr>
          <w:rFonts w:ascii="宋体" w:hAnsi="宋体" w:eastAsia="宋体" w:cs="宋体"/>
          <w:b/>
          <w:bCs/>
          <w:spacing w:val="-6"/>
          <w:sz w:val="24"/>
          <w:szCs w:val="24"/>
          <w:highlight w:val="none"/>
          <w:lang w:eastAsia="zh-CN"/>
        </w:rPr>
        <w:t>表</w:t>
      </w:r>
      <w:r>
        <w:rPr>
          <w:rFonts w:ascii="宋体" w:hAnsi="宋体" w:eastAsia="宋体" w:cs="宋体"/>
          <w:spacing w:val="-6"/>
          <w:sz w:val="24"/>
          <w:szCs w:val="24"/>
          <w:highlight w:val="none"/>
          <w:lang w:eastAsia="zh-CN"/>
        </w:rPr>
        <w:t>的要求，</w:t>
      </w:r>
      <w:r>
        <w:rPr>
          <w:rFonts w:ascii="宋体" w:hAnsi="宋体" w:eastAsia="宋体" w:cs="宋体"/>
          <w:spacing w:val="-3"/>
          <w:sz w:val="24"/>
          <w:szCs w:val="24"/>
          <w:highlight w:val="none"/>
          <w:lang w:eastAsia="zh-CN"/>
        </w:rPr>
        <w:t>对投标供应商资格进行审查，有一项不符合的，视为未通过资格审查，不得进入</w:t>
      </w:r>
      <w:r>
        <w:rPr>
          <w:rFonts w:ascii="宋体" w:hAnsi="宋体" w:eastAsia="宋体" w:cs="宋体"/>
          <w:spacing w:val="-2"/>
          <w:sz w:val="24"/>
          <w:szCs w:val="24"/>
          <w:highlight w:val="none"/>
          <w:lang w:eastAsia="zh-CN"/>
        </w:rPr>
        <w:t>下一评标过程。符合的进入下一评标程序。</w:t>
      </w:r>
    </w:p>
    <w:p w14:paraId="690AC9E4">
      <w:pPr>
        <w:spacing w:before="1" w:line="219" w:lineRule="auto"/>
        <w:ind w:left="508"/>
        <w:rPr>
          <w:rFonts w:ascii="宋体" w:hAnsi="宋体" w:eastAsia="宋体" w:cs="宋体"/>
          <w:spacing w:val="-4"/>
          <w:sz w:val="24"/>
          <w:szCs w:val="24"/>
          <w:highlight w:val="none"/>
          <w:lang w:eastAsia="zh-CN"/>
        </w:rPr>
      </w:pPr>
      <w:r>
        <w:rPr>
          <w:rFonts w:ascii="宋体" w:hAnsi="宋体" w:eastAsia="宋体" w:cs="宋体"/>
          <w:spacing w:val="-4"/>
          <w:sz w:val="24"/>
          <w:szCs w:val="24"/>
          <w:highlight w:val="none"/>
          <w:lang w:eastAsia="zh-CN"/>
        </w:rPr>
        <w:t>3.2</w:t>
      </w:r>
      <w:r>
        <w:rPr>
          <w:rFonts w:ascii="宋体" w:hAnsi="宋体" w:eastAsia="宋体" w:cs="宋体"/>
          <w:spacing w:val="-44"/>
          <w:sz w:val="24"/>
          <w:szCs w:val="24"/>
          <w:highlight w:val="none"/>
          <w:lang w:eastAsia="zh-CN"/>
        </w:rPr>
        <w:t xml:space="preserve"> </w:t>
      </w:r>
      <w:r>
        <w:rPr>
          <w:rFonts w:ascii="宋体" w:hAnsi="宋体" w:eastAsia="宋体" w:cs="宋体"/>
          <w:spacing w:val="-4"/>
          <w:sz w:val="24"/>
          <w:szCs w:val="24"/>
          <w:highlight w:val="none"/>
          <w:lang w:eastAsia="zh-CN"/>
        </w:rPr>
        <w:t>符合性审查</w:t>
      </w:r>
    </w:p>
    <w:p w14:paraId="39282656">
      <w:pPr>
        <w:spacing w:before="213" w:line="385" w:lineRule="auto"/>
        <w:ind w:left="22" w:right="17" w:firstLine="481"/>
        <w:rPr>
          <w:rFonts w:ascii="宋体" w:hAnsi="宋体" w:eastAsia="宋体" w:cs="宋体"/>
          <w:spacing w:val="-5"/>
          <w:sz w:val="24"/>
          <w:szCs w:val="24"/>
          <w:highlight w:val="none"/>
          <w:lang w:eastAsia="zh-CN"/>
        </w:rPr>
      </w:pPr>
      <w:r>
        <w:rPr>
          <w:rFonts w:ascii="宋体" w:hAnsi="宋体" w:eastAsia="宋体" w:cs="宋体"/>
          <w:spacing w:val="-5"/>
          <w:sz w:val="24"/>
          <w:szCs w:val="24"/>
          <w:highlight w:val="none"/>
          <w:lang w:eastAsia="zh-CN"/>
        </w:rPr>
        <w:t>评标委员会按照</w:t>
      </w:r>
      <w:r>
        <w:rPr>
          <w:rFonts w:ascii="宋体" w:hAnsi="宋体" w:eastAsia="宋体" w:cs="宋体"/>
          <w:b/>
          <w:bCs/>
          <w:spacing w:val="-5"/>
          <w:sz w:val="24"/>
          <w:szCs w:val="24"/>
          <w:highlight w:val="none"/>
          <w:lang w:eastAsia="zh-CN"/>
        </w:rPr>
        <w:t>评标办法前附表的要求，对投标供应商进行符合性审查</w:t>
      </w:r>
      <w:r>
        <w:rPr>
          <w:rFonts w:ascii="宋体" w:hAnsi="宋体" w:eastAsia="宋体" w:cs="宋体"/>
          <w:spacing w:val="-5"/>
          <w:sz w:val="24"/>
          <w:szCs w:val="24"/>
          <w:highlight w:val="none"/>
          <w:lang w:eastAsia="zh-CN"/>
        </w:rPr>
        <w:t>，有一项不符合的，视为未通过符合性审查，不得进入下一评标过程。</w:t>
      </w:r>
    </w:p>
    <w:p w14:paraId="609065A9">
      <w:pPr>
        <w:kinsoku/>
        <w:autoSpaceDE/>
        <w:autoSpaceDN/>
        <w:adjustRightInd/>
        <w:snapToGrid/>
        <w:textAlignment w:val="auto"/>
        <w:rPr>
          <w:rFonts w:ascii="宋体" w:hAnsi="宋体" w:eastAsia="宋体" w:cs="宋体"/>
          <w:spacing w:val="-2"/>
          <w:sz w:val="24"/>
          <w:szCs w:val="24"/>
          <w:highlight w:val="none"/>
          <w:lang w:eastAsia="zh-CN"/>
        </w:rPr>
      </w:pPr>
      <w:r>
        <w:rPr>
          <w:rFonts w:ascii="宋体" w:hAnsi="宋体" w:eastAsia="宋体" w:cs="宋体"/>
          <w:spacing w:val="-2"/>
          <w:sz w:val="24"/>
          <w:szCs w:val="24"/>
          <w:highlight w:val="none"/>
          <w:lang w:eastAsia="zh-CN"/>
        </w:rPr>
        <w:br w:type="page"/>
      </w:r>
    </w:p>
    <w:p w14:paraId="2AD4EFE4">
      <w:pPr>
        <w:spacing w:before="213" w:line="480" w:lineRule="auto"/>
        <w:ind w:left="502"/>
        <w:jc w:val="center"/>
        <w:rPr>
          <w:rFonts w:ascii="宋体" w:hAnsi="宋体" w:eastAsia="宋体" w:cs="宋体"/>
          <w:spacing w:val="-5"/>
          <w:sz w:val="32"/>
          <w:szCs w:val="32"/>
          <w:highlight w:val="none"/>
          <w:lang w:eastAsia="zh-CN"/>
        </w:rPr>
      </w:pPr>
      <w:r>
        <w:rPr>
          <w:rFonts w:ascii="宋体" w:hAnsi="宋体" w:eastAsia="宋体" w:cs="宋体"/>
          <w:b/>
          <w:bCs/>
          <w:spacing w:val="-3"/>
          <w:sz w:val="32"/>
          <w:szCs w:val="32"/>
          <w:highlight w:val="none"/>
        </w:rPr>
        <w:t>评标办法前附表</w:t>
      </w:r>
    </w:p>
    <w:tbl>
      <w:tblPr>
        <w:tblStyle w:val="32"/>
        <w:tblW w:w="94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9"/>
        <w:gridCol w:w="1317"/>
        <w:gridCol w:w="2039"/>
        <w:gridCol w:w="5244"/>
      </w:tblGrid>
      <w:tr w14:paraId="1C813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186" w:type="dxa"/>
            <w:gridSpan w:val="2"/>
          </w:tcPr>
          <w:p w14:paraId="267659F6">
            <w:pPr>
              <w:pStyle w:val="33"/>
              <w:spacing w:before="117" w:line="220" w:lineRule="auto"/>
              <w:ind w:left="615"/>
              <w:rPr>
                <w:highlight w:val="none"/>
              </w:rPr>
            </w:pPr>
            <w:r>
              <w:rPr>
                <w:b/>
                <w:bCs/>
                <w:spacing w:val="-4"/>
                <w:highlight w:val="none"/>
              </w:rPr>
              <w:t>初步评审</w:t>
            </w:r>
          </w:p>
        </w:tc>
        <w:tc>
          <w:tcPr>
            <w:tcW w:w="2039" w:type="dxa"/>
          </w:tcPr>
          <w:p w14:paraId="70F3DCA1">
            <w:pPr>
              <w:pStyle w:val="33"/>
              <w:spacing w:before="117" w:line="220" w:lineRule="auto"/>
              <w:ind w:left="542"/>
              <w:rPr>
                <w:highlight w:val="none"/>
              </w:rPr>
            </w:pPr>
            <w:r>
              <w:rPr>
                <w:b/>
                <w:bCs/>
                <w:spacing w:val="-4"/>
                <w:highlight w:val="none"/>
              </w:rPr>
              <w:t>评审因素</w:t>
            </w:r>
          </w:p>
        </w:tc>
        <w:tc>
          <w:tcPr>
            <w:tcW w:w="5244" w:type="dxa"/>
          </w:tcPr>
          <w:p w14:paraId="27F7AACB">
            <w:pPr>
              <w:pStyle w:val="33"/>
              <w:spacing w:before="117" w:line="220" w:lineRule="auto"/>
              <w:ind w:left="2144"/>
              <w:rPr>
                <w:highlight w:val="none"/>
              </w:rPr>
            </w:pPr>
            <w:r>
              <w:rPr>
                <w:b/>
                <w:bCs/>
                <w:spacing w:val="-4"/>
                <w:highlight w:val="none"/>
              </w:rPr>
              <w:t>评审标准</w:t>
            </w:r>
          </w:p>
        </w:tc>
      </w:tr>
      <w:tr w14:paraId="79164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869" w:type="dxa"/>
            <w:vMerge w:val="restart"/>
            <w:tcBorders>
              <w:bottom w:val="nil"/>
            </w:tcBorders>
          </w:tcPr>
          <w:p w14:paraId="735BC3CA">
            <w:pPr>
              <w:spacing w:line="257" w:lineRule="auto"/>
              <w:rPr>
                <w:rFonts w:hint="eastAsia" w:ascii="宋体" w:hAnsi="宋体" w:eastAsia="宋体" w:cs="宋体"/>
                <w:sz w:val="24"/>
                <w:szCs w:val="24"/>
                <w:highlight w:val="none"/>
              </w:rPr>
            </w:pPr>
          </w:p>
          <w:p w14:paraId="2277755D">
            <w:pPr>
              <w:spacing w:line="258" w:lineRule="auto"/>
              <w:rPr>
                <w:rFonts w:hint="eastAsia" w:ascii="宋体" w:hAnsi="宋体" w:eastAsia="宋体" w:cs="宋体"/>
                <w:sz w:val="24"/>
                <w:szCs w:val="24"/>
                <w:highlight w:val="none"/>
              </w:rPr>
            </w:pPr>
          </w:p>
          <w:p w14:paraId="6DD3CCD1">
            <w:pPr>
              <w:spacing w:line="258" w:lineRule="auto"/>
              <w:rPr>
                <w:rFonts w:hint="eastAsia" w:ascii="宋体" w:hAnsi="宋体" w:eastAsia="宋体" w:cs="宋体"/>
                <w:sz w:val="24"/>
                <w:szCs w:val="24"/>
                <w:highlight w:val="none"/>
              </w:rPr>
            </w:pPr>
          </w:p>
          <w:p w14:paraId="008C85B9">
            <w:pPr>
              <w:pStyle w:val="33"/>
              <w:spacing w:before="68"/>
              <w:ind w:left="180"/>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3.1.1</w:t>
            </w:r>
          </w:p>
        </w:tc>
        <w:tc>
          <w:tcPr>
            <w:tcW w:w="1317" w:type="dxa"/>
            <w:vMerge w:val="restart"/>
            <w:tcBorders>
              <w:bottom w:val="nil"/>
            </w:tcBorders>
          </w:tcPr>
          <w:p w14:paraId="2E3CC33D">
            <w:pPr>
              <w:pStyle w:val="33"/>
              <w:spacing w:before="68" w:line="414" w:lineRule="auto"/>
              <w:ind w:left="450" w:right="236" w:hanging="207"/>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形式评审</w:t>
            </w:r>
            <w:r>
              <w:rPr>
                <w:rFonts w:hint="eastAsia" w:ascii="宋体" w:hAnsi="宋体" w:eastAsia="宋体" w:cs="宋体"/>
                <w:spacing w:val="-2"/>
                <w:sz w:val="24"/>
                <w:szCs w:val="24"/>
                <w:highlight w:val="none"/>
              </w:rPr>
              <w:t>标准</w:t>
            </w:r>
          </w:p>
        </w:tc>
        <w:tc>
          <w:tcPr>
            <w:tcW w:w="2039" w:type="dxa"/>
          </w:tcPr>
          <w:p w14:paraId="4FBB0383">
            <w:pPr>
              <w:pStyle w:val="33"/>
              <w:spacing w:before="131" w:line="221" w:lineRule="auto"/>
              <w:ind w:left="501"/>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投标人名称</w:t>
            </w:r>
          </w:p>
        </w:tc>
        <w:tc>
          <w:tcPr>
            <w:tcW w:w="5244" w:type="dxa"/>
          </w:tcPr>
          <w:p w14:paraId="5EDE2EE0">
            <w:pPr>
              <w:pStyle w:val="33"/>
              <w:spacing w:before="130" w:line="221" w:lineRule="auto"/>
              <w:ind w:left="117"/>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与营业执照一致</w:t>
            </w:r>
          </w:p>
        </w:tc>
      </w:tr>
      <w:tr w14:paraId="35424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69" w:type="dxa"/>
            <w:vMerge w:val="continue"/>
            <w:tcBorders>
              <w:top w:val="nil"/>
              <w:bottom w:val="nil"/>
            </w:tcBorders>
          </w:tcPr>
          <w:p w14:paraId="16140A0B">
            <w:pPr>
              <w:rPr>
                <w:rFonts w:hint="eastAsia" w:ascii="宋体" w:hAnsi="宋体" w:eastAsia="宋体" w:cs="宋体"/>
                <w:sz w:val="24"/>
                <w:szCs w:val="24"/>
                <w:highlight w:val="none"/>
              </w:rPr>
            </w:pPr>
          </w:p>
        </w:tc>
        <w:tc>
          <w:tcPr>
            <w:tcW w:w="1317" w:type="dxa"/>
            <w:vMerge w:val="continue"/>
            <w:tcBorders>
              <w:top w:val="nil"/>
              <w:bottom w:val="nil"/>
            </w:tcBorders>
          </w:tcPr>
          <w:p w14:paraId="0CCE08CC">
            <w:pPr>
              <w:rPr>
                <w:rFonts w:hint="eastAsia" w:ascii="宋体" w:hAnsi="宋体" w:eastAsia="宋体" w:cs="宋体"/>
                <w:sz w:val="24"/>
                <w:szCs w:val="24"/>
                <w:highlight w:val="none"/>
              </w:rPr>
            </w:pPr>
          </w:p>
        </w:tc>
        <w:tc>
          <w:tcPr>
            <w:tcW w:w="2039" w:type="dxa"/>
          </w:tcPr>
          <w:p w14:paraId="27CECF26">
            <w:pPr>
              <w:pStyle w:val="33"/>
              <w:spacing w:before="128" w:line="220" w:lineRule="auto"/>
              <w:ind w:left="604"/>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签字盖章</w:t>
            </w:r>
          </w:p>
        </w:tc>
        <w:tc>
          <w:tcPr>
            <w:tcW w:w="5244" w:type="dxa"/>
          </w:tcPr>
          <w:p w14:paraId="44C5BAE9">
            <w:pPr>
              <w:pStyle w:val="33"/>
              <w:spacing w:before="128" w:line="220" w:lineRule="auto"/>
              <w:ind w:left="114"/>
              <w:rPr>
                <w:rFonts w:hint="eastAsia" w:ascii="宋体" w:hAnsi="宋体" w:eastAsia="宋体" w:cs="宋体"/>
                <w:sz w:val="24"/>
                <w:szCs w:val="24"/>
                <w:highlight w:val="none"/>
                <w:lang w:eastAsia="zh-CN"/>
              </w:rPr>
            </w:pPr>
            <w:r>
              <w:rPr>
                <w:rFonts w:hint="eastAsia" w:ascii="宋体" w:hAnsi="宋体" w:eastAsia="宋体" w:cs="宋体"/>
                <w:spacing w:val="-2"/>
                <w:sz w:val="24"/>
                <w:szCs w:val="24"/>
                <w:highlight w:val="none"/>
                <w:lang w:eastAsia="zh-CN"/>
              </w:rPr>
              <w:t>按照招标文件的规定进行签字或盖章</w:t>
            </w:r>
          </w:p>
        </w:tc>
      </w:tr>
      <w:tr w14:paraId="5EBE9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69" w:type="dxa"/>
            <w:vMerge w:val="continue"/>
            <w:tcBorders>
              <w:top w:val="nil"/>
              <w:bottom w:val="nil"/>
            </w:tcBorders>
          </w:tcPr>
          <w:p w14:paraId="1D2B92B6">
            <w:pPr>
              <w:rPr>
                <w:rFonts w:hint="eastAsia" w:ascii="宋体" w:hAnsi="宋体" w:eastAsia="宋体" w:cs="宋体"/>
                <w:sz w:val="24"/>
                <w:szCs w:val="24"/>
                <w:highlight w:val="none"/>
                <w:lang w:eastAsia="zh-CN"/>
              </w:rPr>
            </w:pPr>
          </w:p>
        </w:tc>
        <w:tc>
          <w:tcPr>
            <w:tcW w:w="1317" w:type="dxa"/>
            <w:vMerge w:val="continue"/>
            <w:tcBorders>
              <w:top w:val="nil"/>
              <w:bottom w:val="nil"/>
            </w:tcBorders>
          </w:tcPr>
          <w:p w14:paraId="40D88BE4">
            <w:pPr>
              <w:rPr>
                <w:rFonts w:hint="eastAsia" w:ascii="宋体" w:hAnsi="宋体" w:eastAsia="宋体" w:cs="宋体"/>
                <w:sz w:val="24"/>
                <w:szCs w:val="24"/>
                <w:highlight w:val="none"/>
                <w:lang w:eastAsia="zh-CN"/>
              </w:rPr>
            </w:pPr>
          </w:p>
        </w:tc>
        <w:tc>
          <w:tcPr>
            <w:tcW w:w="2039" w:type="dxa"/>
          </w:tcPr>
          <w:p w14:paraId="35F73224">
            <w:pPr>
              <w:pStyle w:val="33"/>
              <w:spacing w:before="128" w:line="221" w:lineRule="auto"/>
              <w:ind w:left="395"/>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投标文件格式</w:t>
            </w:r>
          </w:p>
        </w:tc>
        <w:tc>
          <w:tcPr>
            <w:tcW w:w="5244" w:type="dxa"/>
          </w:tcPr>
          <w:p w14:paraId="006CC8FE">
            <w:pPr>
              <w:pStyle w:val="33"/>
              <w:spacing w:before="128" w:line="220" w:lineRule="auto"/>
              <w:ind w:left="115"/>
              <w:rPr>
                <w:rFonts w:hint="eastAsia" w:ascii="宋体" w:hAnsi="宋体" w:eastAsia="宋体" w:cs="宋体"/>
                <w:sz w:val="24"/>
                <w:szCs w:val="24"/>
                <w:highlight w:val="none"/>
                <w:lang w:eastAsia="zh-CN"/>
              </w:rPr>
            </w:pPr>
            <w:r>
              <w:rPr>
                <w:rFonts w:hint="eastAsia" w:ascii="宋体" w:hAnsi="宋体" w:eastAsia="宋体" w:cs="宋体"/>
                <w:spacing w:val="-1"/>
                <w:sz w:val="24"/>
                <w:szCs w:val="24"/>
                <w:highlight w:val="none"/>
                <w:lang w:eastAsia="zh-CN"/>
              </w:rPr>
              <w:t>符合第六章“投标文件格式”的要求</w:t>
            </w:r>
          </w:p>
        </w:tc>
      </w:tr>
      <w:tr w14:paraId="41757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69" w:type="dxa"/>
            <w:vMerge w:val="continue"/>
            <w:tcBorders>
              <w:top w:val="nil"/>
            </w:tcBorders>
          </w:tcPr>
          <w:p w14:paraId="07CBA5B6">
            <w:pPr>
              <w:rPr>
                <w:rFonts w:hint="eastAsia" w:ascii="宋体" w:hAnsi="宋体" w:eastAsia="宋体" w:cs="宋体"/>
                <w:sz w:val="24"/>
                <w:szCs w:val="24"/>
                <w:highlight w:val="none"/>
                <w:lang w:eastAsia="zh-CN"/>
              </w:rPr>
            </w:pPr>
          </w:p>
        </w:tc>
        <w:tc>
          <w:tcPr>
            <w:tcW w:w="1317" w:type="dxa"/>
            <w:vMerge w:val="continue"/>
            <w:tcBorders>
              <w:top w:val="nil"/>
            </w:tcBorders>
          </w:tcPr>
          <w:p w14:paraId="20356060">
            <w:pPr>
              <w:rPr>
                <w:rFonts w:hint="eastAsia" w:ascii="宋体" w:hAnsi="宋体" w:eastAsia="宋体" w:cs="宋体"/>
                <w:sz w:val="24"/>
                <w:szCs w:val="24"/>
                <w:highlight w:val="none"/>
                <w:lang w:eastAsia="zh-CN"/>
              </w:rPr>
            </w:pPr>
          </w:p>
        </w:tc>
        <w:tc>
          <w:tcPr>
            <w:tcW w:w="2039" w:type="dxa"/>
          </w:tcPr>
          <w:p w14:paraId="013F69C8">
            <w:pPr>
              <w:pStyle w:val="33"/>
              <w:spacing w:before="129" w:line="219" w:lineRule="auto"/>
              <w:ind w:left="602"/>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报价唯一</w:t>
            </w:r>
          </w:p>
        </w:tc>
        <w:tc>
          <w:tcPr>
            <w:tcW w:w="5244" w:type="dxa"/>
          </w:tcPr>
          <w:p w14:paraId="4D52EB83">
            <w:pPr>
              <w:pStyle w:val="33"/>
              <w:spacing w:before="129" w:line="219" w:lineRule="auto"/>
              <w:ind w:left="126"/>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只能有一个有效报价</w:t>
            </w:r>
          </w:p>
        </w:tc>
      </w:tr>
      <w:tr w14:paraId="274E6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1" w:hRule="atLeast"/>
        </w:trPr>
        <w:tc>
          <w:tcPr>
            <w:tcW w:w="869" w:type="dxa"/>
            <w:vMerge w:val="restart"/>
            <w:tcBorders>
              <w:top w:val="nil"/>
            </w:tcBorders>
          </w:tcPr>
          <w:p w14:paraId="362302C0">
            <w:pPr>
              <w:spacing w:line="242" w:lineRule="auto"/>
              <w:rPr>
                <w:rFonts w:hint="eastAsia" w:ascii="宋体" w:hAnsi="宋体" w:eastAsia="宋体" w:cs="宋体"/>
                <w:sz w:val="24"/>
                <w:szCs w:val="24"/>
                <w:highlight w:val="none"/>
              </w:rPr>
            </w:pPr>
          </w:p>
          <w:p w14:paraId="011948BC">
            <w:pPr>
              <w:spacing w:line="243" w:lineRule="auto"/>
              <w:rPr>
                <w:rFonts w:hint="eastAsia" w:ascii="宋体" w:hAnsi="宋体" w:eastAsia="宋体" w:cs="宋体"/>
                <w:sz w:val="24"/>
                <w:szCs w:val="24"/>
                <w:highlight w:val="none"/>
              </w:rPr>
            </w:pPr>
          </w:p>
          <w:p w14:paraId="665EBABE">
            <w:pPr>
              <w:spacing w:line="243" w:lineRule="auto"/>
              <w:rPr>
                <w:rFonts w:hint="eastAsia" w:ascii="宋体" w:hAnsi="宋体" w:eastAsia="宋体" w:cs="宋体"/>
                <w:sz w:val="24"/>
                <w:szCs w:val="24"/>
                <w:highlight w:val="none"/>
              </w:rPr>
            </w:pPr>
          </w:p>
          <w:p w14:paraId="72AEE380">
            <w:pPr>
              <w:spacing w:line="243" w:lineRule="auto"/>
              <w:rPr>
                <w:rFonts w:hint="eastAsia" w:ascii="宋体" w:hAnsi="宋体" w:eastAsia="宋体" w:cs="宋体"/>
                <w:sz w:val="24"/>
                <w:szCs w:val="24"/>
                <w:highlight w:val="none"/>
              </w:rPr>
            </w:pPr>
          </w:p>
          <w:p w14:paraId="4A0F8F5E">
            <w:pPr>
              <w:spacing w:line="243" w:lineRule="auto"/>
              <w:rPr>
                <w:rFonts w:hint="eastAsia" w:ascii="宋体" w:hAnsi="宋体" w:eastAsia="宋体" w:cs="宋体"/>
                <w:sz w:val="24"/>
                <w:szCs w:val="24"/>
                <w:highlight w:val="none"/>
              </w:rPr>
            </w:pPr>
          </w:p>
          <w:p w14:paraId="027615B9">
            <w:pPr>
              <w:spacing w:line="243" w:lineRule="auto"/>
              <w:rPr>
                <w:rFonts w:hint="eastAsia" w:ascii="宋体" w:hAnsi="宋体" w:eastAsia="宋体" w:cs="宋体"/>
                <w:sz w:val="24"/>
                <w:szCs w:val="24"/>
                <w:highlight w:val="none"/>
              </w:rPr>
            </w:pPr>
          </w:p>
          <w:p w14:paraId="39B99D46">
            <w:pPr>
              <w:spacing w:line="243" w:lineRule="auto"/>
              <w:rPr>
                <w:rFonts w:hint="eastAsia" w:ascii="宋体" w:hAnsi="宋体" w:eastAsia="宋体" w:cs="宋体"/>
                <w:sz w:val="24"/>
                <w:szCs w:val="24"/>
                <w:highlight w:val="none"/>
              </w:rPr>
            </w:pPr>
          </w:p>
          <w:p w14:paraId="7196F260">
            <w:pPr>
              <w:spacing w:line="243" w:lineRule="auto"/>
              <w:rPr>
                <w:rFonts w:hint="eastAsia" w:ascii="宋体" w:hAnsi="宋体" w:eastAsia="宋体" w:cs="宋体"/>
                <w:sz w:val="24"/>
                <w:szCs w:val="24"/>
                <w:highlight w:val="none"/>
              </w:rPr>
            </w:pPr>
          </w:p>
          <w:p w14:paraId="7E1DDBFC">
            <w:pPr>
              <w:spacing w:line="243" w:lineRule="auto"/>
              <w:rPr>
                <w:rFonts w:hint="eastAsia" w:ascii="宋体" w:hAnsi="宋体" w:eastAsia="宋体" w:cs="宋体"/>
                <w:sz w:val="24"/>
                <w:szCs w:val="24"/>
                <w:highlight w:val="none"/>
              </w:rPr>
            </w:pPr>
          </w:p>
          <w:p w14:paraId="36116CFB">
            <w:pPr>
              <w:spacing w:line="243" w:lineRule="auto"/>
              <w:rPr>
                <w:rFonts w:hint="eastAsia" w:ascii="宋体" w:hAnsi="宋体" w:eastAsia="宋体" w:cs="宋体"/>
                <w:sz w:val="24"/>
                <w:szCs w:val="24"/>
                <w:highlight w:val="none"/>
              </w:rPr>
            </w:pPr>
          </w:p>
          <w:p w14:paraId="38F7D951">
            <w:pPr>
              <w:spacing w:line="243" w:lineRule="auto"/>
              <w:rPr>
                <w:rFonts w:hint="eastAsia" w:ascii="宋体" w:hAnsi="宋体" w:eastAsia="宋体" w:cs="宋体"/>
                <w:sz w:val="24"/>
                <w:szCs w:val="24"/>
                <w:highlight w:val="none"/>
              </w:rPr>
            </w:pPr>
          </w:p>
          <w:p w14:paraId="4CFE2F43">
            <w:pPr>
              <w:spacing w:line="243" w:lineRule="auto"/>
              <w:rPr>
                <w:rFonts w:hint="eastAsia" w:ascii="宋体" w:hAnsi="宋体" w:eastAsia="宋体" w:cs="宋体"/>
                <w:sz w:val="24"/>
                <w:szCs w:val="24"/>
                <w:highlight w:val="none"/>
              </w:rPr>
            </w:pPr>
          </w:p>
          <w:p w14:paraId="3626297B">
            <w:pPr>
              <w:spacing w:line="243" w:lineRule="auto"/>
              <w:rPr>
                <w:rFonts w:hint="eastAsia" w:ascii="宋体" w:hAnsi="宋体" w:eastAsia="宋体" w:cs="宋体"/>
                <w:sz w:val="24"/>
                <w:szCs w:val="24"/>
                <w:highlight w:val="none"/>
              </w:rPr>
            </w:pPr>
          </w:p>
          <w:p w14:paraId="1D872B92">
            <w:pPr>
              <w:spacing w:line="243" w:lineRule="auto"/>
              <w:rPr>
                <w:rFonts w:hint="eastAsia" w:ascii="宋体" w:hAnsi="宋体" w:eastAsia="宋体" w:cs="宋体"/>
                <w:sz w:val="24"/>
                <w:szCs w:val="24"/>
                <w:highlight w:val="none"/>
              </w:rPr>
            </w:pPr>
          </w:p>
          <w:p w14:paraId="1829C63B">
            <w:pPr>
              <w:spacing w:line="243" w:lineRule="auto"/>
              <w:rPr>
                <w:rFonts w:hint="eastAsia" w:ascii="宋体" w:hAnsi="宋体" w:eastAsia="宋体" w:cs="宋体"/>
                <w:sz w:val="24"/>
                <w:szCs w:val="24"/>
                <w:highlight w:val="none"/>
              </w:rPr>
            </w:pPr>
          </w:p>
          <w:p w14:paraId="389E1CE0">
            <w:pPr>
              <w:spacing w:line="243" w:lineRule="auto"/>
              <w:rPr>
                <w:rFonts w:hint="eastAsia" w:ascii="宋体" w:hAnsi="宋体" w:eastAsia="宋体" w:cs="宋体"/>
                <w:sz w:val="24"/>
                <w:szCs w:val="24"/>
                <w:highlight w:val="none"/>
              </w:rPr>
            </w:pPr>
          </w:p>
          <w:p w14:paraId="7C80E0D0">
            <w:pPr>
              <w:spacing w:line="243" w:lineRule="auto"/>
              <w:rPr>
                <w:rFonts w:hint="eastAsia" w:ascii="宋体" w:hAnsi="宋体" w:eastAsia="宋体" w:cs="宋体"/>
                <w:sz w:val="24"/>
                <w:szCs w:val="24"/>
                <w:highlight w:val="none"/>
              </w:rPr>
            </w:pPr>
          </w:p>
          <w:p w14:paraId="7775DC64">
            <w:pPr>
              <w:spacing w:line="243" w:lineRule="auto"/>
              <w:rPr>
                <w:rFonts w:hint="eastAsia" w:ascii="宋体" w:hAnsi="宋体" w:eastAsia="宋体" w:cs="宋体"/>
                <w:sz w:val="24"/>
                <w:szCs w:val="24"/>
                <w:highlight w:val="none"/>
              </w:rPr>
            </w:pPr>
          </w:p>
          <w:p w14:paraId="253B39E4">
            <w:pPr>
              <w:spacing w:line="243" w:lineRule="auto"/>
              <w:rPr>
                <w:rFonts w:hint="eastAsia" w:ascii="宋体" w:hAnsi="宋体" w:eastAsia="宋体" w:cs="宋体"/>
                <w:sz w:val="24"/>
                <w:szCs w:val="24"/>
                <w:highlight w:val="none"/>
              </w:rPr>
            </w:pPr>
          </w:p>
          <w:p w14:paraId="27D215F7">
            <w:pPr>
              <w:spacing w:line="243" w:lineRule="auto"/>
              <w:rPr>
                <w:rFonts w:hint="eastAsia" w:ascii="宋体" w:hAnsi="宋体" w:eastAsia="宋体" w:cs="宋体"/>
                <w:sz w:val="24"/>
                <w:szCs w:val="24"/>
                <w:highlight w:val="none"/>
              </w:rPr>
            </w:pPr>
          </w:p>
          <w:p w14:paraId="550F976D">
            <w:pPr>
              <w:pStyle w:val="33"/>
              <w:spacing w:before="68"/>
              <w:ind w:left="180"/>
              <w:rPr>
                <w:rFonts w:hint="eastAsia" w:ascii="宋体" w:hAnsi="宋体" w:eastAsia="宋体" w:cs="宋体"/>
                <w:sz w:val="24"/>
                <w:szCs w:val="24"/>
                <w:highlight w:val="none"/>
                <w:lang w:eastAsia="zh-CN"/>
              </w:rPr>
            </w:pPr>
            <w:r>
              <w:rPr>
                <w:rFonts w:hint="eastAsia" w:ascii="宋体" w:hAnsi="宋体" w:eastAsia="宋体" w:cs="宋体"/>
                <w:spacing w:val="-2"/>
                <w:sz w:val="24"/>
                <w:szCs w:val="24"/>
                <w:highlight w:val="none"/>
              </w:rPr>
              <w:t>3.1.2</w:t>
            </w:r>
          </w:p>
        </w:tc>
        <w:tc>
          <w:tcPr>
            <w:tcW w:w="1317" w:type="dxa"/>
            <w:vMerge w:val="restart"/>
            <w:tcBorders>
              <w:top w:val="nil"/>
            </w:tcBorders>
          </w:tcPr>
          <w:p w14:paraId="2E71CAD9">
            <w:pPr>
              <w:spacing w:line="246" w:lineRule="auto"/>
              <w:rPr>
                <w:rFonts w:hint="eastAsia" w:ascii="宋体" w:hAnsi="宋体" w:eastAsia="宋体" w:cs="宋体"/>
                <w:sz w:val="24"/>
                <w:szCs w:val="24"/>
                <w:highlight w:val="none"/>
                <w:lang w:eastAsia="zh-CN"/>
              </w:rPr>
            </w:pPr>
          </w:p>
          <w:p w14:paraId="6E32F2C3">
            <w:pPr>
              <w:spacing w:line="246" w:lineRule="auto"/>
              <w:rPr>
                <w:rFonts w:hint="eastAsia" w:ascii="宋体" w:hAnsi="宋体" w:eastAsia="宋体" w:cs="宋体"/>
                <w:sz w:val="24"/>
                <w:szCs w:val="24"/>
                <w:highlight w:val="none"/>
                <w:lang w:eastAsia="zh-CN"/>
              </w:rPr>
            </w:pPr>
          </w:p>
          <w:p w14:paraId="2389155E">
            <w:pPr>
              <w:spacing w:line="246" w:lineRule="auto"/>
              <w:rPr>
                <w:rFonts w:hint="eastAsia" w:ascii="宋体" w:hAnsi="宋体" w:eastAsia="宋体" w:cs="宋体"/>
                <w:sz w:val="24"/>
                <w:szCs w:val="24"/>
                <w:highlight w:val="none"/>
                <w:lang w:eastAsia="zh-CN"/>
              </w:rPr>
            </w:pPr>
          </w:p>
          <w:p w14:paraId="33615482">
            <w:pPr>
              <w:spacing w:line="246" w:lineRule="auto"/>
              <w:rPr>
                <w:rFonts w:hint="eastAsia" w:ascii="宋体" w:hAnsi="宋体" w:eastAsia="宋体" w:cs="宋体"/>
                <w:sz w:val="24"/>
                <w:szCs w:val="24"/>
                <w:highlight w:val="none"/>
                <w:lang w:eastAsia="zh-CN"/>
              </w:rPr>
            </w:pPr>
          </w:p>
          <w:p w14:paraId="12911C74">
            <w:pPr>
              <w:spacing w:line="246" w:lineRule="auto"/>
              <w:rPr>
                <w:rFonts w:hint="eastAsia" w:ascii="宋体" w:hAnsi="宋体" w:eastAsia="宋体" w:cs="宋体"/>
                <w:sz w:val="24"/>
                <w:szCs w:val="24"/>
                <w:highlight w:val="none"/>
                <w:lang w:eastAsia="zh-CN"/>
              </w:rPr>
            </w:pPr>
          </w:p>
          <w:p w14:paraId="7F111C22">
            <w:pPr>
              <w:spacing w:line="246" w:lineRule="auto"/>
              <w:rPr>
                <w:rFonts w:hint="eastAsia" w:ascii="宋体" w:hAnsi="宋体" w:eastAsia="宋体" w:cs="宋体"/>
                <w:sz w:val="24"/>
                <w:szCs w:val="24"/>
                <w:highlight w:val="none"/>
                <w:lang w:eastAsia="zh-CN"/>
              </w:rPr>
            </w:pPr>
          </w:p>
          <w:p w14:paraId="73EC335E">
            <w:pPr>
              <w:spacing w:line="246" w:lineRule="auto"/>
              <w:rPr>
                <w:rFonts w:hint="eastAsia" w:ascii="宋体" w:hAnsi="宋体" w:eastAsia="宋体" w:cs="宋体"/>
                <w:sz w:val="24"/>
                <w:szCs w:val="24"/>
                <w:highlight w:val="none"/>
                <w:lang w:eastAsia="zh-CN"/>
              </w:rPr>
            </w:pPr>
          </w:p>
          <w:p w14:paraId="6CA887B6">
            <w:pPr>
              <w:spacing w:line="246" w:lineRule="auto"/>
              <w:rPr>
                <w:rFonts w:hint="eastAsia" w:ascii="宋体" w:hAnsi="宋体" w:eastAsia="宋体" w:cs="宋体"/>
                <w:sz w:val="24"/>
                <w:szCs w:val="24"/>
                <w:highlight w:val="none"/>
                <w:lang w:eastAsia="zh-CN"/>
              </w:rPr>
            </w:pPr>
          </w:p>
          <w:p w14:paraId="72FC1C1B">
            <w:pPr>
              <w:spacing w:line="246" w:lineRule="auto"/>
              <w:rPr>
                <w:rFonts w:hint="eastAsia" w:ascii="宋体" w:hAnsi="宋体" w:eastAsia="宋体" w:cs="宋体"/>
                <w:sz w:val="24"/>
                <w:szCs w:val="24"/>
                <w:highlight w:val="none"/>
                <w:lang w:eastAsia="zh-CN"/>
              </w:rPr>
            </w:pPr>
          </w:p>
          <w:p w14:paraId="0D2B81AF">
            <w:pPr>
              <w:spacing w:line="247" w:lineRule="auto"/>
              <w:rPr>
                <w:rFonts w:hint="eastAsia" w:ascii="宋体" w:hAnsi="宋体" w:eastAsia="宋体" w:cs="宋体"/>
                <w:sz w:val="24"/>
                <w:szCs w:val="24"/>
                <w:highlight w:val="none"/>
                <w:lang w:eastAsia="zh-CN"/>
              </w:rPr>
            </w:pPr>
          </w:p>
          <w:p w14:paraId="44D0B29D">
            <w:pPr>
              <w:spacing w:line="247" w:lineRule="auto"/>
              <w:rPr>
                <w:rFonts w:hint="eastAsia" w:ascii="宋体" w:hAnsi="宋体" w:eastAsia="宋体" w:cs="宋体"/>
                <w:sz w:val="24"/>
                <w:szCs w:val="24"/>
                <w:highlight w:val="none"/>
                <w:lang w:eastAsia="zh-CN"/>
              </w:rPr>
            </w:pPr>
          </w:p>
          <w:p w14:paraId="020E071C">
            <w:pPr>
              <w:spacing w:line="247" w:lineRule="auto"/>
              <w:rPr>
                <w:rFonts w:hint="eastAsia" w:ascii="宋体" w:hAnsi="宋体" w:eastAsia="宋体" w:cs="宋体"/>
                <w:sz w:val="24"/>
                <w:szCs w:val="24"/>
                <w:highlight w:val="none"/>
                <w:lang w:eastAsia="zh-CN"/>
              </w:rPr>
            </w:pPr>
          </w:p>
          <w:p w14:paraId="1EAD5DBC">
            <w:pPr>
              <w:spacing w:line="247" w:lineRule="auto"/>
              <w:rPr>
                <w:rFonts w:hint="eastAsia" w:ascii="宋体" w:hAnsi="宋体" w:eastAsia="宋体" w:cs="宋体"/>
                <w:sz w:val="24"/>
                <w:szCs w:val="24"/>
                <w:highlight w:val="none"/>
                <w:lang w:eastAsia="zh-CN"/>
              </w:rPr>
            </w:pPr>
          </w:p>
          <w:p w14:paraId="41659AA6">
            <w:pPr>
              <w:spacing w:line="247" w:lineRule="auto"/>
              <w:rPr>
                <w:rFonts w:hint="eastAsia" w:ascii="宋体" w:hAnsi="宋体" w:eastAsia="宋体" w:cs="宋体"/>
                <w:sz w:val="24"/>
                <w:szCs w:val="24"/>
                <w:highlight w:val="none"/>
                <w:lang w:eastAsia="zh-CN"/>
              </w:rPr>
            </w:pPr>
          </w:p>
          <w:p w14:paraId="66815F05">
            <w:pPr>
              <w:spacing w:line="247" w:lineRule="auto"/>
              <w:rPr>
                <w:rFonts w:hint="eastAsia" w:ascii="宋体" w:hAnsi="宋体" w:eastAsia="宋体" w:cs="宋体"/>
                <w:sz w:val="24"/>
                <w:szCs w:val="24"/>
                <w:highlight w:val="none"/>
                <w:lang w:eastAsia="zh-CN"/>
              </w:rPr>
            </w:pPr>
          </w:p>
          <w:p w14:paraId="1B7F18C1">
            <w:pPr>
              <w:pStyle w:val="33"/>
              <w:spacing w:before="69" w:line="221" w:lineRule="auto"/>
              <w:ind w:left="144"/>
              <w:rPr>
                <w:rFonts w:hint="eastAsia" w:ascii="宋体" w:hAnsi="宋体" w:eastAsia="宋体" w:cs="宋体"/>
                <w:sz w:val="24"/>
                <w:szCs w:val="24"/>
                <w:highlight w:val="none"/>
                <w:lang w:eastAsia="zh-CN"/>
              </w:rPr>
            </w:pPr>
            <w:r>
              <w:rPr>
                <w:rFonts w:hint="eastAsia" w:ascii="宋体" w:hAnsi="宋体" w:eastAsia="宋体" w:cs="宋体"/>
                <w:spacing w:val="-3"/>
                <w:sz w:val="24"/>
                <w:szCs w:val="24"/>
                <w:highlight w:val="none"/>
                <w:lang w:eastAsia="zh-CN"/>
              </w:rPr>
              <w:t>资格评审标</w:t>
            </w:r>
            <w:r>
              <w:rPr>
                <w:rFonts w:hint="eastAsia" w:ascii="宋体" w:hAnsi="宋体" w:eastAsia="宋体" w:cs="宋体"/>
                <w:spacing w:val="-2"/>
                <w:sz w:val="24"/>
                <w:szCs w:val="24"/>
                <w:highlight w:val="none"/>
                <w:lang w:eastAsia="zh-CN"/>
              </w:rPr>
              <w:t>准（由采购人或采购代理机构对投标单位进行</w:t>
            </w:r>
            <w:r>
              <w:rPr>
                <w:rFonts w:hint="eastAsia" w:ascii="宋体" w:hAnsi="宋体" w:eastAsia="宋体" w:cs="宋体"/>
                <w:spacing w:val="-5"/>
                <w:sz w:val="24"/>
                <w:szCs w:val="24"/>
                <w:highlight w:val="none"/>
                <w:lang w:eastAsia="zh-CN"/>
              </w:rPr>
              <w:t>资格审查）</w:t>
            </w:r>
          </w:p>
        </w:tc>
        <w:tc>
          <w:tcPr>
            <w:tcW w:w="2039" w:type="dxa"/>
          </w:tcPr>
          <w:p w14:paraId="0E153959">
            <w:pPr>
              <w:pStyle w:val="33"/>
              <w:spacing w:before="130"/>
              <w:ind w:left="217"/>
              <w:rPr>
                <w:rFonts w:hint="eastAsia" w:ascii="宋体" w:hAnsi="宋体" w:eastAsia="宋体" w:cs="宋体"/>
                <w:spacing w:val="1"/>
                <w:sz w:val="24"/>
                <w:szCs w:val="24"/>
                <w:highlight w:val="none"/>
                <w:lang w:eastAsia="zh-CN"/>
              </w:rPr>
            </w:pPr>
            <w:r>
              <w:rPr>
                <w:rFonts w:hint="eastAsia" w:ascii="宋体" w:hAnsi="宋体" w:eastAsia="宋体" w:cs="宋体"/>
                <w:spacing w:val="-5"/>
                <w:sz w:val="24"/>
                <w:szCs w:val="24"/>
                <w:highlight w:val="none"/>
                <w:lang w:eastAsia="zh-CN"/>
              </w:rPr>
              <w:t>满足《中华人民共和国政府采购法》第二十二条规定</w:t>
            </w:r>
          </w:p>
        </w:tc>
        <w:tc>
          <w:tcPr>
            <w:tcW w:w="5244" w:type="dxa"/>
            <w:vAlign w:val="center"/>
          </w:tcPr>
          <w:p w14:paraId="228D2CB7">
            <w:pPr>
              <w:pStyle w:val="33"/>
              <w:spacing w:before="129" w:line="219" w:lineRule="auto"/>
              <w:ind w:left="126"/>
              <w:jc w:val="both"/>
              <w:rPr>
                <w:rFonts w:hint="eastAsia"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满足《中华人民共和国政府采购法》第二十二条规定(提供相关证明资料或承诺书)</w:t>
            </w:r>
          </w:p>
        </w:tc>
      </w:tr>
      <w:tr w14:paraId="0C1CD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869" w:type="dxa"/>
            <w:vMerge w:val="continue"/>
          </w:tcPr>
          <w:p w14:paraId="20BBEBB1">
            <w:pPr>
              <w:pStyle w:val="33"/>
              <w:spacing w:before="68"/>
              <w:ind w:left="180"/>
              <w:rPr>
                <w:rFonts w:hint="eastAsia" w:ascii="宋体" w:hAnsi="宋体" w:eastAsia="宋体" w:cs="宋体"/>
                <w:sz w:val="24"/>
                <w:szCs w:val="24"/>
                <w:highlight w:val="none"/>
                <w:lang w:eastAsia="zh-CN"/>
              </w:rPr>
            </w:pPr>
          </w:p>
        </w:tc>
        <w:tc>
          <w:tcPr>
            <w:tcW w:w="1317" w:type="dxa"/>
            <w:vMerge w:val="continue"/>
          </w:tcPr>
          <w:p w14:paraId="371B8FF3">
            <w:pPr>
              <w:pStyle w:val="33"/>
              <w:spacing w:before="215" w:line="221" w:lineRule="auto"/>
              <w:ind w:left="144"/>
              <w:rPr>
                <w:rFonts w:hint="eastAsia" w:ascii="宋体" w:hAnsi="宋体" w:eastAsia="宋体" w:cs="宋体"/>
                <w:sz w:val="24"/>
                <w:szCs w:val="24"/>
                <w:highlight w:val="none"/>
                <w:lang w:eastAsia="zh-CN"/>
              </w:rPr>
            </w:pPr>
          </w:p>
        </w:tc>
        <w:tc>
          <w:tcPr>
            <w:tcW w:w="2039" w:type="dxa"/>
            <w:vAlign w:val="center"/>
          </w:tcPr>
          <w:p w14:paraId="17E36D46">
            <w:pPr>
              <w:pStyle w:val="33"/>
              <w:spacing w:before="78" w:line="220" w:lineRule="auto"/>
              <w:jc w:val="center"/>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营业执照</w:t>
            </w:r>
          </w:p>
        </w:tc>
        <w:tc>
          <w:tcPr>
            <w:tcW w:w="5244" w:type="dxa"/>
            <w:vAlign w:val="center"/>
          </w:tcPr>
          <w:p w14:paraId="7EB900DB">
            <w:pPr>
              <w:pStyle w:val="33"/>
              <w:spacing w:before="114" w:line="314" w:lineRule="auto"/>
              <w:ind w:left="116" w:right="333" w:hanging="3"/>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供应商具有有效的营业执照</w:t>
            </w:r>
          </w:p>
        </w:tc>
      </w:tr>
      <w:tr w14:paraId="3C091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69" w:type="dxa"/>
            <w:vMerge w:val="continue"/>
          </w:tcPr>
          <w:p w14:paraId="597A6D6D">
            <w:pPr>
              <w:rPr>
                <w:rFonts w:hint="eastAsia" w:ascii="宋体" w:hAnsi="宋体" w:eastAsia="宋体" w:cs="宋体"/>
                <w:sz w:val="24"/>
                <w:szCs w:val="24"/>
                <w:highlight w:val="none"/>
                <w:lang w:eastAsia="zh-CN"/>
              </w:rPr>
            </w:pPr>
          </w:p>
        </w:tc>
        <w:tc>
          <w:tcPr>
            <w:tcW w:w="1317" w:type="dxa"/>
            <w:vMerge w:val="continue"/>
          </w:tcPr>
          <w:p w14:paraId="1D3EF3EA">
            <w:pPr>
              <w:rPr>
                <w:rFonts w:hint="eastAsia" w:ascii="宋体" w:hAnsi="宋体" w:eastAsia="宋体" w:cs="宋体"/>
                <w:sz w:val="24"/>
                <w:szCs w:val="24"/>
                <w:highlight w:val="none"/>
                <w:lang w:eastAsia="zh-CN"/>
              </w:rPr>
            </w:pPr>
          </w:p>
        </w:tc>
        <w:tc>
          <w:tcPr>
            <w:tcW w:w="2039" w:type="dxa"/>
            <w:vAlign w:val="center"/>
          </w:tcPr>
          <w:p w14:paraId="4C1D455D">
            <w:pPr>
              <w:pStyle w:val="33"/>
              <w:spacing w:before="68" w:line="221" w:lineRule="auto"/>
              <w:ind w:left="396"/>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履行合同能力</w:t>
            </w:r>
          </w:p>
        </w:tc>
        <w:tc>
          <w:tcPr>
            <w:tcW w:w="5244" w:type="dxa"/>
          </w:tcPr>
          <w:p w14:paraId="19FE8CF3">
            <w:pPr>
              <w:pStyle w:val="33"/>
              <w:spacing w:before="131" w:line="351" w:lineRule="auto"/>
              <w:ind w:left="121" w:right="102" w:hanging="8"/>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供应商须具有履行合同所必须的设备和专业技术服务能力；(提供承诺书）</w:t>
            </w:r>
          </w:p>
        </w:tc>
      </w:tr>
      <w:tr w14:paraId="16233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869" w:type="dxa"/>
            <w:vMerge w:val="continue"/>
          </w:tcPr>
          <w:p w14:paraId="62D9489E">
            <w:pPr>
              <w:rPr>
                <w:rFonts w:hint="eastAsia" w:ascii="宋体" w:hAnsi="宋体" w:eastAsia="宋体" w:cs="宋体"/>
                <w:sz w:val="24"/>
                <w:szCs w:val="24"/>
                <w:highlight w:val="none"/>
                <w:lang w:eastAsia="zh-CN"/>
              </w:rPr>
            </w:pPr>
          </w:p>
        </w:tc>
        <w:tc>
          <w:tcPr>
            <w:tcW w:w="1317" w:type="dxa"/>
            <w:vMerge w:val="continue"/>
          </w:tcPr>
          <w:p w14:paraId="704F8844">
            <w:pPr>
              <w:rPr>
                <w:rFonts w:hint="eastAsia" w:ascii="宋体" w:hAnsi="宋体" w:eastAsia="宋体" w:cs="宋体"/>
                <w:sz w:val="24"/>
                <w:szCs w:val="24"/>
                <w:highlight w:val="none"/>
                <w:lang w:eastAsia="zh-CN"/>
              </w:rPr>
            </w:pPr>
          </w:p>
        </w:tc>
        <w:tc>
          <w:tcPr>
            <w:tcW w:w="2039" w:type="dxa"/>
            <w:vAlign w:val="center"/>
          </w:tcPr>
          <w:p w14:paraId="4CDDEBED">
            <w:pPr>
              <w:pStyle w:val="33"/>
              <w:spacing w:before="248" w:line="221" w:lineRule="auto"/>
              <w:ind w:left="502"/>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项目负责人</w:t>
            </w:r>
          </w:p>
        </w:tc>
        <w:tc>
          <w:tcPr>
            <w:tcW w:w="5244" w:type="dxa"/>
            <w:vAlign w:val="center"/>
          </w:tcPr>
          <w:p w14:paraId="22190004">
            <w:pPr>
              <w:pStyle w:val="33"/>
              <w:spacing w:before="248" w:line="360" w:lineRule="auto"/>
              <w:ind w:left="113"/>
              <w:rPr>
                <w:rFonts w:hint="eastAsia" w:ascii="宋体" w:hAnsi="宋体" w:eastAsia="宋体" w:cs="宋体"/>
                <w:sz w:val="24"/>
                <w:szCs w:val="24"/>
                <w:highlight w:val="none"/>
                <w:lang w:eastAsia="zh-CN"/>
              </w:rPr>
            </w:pPr>
            <w:r>
              <w:rPr>
                <w:rFonts w:hint="eastAsia" w:ascii="宋体" w:hAnsi="宋体" w:eastAsia="宋体" w:cs="宋体"/>
                <w:spacing w:val="-1"/>
                <w:sz w:val="24"/>
                <w:szCs w:val="24"/>
                <w:highlight w:val="none"/>
                <w:lang w:eastAsia="zh-CN"/>
              </w:rPr>
              <w:t>拟派项目负责人为本单位</w:t>
            </w:r>
            <w:r>
              <w:rPr>
                <w:rFonts w:hint="eastAsia" w:ascii="宋体" w:hAnsi="宋体" w:eastAsia="宋体" w:cs="宋体"/>
                <w:spacing w:val="-1"/>
                <w:sz w:val="24"/>
                <w:szCs w:val="24"/>
                <w:highlight w:val="none"/>
                <w:lang w:val="en-US" w:eastAsia="zh-CN"/>
              </w:rPr>
              <w:t>人员</w:t>
            </w:r>
            <w:r>
              <w:rPr>
                <w:rFonts w:hint="eastAsia" w:ascii="宋体" w:hAnsi="宋体" w:eastAsia="宋体" w:cs="宋体"/>
                <w:spacing w:val="-1"/>
                <w:sz w:val="24"/>
                <w:szCs w:val="24"/>
                <w:highlight w:val="none"/>
                <w:lang w:eastAsia="zh-CN"/>
              </w:rPr>
              <w:t>（提供与本单位签订的劳动</w:t>
            </w:r>
            <w:r>
              <w:rPr>
                <w:rFonts w:hint="eastAsia" w:ascii="宋体" w:hAnsi="宋体" w:eastAsia="宋体" w:cs="宋体"/>
                <w:color w:val="auto"/>
                <w:spacing w:val="-1"/>
                <w:sz w:val="24"/>
                <w:szCs w:val="24"/>
                <w:highlight w:val="none"/>
                <w:lang w:eastAsia="zh-CN"/>
              </w:rPr>
              <w:t>合同</w:t>
            </w:r>
            <w:r>
              <w:rPr>
                <w:rFonts w:hint="eastAsia" w:ascii="宋体" w:hAnsi="宋体" w:eastAsia="宋体" w:cs="宋体"/>
                <w:spacing w:val="-1"/>
                <w:sz w:val="24"/>
                <w:szCs w:val="24"/>
                <w:highlight w:val="none"/>
                <w:lang w:eastAsia="zh-CN"/>
              </w:rPr>
              <w:t>）</w:t>
            </w:r>
            <w:r>
              <w:rPr>
                <w:rFonts w:hint="eastAsia" w:ascii="宋体" w:hAnsi="宋体" w:eastAsia="宋体" w:cs="宋体"/>
                <w:spacing w:val="-5"/>
                <w:sz w:val="24"/>
                <w:szCs w:val="24"/>
                <w:highlight w:val="none"/>
                <w:lang w:eastAsia="zh-CN"/>
              </w:rPr>
              <w:t>；</w:t>
            </w:r>
          </w:p>
        </w:tc>
      </w:tr>
      <w:tr w14:paraId="15FAB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7" w:hRule="atLeast"/>
        </w:trPr>
        <w:tc>
          <w:tcPr>
            <w:tcW w:w="869" w:type="dxa"/>
            <w:vMerge w:val="continue"/>
          </w:tcPr>
          <w:p w14:paraId="06ECE269">
            <w:pPr>
              <w:rPr>
                <w:rFonts w:hint="eastAsia" w:ascii="宋体" w:hAnsi="宋体" w:eastAsia="宋体" w:cs="宋体"/>
                <w:sz w:val="24"/>
                <w:szCs w:val="24"/>
                <w:highlight w:val="none"/>
                <w:lang w:eastAsia="zh-CN"/>
              </w:rPr>
            </w:pPr>
          </w:p>
        </w:tc>
        <w:tc>
          <w:tcPr>
            <w:tcW w:w="1317" w:type="dxa"/>
            <w:vMerge w:val="continue"/>
          </w:tcPr>
          <w:p w14:paraId="2637C5F6">
            <w:pPr>
              <w:rPr>
                <w:rFonts w:hint="eastAsia" w:ascii="宋体" w:hAnsi="宋体" w:eastAsia="宋体" w:cs="宋体"/>
                <w:sz w:val="24"/>
                <w:szCs w:val="24"/>
                <w:highlight w:val="none"/>
                <w:lang w:eastAsia="zh-CN"/>
              </w:rPr>
            </w:pPr>
          </w:p>
        </w:tc>
        <w:tc>
          <w:tcPr>
            <w:tcW w:w="2039" w:type="dxa"/>
            <w:vAlign w:val="center"/>
          </w:tcPr>
          <w:p w14:paraId="23CC087D">
            <w:pPr>
              <w:pStyle w:val="33"/>
              <w:spacing w:before="69" w:line="221" w:lineRule="auto"/>
              <w:jc w:val="center"/>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具有良好的财务状况且没有处于被责令停业</w:t>
            </w:r>
          </w:p>
        </w:tc>
        <w:tc>
          <w:tcPr>
            <w:tcW w:w="5244" w:type="dxa"/>
            <w:vAlign w:val="center"/>
          </w:tcPr>
          <w:p w14:paraId="31EC1E58">
            <w:pPr>
              <w:pStyle w:val="33"/>
              <w:spacing w:before="69" w:line="360" w:lineRule="auto"/>
              <w:jc w:val="both"/>
              <w:rPr>
                <w:rFonts w:hint="eastAsia"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lang w:eastAsia="zh-CN"/>
              </w:rPr>
              <w:t>提供2024年的经会计师事务所或审计机构审计的年度财务审计报告，新注册企业按实际成立年限提供，成立不满一年的提供最近一月的财务报表；</w:t>
            </w:r>
          </w:p>
        </w:tc>
      </w:tr>
      <w:tr w14:paraId="5F41B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1" w:hRule="atLeast"/>
        </w:trPr>
        <w:tc>
          <w:tcPr>
            <w:tcW w:w="869" w:type="dxa"/>
            <w:vMerge w:val="continue"/>
          </w:tcPr>
          <w:p w14:paraId="07E6CDBD">
            <w:pPr>
              <w:rPr>
                <w:rFonts w:hint="eastAsia" w:ascii="宋体" w:hAnsi="宋体" w:eastAsia="宋体" w:cs="宋体"/>
                <w:sz w:val="24"/>
                <w:szCs w:val="24"/>
                <w:highlight w:val="none"/>
                <w:lang w:eastAsia="zh-CN"/>
              </w:rPr>
            </w:pPr>
          </w:p>
        </w:tc>
        <w:tc>
          <w:tcPr>
            <w:tcW w:w="1317" w:type="dxa"/>
            <w:vMerge w:val="continue"/>
          </w:tcPr>
          <w:p w14:paraId="15079703">
            <w:pPr>
              <w:rPr>
                <w:rFonts w:hint="eastAsia" w:ascii="宋体" w:hAnsi="宋体" w:eastAsia="宋体" w:cs="宋体"/>
                <w:sz w:val="24"/>
                <w:szCs w:val="24"/>
                <w:highlight w:val="none"/>
                <w:lang w:eastAsia="zh-CN"/>
              </w:rPr>
            </w:pPr>
          </w:p>
        </w:tc>
        <w:tc>
          <w:tcPr>
            <w:tcW w:w="2039" w:type="dxa"/>
            <w:vAlign w:val="center"/>
          </w:tcPr>
          <w:p w14:paraId="3A1C204E">
            <w:pPr>
              <w:pStyle w:val="33"/>
              <w:spacing w:before="69" w:line="221" w:lineRule="auto"/>
              <w:jc w:val="center"/>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无行贿犯罪记录</w:t>
            </w:r>
          </w:p>
        </w:tc>
        <w:tc>
          <w:tcPr>
            <w:tcW w:w="5244" w:type="dxa"/>
            <w:vAlign w:val="center"/>
          </w:tcPr>
          <w:p w14:paraId="03AD02C5">
            <w:pPr>
              <w:pStyle w:val="33"/>
              <w:spacing w:before="69" w:line="360" w:lineRule="auto"/>
              <w:jc w:val="both"/>
              <w:rPr>
                <w:rFonts w:hint="eastAsia" w:ascii="宋体" w:hAnsi="宋体" w:eastAsia="宋体" w:cs="宋体"/>
                <w:sz w:val="24"/>
                <w:szCs w:val="24"/>
                <w:highlight w:val="none"/>
                <w:lang w:eastAsia="zh-CN"/>
              </w:rPr>
            </w:pPr>
            <w:r>
              <w:rPr>
                <w:rFonts w:hint="eastAsia" w:ascii="宋体" w:hAnsi="宋体" w:eastAsia="宋体" w:cs="宋体"/>
                <w:spacing w:val="-1"/>
                <w:sz w:val="24"/>
                <w:szCs w:val="24"/>
                <w:highlight w:val="none"/>
                <w:lang w:eastAsia="zh-CN"/>
              </w:rPr>
              <w:t>参加政府采购活动前3年内无行贿犯罪记录，提供《中国裁判文书网》查询结果网页截图或企业自行承诺的无行贿犯罪承诺书，（查询&lt;承诺&gt;对象为“企业，法定代表人，项目负责人”）；</w:t>
            </w:r>
          </w:p>
        </w:tc>
      </w:tr>
      <w:tr w14:paraId="0FEEF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8" w:hRule="atLeast"/>
        </w:trPr>
        <w:tc>
          <w:tcPr>
            <w:tcW w:w="869" w:type="dxa"/>
            <w:vMerge w:val="continue"/>
          </w:tcPr>
          <w:p w14:paraId="4ACC98F8">
            <w:pPr>
              <w:rPr>
                <w:rFonts w:hint="eastAsia" w:ascii="宋体" w:hAnsi="宋体" w:eastAsia="宋体" w:cs="宋体"/>
                <w:sz w:val="24"/>
                <w:szCs w:val="24"/>
                <w:highlight w:val="none"/>
                <w:lang w:eastAsia="zh-CN"/>
              </w:rPr>
            </w:pPr>
          </w:p>
        </w:tc>
        <w:tc>
          <w:tcPr>
            <w:tcW w:w="1317" w:type="dxa"/>
            <w:vMerge w:val="continue"/>
          </w:tcPr>
          <w:p w14:paraId="63CCC509">
            <w:pPr>
              <w:rPr>
                <w:rFonts w:hint="eastAsia" w:ascii="宋体" w:hAnsi="宋体" w:eastAsia="宋体" w:cs="宋体"/>
                <w:sz w:val="24"/>
                <w:szCs w:val="24"/>
                <w:highlight w:val="none"/>
                <w:lang w:eastAsia="zh-CN"/>
              </w:rPr>
            </w:pPr>
          </w:p>
        </w:tc>
        <w:tc>
          <w:tcPr>
            <w:tcW w:w="2039" w:type="dxa"/>
            <w:vAlign w:val="center"/>
          </w:tcPr>
          <w:p w14:paraId="78A197DD">
            <w:pPr>
              <w:pStyle w:val="33"/>
              <w:spacing w:before="131"/>
              <w:ind w:left="185"/>
              <w:jc w:val="center"/>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无商业贿赂及无不正当竞争行为的承诺书</w:t>
            </w:r>
          </w:p>
        </w:tc>
        <w:tc>
          <w:tcPr>
            <w:tcW w:w="5244" w:type="dxa"/>
            <w:vAlign w:val="center"/>
          </w:tcPr>
          <w:p w14:paraId="1BB8CD93">
            <w:pPr>
              <w:pStyle w:val="33"/>
              <w:spacing w:before="131"/>
              <w:ind w:left="185" w:right="102" w:firstLine="3"/>
              <w:jc w:val="both"/>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供应商自行出具本单位无商业贿赂及无不正当竞争行为的承诺书；</w:t>
            </w:r>
          </w:p>
        </w:tc>
      </w:tr>
    </w:tbl>
    <w:p w14:paraId="16F0ECB3">
      <w:pPr>
        <w:spacing w:before="18"/>
        <w:rPr>
          <w:rFonts w:hint="eastAsia" w:ascii="宋体" w:hAnsi="宋体" w:eastAsia="宋体" w:cs="宋体"/>
          <w:sz w:val="24"/>
          <w:szCs w:val="24"/>
          <w:highlight w:val="none"/>
          <w:lang w:eastAsia="zh-CN"/>
        </w:rPr>
      </w:pPr>
    </w:p>
    <w:tbl>
      <w:tblPr>
        <w:tblStyle w:val="32"/>
        <w:tblW w:w="94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9"/>
        <w:gridCol w:w="1317"/>
        <w:gridCol w:w="2039"/>
        <w:gridCol w:w="5244"/>
      </w:tblGrid>
      <w:tr w14:paraId="1BE2A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8" w:hRule="atLeast"/>
        </w:trPr>
        <w:tc>
          <w:tcPr>
            <w:tcW w:w="869" w:type="dxa"/>
            <w:vMerge w:val="restart"/>
            <w:tcBorders>
              <w:bottom w:val="nil"/>
            </w:tcBorders>
          </w:tcPr>
          <w:p w14:paraId="28A35CAC">
            <w:pPr>
              <w:rPr>
                <w:rFonts w:hint="eastAsia" w:ascii="宋体" w:hAnsi="宋体" w:eastAsia="宋体" w:cs="宋体"/>
                <w:sz w:val="24"/>
                <w:szCs w:val="24"/>
                <w:highlight w:val="none"/>
                <w:lang w:eastAsia="zh-CN"/>
              </w:rPr>
            </w:pPr>
          </w:p>
        </w:tc>
        <w:tc>
          <w:tcPr>
            <w:tcW w:w="1317" w:type="dxa"/>
            <w:vMerge w:val="restart"/>
            <w:tcBorders>
              <w:bottom w:val="nil"/>
            </w:tcBorders>
          </w:tcPr>
          <w:p w14:paraId="371F679A">
            <w:pPr>
              <w:rPr>
                <w:rFonts w:hint="eastAsia" w:ascii="宋体" w:hAnsi="宋体" w:eastAsia="宋体" w:cs="宋体"/>
                <w:sz w:val="24"/>
                <w:szCs w:val="24"/>
                <w:highlight w:val="none"/>
                <w:lang w:eastAsia="zh-CN"/>
              </w:rPr>
            </w:pPr>
          </w:p>
        </w:tc>
        <w:tc>
          <w:tcPr>
            <w:tcW w:w="2039" w:type="dxa"/>
          </w:tcPr>
          <w:p w14:paraId="5A03E94B">
            <w:pPr>
              <w:spacing w:line="262" w:lineRule="auto"/>
              <w:rPr>
                <w:rFonts w:hint="eastAsia" w:ascii="宋体" w:hAnsi="宋体" w:eastAsia="宋体" w:cs="宋体"/>
                <w:sz w:val="24"/>
                <w:szCs w:val="24"/>
                <w:highlight w:val="none"/>
                <w:lang w:eastAsia="zh-CN"/>
              </w:rPr>
            </w:pPr>
          </w:p>
          <w:p w14:paraId="06081E6B">
            <w:pPr>
              <w:spacing w:line="262" w:lineRule="auto"/>
              <w:rPr>
                <w:rFonts w:hint="eastAsia" w:ascii="宋体" w:hAnsi="宋体" w:eastAsia="宋体" w:cs="宋体"/>
                <w:sz w:val="24"/>
                <w:szCs w:val="24"/>
                <w:highlight w:val="none"/>
                <w:lang w:eastAsia="zh-CN"/>
              </w:rPr>
            </w:pPr>
          </w:p>
          <w:p w14:paraId="119D3CD5">
            <w:pPr>
              <w:spacing w:line="262" w:lineRule="auto"/>
              <w:rPr>
                <w:rFonts w:hint="eastAsia" w:ascii="宋体" w:hAnsi="宋体" w:eastAsia="宋体" w:cs="宋体"/>
                <w:sz w:val="24"/>
                <w:szCs w:val="24"/>
                <w:highlight w:val="none"/>
                <w:lang w:eastAsia="zh-CN"/>
              </w:rPr>
            </w:pPr>
          </w:p>
          <w:p w14:paraId="3B479C97">
            <w:pPr>
              <w:spacing w:line="262" w:lineRule="auto"/>
              <w:rPr>
                <w:rFonts w:hint="eastAsia" w:ascii="宋体" w:hAnsi="宋体" w:eastAsia="宋体" w:cs="宋体"/>
                <w:sz w:val="24"/>
                <w:szCs w:val="24"/>
                <w:highlight w:val="none"/>
                <w:lang w:eastAsia="zh-CN"/>
              </w:rPr>
            </w:pPr>
          </w:p>
          <w:p w14:paraId="20B0270A">
            <w:pPr>
              <w:spacing w:line="262" w:lineRule="auto"/>
              <w:rPr>
                <w:rFonts w:hint="eastAsia" w:ascii="宋体" w:hAnsi="宋体" w:eastAsia="宋体" w:cs="宋体"/>
                <w:sz w:val="24"/>
                <w:szCs w:val="24"/>
                <w:highlight w:val="none"/>
                <w:lang w:eastAsia="zh-CN"/>
              </w:rPr>
            </w:pPr>
          </w:p>
          <w:p w14:paraId="50519A6B">
            <w:pPr>
              <w:spacing w:line="262" w:lineRule="auto"/>
              <w:rPr>
                <w:rFonts w:hint="eastAsia" w:ascii="宋体" w:hAnsi="宋体" w:eastAsia="宋体" w:cs="宋体"/>
                <w:sz w:val="24"/>
                <w:szCs w:val="24"/>
                <w:highlight w:val="none"/>
                <w:lang w:eastAsia="zh-CN"/>
              </w:rPr>
            </w:pPr>
          </w:p>
          <w:p w14:paraId="1F583A78">
            <w:pPr>
              <w:spacing w:line="262" w:lineRule="auto"/>
              <w:rPr>
                <w:rFonts w:hint="eastAsia" w:ascii="宋体" w:hAnsi="宋体" w:eastAsia="宋体" w:cs="宋体"/>
                <w:sz w:val="24"/>
                <w:szCs w:val="24"/>
                <w:highlight w:val="none"/>
                <w:lang w:eastAsia="zh-CN"/>
              </w:rPr>
            </w:pPr>
          </w:p>
          <w:p w14:paraId="7F3EE7E7">
            <w:pPr>
              <w:spacing w:line="263" w:lineRule="auto"/>
              <w:rPr>
                <w:rFonts w:hint="eastAsia" w:ascii="宋体" w:hAnsi="宋体" w:eastAsia="宋体" w:cs="宋体"/>
                <w:sz w:val="24"/>
                <w:szCs w:val="24"/>
                <w:highlight w:val="none"/>
                <w:lang w:eastAsia="zh-CN"/>
              </w:rPr>
            </w:pPr>
          </w:p>
          <w:p w14:paraId="67358732">
            <w:pPr>
              <w:spacing w:line="263" w:lineRule="auto"/>
              <w:rPr>
                <w:rFonts w:hint="eastAsia" w:ascii="宋体" w:hAnsi="宋体" w:eastAsia="宋体" w:cs="宋体"/>
                <w:sz w:val="24"/>
                <w:szCs w:val="24"/>
                <w:highlight w:val="none"/>
                <w:lang w:eastAsia="zh-CN"/>
              </w:rPr>
            </w:pPr>
          </w:p>
          <w:p w14:paraId="5EEA6241">
            <w:pPr>
              <w:spacing w:line="263" w:lineRule="auto"/>
              <w:rPr>
                <w:rFonts w:hint="eastAsia" w:ascii="宋体" w:hAnsi="宋体" w:eastAsia="宋体" w:cs="宋体"/>
                <w:sz w:val="24"/>
                <w:szCs w:val="24"/>
                <w:highlight w:val="none"/>
                <w:lang w:eastAsia="zh-CN"/>
              </w:rPr>
            </w:pPr>
          </w:p>
          <w:p w14:paraId="71F74DA1">
            <w:pPr>
              <w:pStyle w:val="33"/>
              <w:spacing w:before="69" w:line="222" w:lineRule="auto"/>
              <w:ind w:left="621"/>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网站查询</w:t>
            </w:r>
          </w:p>
        </w:tc>
        <w:tc>
          <w:tcPr>
            <w:tcW w:w="5244" w:type="dxa"/>
          </w:tcPr>
          <w:p w14:paraId="6BA105E0">
            <w:pPr>
              <w:pStyle w:val="33"/>
              <w:spacing w:before="126" w:line="240" w:lineRule="auto"/>
              <w:ind w:left="106" w:right="48" w:firstLine="7"/>
              <w:jc w:val="both"/>
              <w:rPr>
                <w:rFonts w:hint="eastAsia" w:ascii="宋体" w:hAnsi="宋体" w:eastAsia="宋体" w:cs="宋体"/>
                <w:sz w:val="24"/>
                <w:szCs w:val="24"/>
                <w:highlight w:val="none"/>
                <w:lang w:eastAsia="zh-CN"/>
              </w:rPr>
            </w:pPr>
            <w:r>
              <w:rPr>
                <w:rFonts w:hint="eastAsia" w:ascii="宋体" w:hAnsi="宋体" w:eastAsia="宋体" w:cs="宋体"/>
                <w:color w:val="000000" w:themeColor="text1"/>
                <w:sz w:val="24"/>
                <w:szCs w:val="24"/>
                <w:highlight w:val="none"/>
                <w:lang w:eastAsia="zh-CN"/>
                <w14:textFill>
                  <w14:solidFill>
                    <w14:schemeClr w14:val="tx1"/>
                  </w14:solidFill>
                </w14:textFill>
              </w:rPr>
              <w:t>根据《关于在政府采购活动中查询及使用信用记录有关问题的通知》 (财库[2 016]125 号)和豫财购【2016】15 号的规定，企业没有被列入“信用中国”网站的“失信被执行人”（跳转中国执行信息公开网（</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"https://zxgk.court.gov.cn" </w:instrText>
            </w:r>
            <w:r>
              <w:rPr>
                <w:rFonts w:hint="eastAsia" w:ascii="宋体" w:hAnsi="宋体" w:eastAsia="宋体" w:cs="宋体"/>
                <w:sz w:val="24"/>
                <w:szCs w:val="24"/>
                <w:highlight w:val="none"/>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https://zxgk.court.gov.cn</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））、“重大税收违法失信主体”及“中国政府采购网站”的“政府采购严重违法失信行为记录名单”的供应商。【查询渠道：“信用中国”网站（</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"https://www.creditchina.gov.cn" </w:instrText>
            </w:r>
            <w:r>
              <w:rPr>
                <w:rFonts w:hint="eastAsia" w:ascii="宋体" w:hAnsi="宋体" w:eastAsia="宋体" w:cs="宋体"/>
                <w:sz w:val="24"/>
                <w:szCs w:val="24"/>
                <w:highlight w:val="none"/>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www.creditchina.gov.cn</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）、中国执行信息公开网（</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"http://zxgk.court.gov.cn" </w:instrText>
            </w:r>
            <w:r>
              <w:rPr>
                <w:rFonts w:hint="eastAsia" w:ascii="宋体" w:hAnsi="宋体" w:eastAsia="宋体" w:cs="宋体"/>
                <w:sz w:val="24"/>
                <w:szCs w:val="24"/>
                <w:highlight w:val="none"/>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http://zxgk.court.gov.cn</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）、中国政府采购网（</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"https://www.ccgp.gov" </w:instrText>
            </w:r>
            <w:r>
              <w:rPr>
                <w:rFonts w:hint="eastAsia" w:ascii="宋体" w:hAnsi="宋体" w:eastAsia="宋体" w:cs="宋体"/>
                <w:sz w:val="24"/>
                <w:szCs w:val="24"/>
                <w:highlight w:val="none"/>
              </w:rPr>
              <w:fldChar w:fldCharType="separate"/>
            </w:r>
            <w:r>
              <w:rPr>
                <w:rFonts w:hint="eastAsia" w:ascii="宋体" w:hAnsi="宋体" w:eastAsia="宋体" w:cs="宋体"/>
                <w:color w:val="000000" w:themeColor="text1"/>
                <w:sz w:val="24"/>
                <w:szCs w:val="24"/>
                <w:highlight w:val="none"/>
                <w:lang w:eastAsia="zh-CN"/>
                <w14:textFill>
                  <w14:solidFill>
                    <w14:schemeClr w14:val="tx1"/>
                  </w14:solidFill>
                </w14:textFill>
              </w:rPr>
              <w:t>www.ccgp.gov</w:t>
            </w:r>
            <w:r>
              <w:rPr>
                <w:rFonts w:hint="eastAsia" w:ascii="宋体" w:hAnsi="宋体" w:eastAsia="宋体" w:cs="宋体"/>
                <w:color w:val="000000" w:themeColor="text1"/>
                <w:sz w:val="24"/>
                <w:szCs w:val="24"/>
                <w:highlight w:val="none"/>
                <w:lang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eastAsia="zh-CN"/>
                <w14:textFill>
                  <w14:solidFill>
                    <w14:schemeClr w14:val="tx1"/>
                  </w14:solidFill>
                </w14:textFill>
              </w:rPr>
              <w:t>. cn）】， 供应商须提供相关网页查询信息截图，截图需显示查询时间； (注：査询时间自公告发布之日起至投标截止时间前，查询结果清晰可见)；</w:t>
            </w:r>
          </w:p>
        </w:tc>
      </w:tr>
      <w:tr w14:paraId="285ED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3" w:hRule="atLeast"/>
        </w:trPr>
        <w:tc>
          <w:tcPr>
            <w:tcW w:w="869" w:type="dxa"/>
            <w:vMerge w:val="continue"/>
            <w:tcBorders>
              <w:top w:val="nil"/>
              <w:bottom w:val="nil"/>
            </w:tcBorders>
          </w:tcPr>
          <w:p w14:paraId="3EF056DD">
            <w:pPr>
              <w:rPr>
                <w:rFonts w:hint="eastAsia" w:ascii="宋体" w:hAnsi="宋体" w:eastAsia="宋体" w:cs="宋体"/>
                <w:sz w:val="24"/>
                <w:szCs w:val="24"/>
                <w:highlight w:val="none"/>
                <w:lang w:eastAsia="zh-CN"/>
              </w:rPr>
            </w:pPr>
          </w:p>
        </w:tc>
        <w:tc>
          <w:tcPr>
            <w:tcW w:w="1317" w:type="dxa"/>
            <w:vMerge w:val="continue"/>
            <w:tcBorders>
              <w:top w:val="nil"/>
              <w:bottom w:val="nil"/>
            </w:tcBorders>
          </w:tcPr>
          <w:p w14:paraId="3404E5EA">
            <w:pPr>
              <w:rPr>
                <w:rFonts w:hint="eastAsia" w:ascii="宋体" w:hAnsi="宋体" w:eastAsia="宋体" w:cs="宋体"/>
                <w:sz w:val="24"/>
                <w:szCs w:val="24"/>
                <w:highlight w:val="none"/>
                <w:lang w:eastAsia="zh-CN"/>
              </w:rPr>
            </w:pPr>
          </w:p>
        </w:tc>
        <w:tc>
          <w:tcPr>
            <w:tcW w:w="2039" w:type="dxa"/>
            <w:vAlign w:val="center"/>
          </w:tcPr>
          <w:p w14:paraId="20A47AE0">
            <w:pPr>
              <w:pStyle w:val="33"/>
              <w:spacing w:before="131"/>
              <w:ind w:left="185"/>
              <w:jc w:val="center"/>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国家企业信用信息公示系统</w:t>
            </w:r>
          </w:p>
        </w:tc>
        <w:tc>
          <w:tcPr>
            <w:tcW w:w="5244" w:type="dxa"/>
            <w:vAlign w:val="center"/>
          </w:tcPr>
          <w:p w14:paraId="1170D028">
            <w:pPr>
              <w:pStyle w:val="33"/>
              <w:spacing w:before="131" w:line="360" w:lineRule="auto"/>
              <w:ind w:left="185" w:right="102" w:hanging="4"/>
              <w:jc w:val="both"/>
              <w:rPr>
                <w:rFonts w:hint="eastAsia" w:ascii="宋体" w:hAnsi="宋体" w:eastAsia="宋体" w:cs="宋体"/>
                <w:spacing w:val="-1"/>
                <w:sz w:val="24"/>
                <w:szCs w:val="24"/>
                <w:highlight w:val="none"/>
                <w:lang w:eastAsia="zh-CN"/>
              </w:rPr>
            </w:pPr>
            <w:r>
              <w:rPr>
                <w:rFonts w:hint="eastAsia" w:ascii="宋体" w:hAnsi="宋体" w:eastAsia="宋体" w:cs="宋体"/>
                <w:spacing w:val="-1"/>
                <w:sz w:val="24"/>
                <w:szCs w:val="24"/>
                <w:highlight w:val="none"/>
                <w:lang w:eastAsia="zh-CN"/>
              </w:rPr>
              <w:t>单位负责人为同一人或者存在直接控股、管理关系的不同投标人，不得参加同一合同项下的采购活动；（提供“国家企业信用信息公示系统”中查询的相关信息（查询信息需包含公司基本信息、股东信息及股权变更信息等相关信息，査询时间自公告发布之日起至投标截止时间前））；</w:t>
            </w:r>
          </w:p>
        </w:tc>
      </w:tr>
      <w:tr w14:paraId="201F9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3" w:hRule="atLeast"/>
        </w:trPr>
        <w:tc>
          <w:tcPr>
            <w:tcW w:w="869" w:type="dxa"/>
            <w:vMerge w:val="continue"/>
            <w:tcBorders>
              <w:top w:val="nil"/>
            </w:tcBorders>
          </w:tcPr>
          <w:p w14:paraId="6917A734">
            <w:pPr>
              <w:rPr>
                <w:rFonts w:hint="eastAsia" w:ascii="宋体" w:hAnsi="宋体" w:eastAsia="宋体" w:cs="宋体"/>
                <w:sz w:val="24"/>
                <w:szCs w:val="24"/>
                <w:highlight w:val="none"/>
                <w:lang w:eastAsia="zh-CN"/>
              </w:rPr>
            </w:pPr>
          </w:p>
        </w:tc>
        <w:tc>
          <w:tcPr>
            <w:tcW w:w="1317" w:type="dxa"/>
            <w:vMerge w:val="continue"/>
            <w:tcBorders>
              <w:top w:val="nil"/>
            </w:tcBorders>
          </w:tcPr>
          <w:p w14:paraId="210509CC">
            <w:pPr>
              <w:rPr>
                <w:rFonts w:hint="eastAsia" w:ascii="宋体" w:hAnsi="宋体" w:eastAsia="宋体" w:cs="宋体"/>
                <w:sz w:val="24"/>
                <w:szCs w:val="24"/>
                <w:highlight w:val="none"/>
                <w:lang w:eastAsia="zh-CN"/>
              </w:rPr>
            </w:pPr>
          </w:p>
        </w:tc>
        <w:tc>
          <w:tcPr>
            <w:tcW w:w="2039" w:type="dxa"/>
            <w:vAlign w:val="center"/>
          </w:tcPr>
          <w:p w14:paraId="208F8A9F">
            <w:pPr>
              <w:pStyle w:val="33"/>
              <w:spacing w:before="69" w:line="221" w:lineRule="auto"/>
              <w:jc w:val="center"/>
              <w:rPr>
                <w:rFonts w:hint="eastAsia" w:ascii="宋体" w:hAnsi="宋体" w:eastAsia="宋体" w:cs="宋体"/>
                <w:sz w:val="24"/>
                <w:szCs w:val="24"/>
                <w:highlight w:val="none"/>
                <w:lang w:eastAsia="zh-CN"/>
              </w:rPr>
            </w:pPr>
            <w:r>
              <w:rPr>
                <w:rFonts w:hint="eastAsia" w:ascii="宋体" w:hAnsi="宋体" w:eastAsia="宋体" w:cs="宋体"/>
                <w:spacing w:val="-1"/>
                <w:sz w:val="24"/>
                <w:szCs w:val="24"/>
                <w:highlight w:val="none"/>
                <w:lang w:eastAsia="zh-CN"/>
              </w:rPr>
              <w:t>本项目不接受联合体投标</w:t>
            </w:r>
          </w:p>
        </w:tc>
        <w:tc>
          <w:tcPr>
            <w:tcW w:w="5244" w:type="dxa"/>
            <w:vAlign w:val="center"/>
          </w:tcPr>
          <w:p w14:paraId="7A2AF705">
            <w:pPr>
              <w:pStyle w:val="33"/>
              <w:spacing w:before="178" w:line="371" w:lineRule="auto"/>
              <w:ind w:left="113" w:right="102"/>
              <w:jc w:val="both"/>
              <w:rPr>
                <w:rFonts w:hint="eastAsia" w:ascii="宋体" w:hAnsi="宋体" w:eastAsia="宋体" w:cs="宋体"/>
                <w:sz w:val="24"/>
                <w:szCs w:val="24"/>
                <w:highlight w:val="none"/>
                <w:lang w:eastAsia="zh-CN"/>
              </w:rPr>
            </w:pPr>
            <w:r>
              <w:rPr>
                <w:rFonts w:hint="eastAsia" w:ascii="宋体" w:hAnsi="宋体" w:eastAsia="宋体" w:cs="宋体"/>
                <w:spacing w:val="-1"/>
                <w:sz w:val="24"/>
                <w:szCs w:val="24"/>
                <w:highlight w:val="none"/>
                <w:lang w:eastAsia="zh-CN"/>
              </w:rPr>
              <w:t>提供非联合体承诺</w:t>
            </w:r>
          </w:p>
        </w:tc>
      </w:tr>
      <w:tr w14:paraId="6569C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869" w:type="dxa"/>
            <w:vMerge w:val="restart"/>
            <w:tcBorders>
              <w:bottom w:val="nil"/>
            </w:tcBorders>
          </w:tcPr>
          <w:p w14:paraId="36C2A9DD">
            <w:pPr>
              <w:spacing w:line="263" w:lineRule="auto"/>
              <w:rPr>
                <w:rFonts w:hint="eastAsia" w:ascii="宋体" w:hAnsi="宋体" w:eastAsia="宋体" w:cs="宋体"/>
                <w:sz w:val="24"/>
                <w:szCs w:val="24"/>
                <w:highlight w:val="none"/>
                <w:lang w:eastAsia="zh-CN"/>
              </w:rPr>
            </w:pPr>
          </w:p>
          <w:p w14:paraId="2B3F10B9">
            <w:pPr>
              <w:spacing w:line="263" w:lineRule="auto"/>
              <w:rPr>
                <w:rFonts w:hint="eastAsia" w:ascii="宋体" w:hAnsi="宋体" w:eastAsia="宋体" w:cs="宋体"/>
                <w:sz w:val="24"/>
                <w:szCs w:val="24"/>
                <w:highlight w:val="none"/>
                <w:lang w:eastAsia="zh-CN"/>
              </w:rPr>
            </w:pPr>
          </w:p>
          <w:p w14:paraId="27705F5C">
            <w:pPr>
              <w:spacing w:line="263" w:lineRule="auto"/>
              <w:rPr>
                <w:rFonts w:hint="eastAsia" w:ascii="宋体" w:hAnsi="宋体" w:eastAsia="宋体" w:cs="宋体"/>
                <w:sz w:val="24"/>
                <w:szCs w:val="24"/>
                <w:highlight w:val="none"/>
                <w:lang w:eastAsia="zh-CN"/>
              </w:rPr>
            </w:pPr>
          </w:p>
          <w:p w14:paraId="1DF8D22A">
            <w:pPr>
              <w:pStyle w:val="33"/>
              <w:spacing w:before="68"/>
              <w:ind w:left="180"/>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3.1.3</w:t>
            </w:r>
          </w:p>
        </w:tc>
        <w:tc>
          <w:tcPr>
            <w:tcW w:w="1317" w:type="dxa"/>
            <w:vMerge w:val="restart"/>
            <w:tcBorders>
              <w:bottom w:val="nil"/>
            </w:tcBorders>
          </w:tcPr>
          <w:p w14:paraId="54D0261D">
            <w:pPr>
              <w:spacing w:line="277" w:lineRule="auto"/>
              <w:rPr>
                <w:rFonts w:hint="eastAsia" w:ascii="宋体" w:hAnsi="宋体" w:eastAsia="宋体" w:cs="宋体"/>
                <w:sz w:val="24"/>
                <w:szCs w:val="24"/>
                <w:highlight w:val="none"/>
              </w:rPr>
            </w:pPr>
          </w:p>
          <w:p w14:paraId="74579049">
            <w:pPr>
              <w:spacing w:line="277" w:lineRule="auto"/>
              <w:rPr>
                <w:rFonts w:hint="eastAsia" w:ascii="宋体" w:hAnsi="宋体" w:eastAsia="宋体" w:cs="宋体"/>
                <w:sz w:val="24"/>
                <w:szCs w:val="24"/>
                <w:highlight w:val="none"/>
              </w:rPr>
            </w:pPr>
          </w:p>
          <w:p w14:paraId="0B136EE0">
            <w:pPr>
              <w:pStyle w:val="33"/>
              <w:spacing w:before="69" w:line="414" w:lineRule="auto"/>
              <w:ind w:left="240" w:right="236" w:firstLine="114"/>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响应性</w:t>
            </w:r>
            <w:r>
              <w:rPr>
                <w:rFonts w:hint="eastAsia" w:ascii="宋体" w:hAnsi="宋体" w:eastAsia="宋体" w:cs="宋体"/>
                <w:spacing w:val="-2"/>
                <w:sz w:val="24"/>
                <w:szCs w:val="24"/>
                <w:highlight w:val="none"/>
              </w:rPr>
              <w:t>评审标准</w:t>
            </w:r>
          </w:p>
        </w:tc>
        <w:tc>
          <w:tcPr>
            <w:tcW w:w="2039" w:type="dxa"/>
          </w:tcPr>
          <w:p w14:paraId="32CAFFCA">
            <w:pPr>
              <w:pStyle w:val="33"/>
              <w:spacing w:before="135" w:line="221" w:lineRule="auto"/>
              <w:ind w:left="604"/>
              <w:rPr>
                <w:rFonts w:hint="eastAsia" w:ascii="宋体" w:hAnsi="宋体" w:eastAsia="宋体" w:cs="宋体"/>
                <w:sz w:val="24"/>
                <w:szCs w:val="24"/>
                <w:highlight w:val="none"/>
                <w:lang w:eastAsia="zh-CN"/>
              </w:rPr>
            </w:pPr>
            <w:r>
              <w:rPr>
                <w:rFonts w:hint="eastAsia" w:ascii="宋体" w:hAnsi="宋体" w:eastAsia="宋体" w:cs="宋体"/>
                <w:spacing w:val="-2"/>
                <w:sz w:val="24"/>
                <w:szCs w:val="24"/>
                <w:highlight w:val="none"/>
                <w:lang w:eastAsia="zh-CN"/>
              </w:rPr>
              <w:t>实施周期</w:t>
            </w:r>
          </w:p>
        </w:tc>
        <w:tc>
          <w:tcPr>
            <w:tcW w:w="5244" w:type="dxa"/>
          </w:tcPr>
          <w:p w14:paraId="1CC67871">
            <w:pPr>
              <w:pStyle w:val="33"/>
              <w:spacing w:before="134" w:line="220" w:lineRule="auto"/>
              <w:ind w:left="115"/>
              <w:rPr>
                <w:rFonts w:hint="eastAsia" w:ascii="宋体" w:hAnsi="宋体" w:eastAsia="宋体" w:cs="宋体"/>
                <w:sz w:val="24"/>
                <w:szCs w:val="24"/>
                <w:highlight w:val="none"/>
                <w:lang w:eastAsia="zh-CN"/>
              </w:rPr>
            </w:pPr>
            <w:r>
              <w:rPr>
                <w:rFonts w:hint="eastAsia" w:ascii="宋体" w:hAnsi="宋体" w:eastAsia="宋体" w:cs="宋体"/>
                <w:spacing w:val="-1"/>
                <w:sz w:val="24"/>
                <w:szCs w:val="24"/>
                <w:highlight w:val="none"/>
                <w:lang w:eastAsia="zh-CN"/>
              </w:rPr>
              <w:t>符合第二章“供应商须知前附表”的规定</w:t>
            </w:r>
          </w:p>
        </w:tc>
      </w:tr>
      <w:tr w14:paraId="4A385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69" w:type="dxa"/>
            <w:vMerge w:val="continue"/>
            <w:tcBorders>
              <w:top w:val="nil"/>
              <w:bottom w:val="nil"/>
            </w:tcBorders>
          </w:tcPr>
          <w:p w14:paraId="2C50FC8A">
            <w:pPr>
              <w:rPr>
                <w:rFonts w:hint="eastAsia" w:ascii="宋体" w:hAnsi="宋体" w:eastAsia="宋体" w:cs="宋体"/>
                <w:sz w:val="24"/>
                <w:szCs w:val="24"/>
                <w:highlight w:val="none"/>
                <w:lang w:eastAsia="zh-CN"/>
              </w:rPr>
            </w:pPr>
          </w:p>
        </w:tc>
        <w:tc>
          <w:tcPr>
            <w:tcW w:w="1317" w:type="dxa"/>
            <w:vMerge w:val="continue"/>
            <w:tcBorders>
              <w:top w:val="nil"/>
              <w:bottom w:val="nil"/>
            </w:tcBorders>
          </w:tcPr>
          <w:p w14:paraId="1227D627">
            <w:pPr>
              <w:rPr>
                <w:rFonts w:hint="eastAsia" w:ascii="宋体" w:hAnsi="宋体" w:eastAsia="宋体" w:cs="宋体"/>
                <w:sz w:val="24"/>
                <w:szCs w:val="24"/>
                <w:highlight w:val="none"/>
                <w:lang w:eastAsia="zh-CN"/>
              </w:rPr>
            </w:pPr>
          </w:p>
        </w:tc>
        <w:tc>
          <w:tcPr>
            <w:tcW w:w="2039" w:type="dxa"/>
          </w:tcPr>
          <w:p w14:paraId="1E47E407">
            <w:pPr>
              <w:pStyle w:val="33"/>
              <w:spacing w:before="132" w:line="221" w:lineRule="auto"/>
              <w:ind w:left="605"/>
              <w:rPr>
                <w:rFonts w:hint="eastAsia" w:ascii="宋体" w:hAnsi="宋体" w:eastAsia="宋体" w:cs="宋体"/>
                <w:sz w:val="24"/>
                <w:szCs w:val="24"/>
                <w:highlight w:val="none"/>
                <w:lang w:eastAsia="zh-CN"/>
              </w:rPr>
            </w:pPr>
            <w:r>
              <w:rPr>
                <w:rFonts w:hint="eastAsia" w:ascii="宋体" w:hAnsi="宋体" w:eastAsia="宋体" w:cs="宋体"/>
                <w:spacing w:val="-2"/>
                <w:sz w:val="24"/>
                <w:szCs w:val="24"/>
                <w:highlight w:val="none"/>
                <w:lang w:eastAsia="zh-CN"/>
              </w:rPr>
              <w:t>服务要求</w:t>
            </w:r>
          </w:p>
        </w:tc>
        <w:tc>
          <w:tcPr>
            <w:tcW w:w="5244" w:type="dxa"/>
          </w:tcPr>
          <w:p w14:paraId="1F40F647">
            <w:pPr>
              <w:pStyle w:val="33"/>
              <w:spacing w:before="132" w:line="220" w:lineRule="auto"/>
              <w:ind w:left="115"/>
              <w:rPr>
                <w:rFonts w:hint="eastAsia" w:ascii="宋体" w:hAnsi="宋体" w:eastAsia="宋体" w:cs="宋体"/>
                <w:sz w:val="24"/>
                <w:szCs w:val="24"/>
                <w:highlight w:val="none"/>
                <w:lang w:eastAsia="zh-CN"/>
              </w:rPr>
            </w:pPr>
            <w:r>
              <w:rPr>
                <w:rFonts w:hint="eastAsia" w:ascii="宋体" w:hAnsi="宋体" w:eastAsia="宋体" w:cs="宋体"/>
                <w:spacing w:val="-1"/>
                <w:sz w:val="24"/>
                <w:szCs w:val="24"/>
                <w:highlight w:val="none"/>
                <w:lang w:eastAsia="zh-CN"/>
              </w:rPr>
              <w:t>符合第二章“供应商须知前附表”的规定</w:t>
            </w:r>
          </w:p>
        </w:tc>
      </w:tr>
      <w:tr w14:paraId="01E11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69" w:type="dxa"/>
            <w:vMerge w:val="continue"/>
            <w:tcBorders>
              <w:top w:val="nil"/>
              <w:bottom w:val="nil"/>
            </w:tcBorders>
          </w:tcPr>
          <w:p w14:paraId="7E0D1755">
            <w:pPr>
              <w:rPr>
                <w:rFonts w:hint="eastAsia" w:ascii="宋体" w:hAnsi="宋体" w:eastAsia="宋体" w:cs="宋体"/>
                <w:sz w:val="24"/>
                <w:szCs w:val="24"/>
                <w:highlight w:val="none"/>
                <w:lang w:eastAsia="zh-CN"/>
              </w:rPr>
            </w:pPr>
          </w:p>
        </w:tc>
        <w:tc>
          <w:tcPr>
            <w:tcW w:w="1317" w:type="dxa"/>
            <w:vMerge w:val="continue"/>
            <w:tcBorders>
              <w:top w:val="nil"/>
              <w:bottom w:val="nil"/>
            </w:tcBorders>
          </w:tcPr>
          <w:p w14:paraId="2DBE9400">
            <w:pPr>
              <w:rPr>
                <w:rFonts w:hint="eastAsia" w:ascii="宋体" w:hAnsi="宋体" w:eastAsia="宋体" w:cs="宋体"/>
                <w:sz w:val="24"/>
                <w:szCs w:val="24"/>
                <w:highlight w:val="none"/>
                <w:lang w:eastAsia="zh-CN"/>
              </w:rPr>
            </w:pPr>
          </w:p>
        </w:tc>
        <w:tc>
          <w:tcPr>
            <w:tcW w:w="2039" w:type="dxa"/>
          </w:tcPr>
          <w:p w14:paraId="3825CE03">
            <w:pPr>
              <w:pStyle w:val="33"/>
              <w:spacing w:before="133" w:line="221" w:lineRule="auto"/>
              <w:ind w:left="501"/>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投标有效期</w:t>
            </w:r>
          </w:p>
        </w:tc>
        <w:tc>
          <w:tcPr>
            <w:tcW w:w="5244" w:type="dxa"/>
          </w:tcPr>
          <w:p w14:paraId="53735420">
            <w:pPr>
              <w:pStyle w:val="33"/>
              <w:spacing w:before="133" w:line="220" w:lineRule="auto"/>
              <w:ind w:left="115"/>
              <w:rPr>
                <w:rFonts w:hint="eastAsia" w:ascii="宋体" w:hAnsi="宋体" w:eastAsia="宋体" w:cs="宋体"/>
                <w:sz w:val="24"/>
                <w:szCs w:val="24"/>
                <w:highlight w:val="none"/>
                <w:lang w:eastAsia="zh-CN"/>
              </w:rPr>
            </w:pPr>
            <w:r>
              <w:rPr>
                <w:rFonts w:hint="eastAsia" w:ascii="宋体" w:hAnsi="宋体" w:eastAsia="宋体" w:cs="宋体"/>
                <w:spacing w:val="-1"/>
                <w:sz w:val="24"/>
                <w:szCs w:val="24"/>
                <w:highlight w:val="none"/>
                <w:lang w:eastAsia="zh-CN"/>
              </w:rPr>
              <w:t>符合第二章“供应商须知前附表”的规定</w:t>
            </w:r>
          </w:p>
        </w:tc>
      </w:tr>
      <w:tr w14:paraId="6E6B4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869" w:type="dxa"/>
            <w:vMerge w:val="continue"/>
            <w:tcBorders>
              <w:top w:val="nil"/>
            </w:tcBorders>
          </w:tcPr>
          <w:p w14:paraId="47377887">
            <w:pPr>
              <w:rPr>
                <w:rFonts w:hint="eastAsia" w:ascii="宋体" w:hAnsi="宋体" w:eastAsia="宋体" w:cs="宋体"/>
                <w:sz w:val="24"/>
                <w:szCs w:val="24"/>
                <w:highlight w:val="none"/>
                <w:lang w:eastAsia="zh-CN"/>
              </w:rPr>
            </w:pPr>
          </w:p>
        </w:tc>
        <w:tc>
          <w:tcPr>
            <w:tcW w:w="1317" w:type="dxa"/>
            <w:vMerge w:val="continue"/>
            <w:tcBorders>
              <w:top w:val="nil"/>
            </w:tcBorders>
          </w:tcPr>
          <w:p w14:paraId="4A4BE492">
            <w:pPr>
              <w:rPr>
                <w:rFonts w:hint="eastAsia" w:ascii="宋体" w:hAnsi="宋体" w:eastAsia="宋体" w:cs="宋体"/>
                <w:sz w:val="24"/>
                <w:szCs w:val="24"/>
                <w:highlight w:val="none"/>
                <w:lang w:eastAsia="zh-CN"/>
              </w:rPr>
            </w:pPr>
          </w:p>
        </w:tc>
        <w:tc>
          <w:tcPr>
            <w:tcW w:w="2039" w:type="dxa"/>
          </w:tcPr>
          <w:p w14:paraId="3D4481EB">
            <w:pPr>
              <w:pStyle w:val="33"/>
              <w:spacing w:before="143" w:line="219" w:lineRule="auto"/>
              <w:ind w:left="607"/>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投标报价</w:t>
            </w:r>
          </w:p>
        </w:tc>
        <w:tc>
          <w:tcPr>
            <w:tcW w:w="5244" w:type="dxa"/>
          </w:tcPr>
          <w:p w14:paraId="346CFDC1">
            <w:pPr>
              <w:pStyle w:val="33"/>
              <w:spacing w:before="143" w:line="219" w:lineRule="auto"/>
              <w:ind w:left="117"/>
              <w:rPr>
                <w:rFonts w:hint="eastAsia" w:ascii="宋体" w:hAnsi="宋体" w:eastAsia="宋体" w:cs="宋体"/>
                <w:sz w:val="24"/>
                <w:szCs w:val="24"/>
                <w:highlight w:val="none"/>
                <w:lang w:eastAsia="zh-CN"/>
              </w:rPr>
            </w:pPr>
            <w:r>
              <w:rPr>
                <w:rFonts w:hint="eastAsia" w:ascii="宋体" w:hAnsi="宋体" w:eastAsia="宋体" w:cs="宋体"/>
                <w:spacing w:val="-1"/>
                <w:sz w:val="24"/>
                <w:szCs w:val="24"/>
                <w:highlight w:val="none"/>
                <w:lang w:eastAsia="zh-CN"/>
              </w:rPr>
              <w:t>未超过招标文件中规定的预算金额或者最高限价的</w:t>
            </w:r>
          </w:p>
        </w:tc>
      </w:tr>
    </w:tbl>
    <w:p w14:paraId="71DD14DE">
      <w:pPr>
        <w:spacing w:before="112" w:line="239" w:lineRule="auto"/>
        <w:ind w:left="1069"/>
        <w:rPr>
          <w:rFonts w:ascii="宋体" w:hAnsi="宋体" w:eastAsia="宋体" w:cs="宋体"/>
          <w:sz w:val="24"/>
          <w:szCs w:val="24"/>
          <w:highlight w:val="none"/>
          <w:lang w:eastAsia="zh-CN"/>
        </w:rPr>
      </w:pPr>
      <w:r>
        <w:rPr>
          <w:rFonts w:ascii="Calibri" w:hAnsi="Calibri" w:eastAsia="Calibri" w:cs="Calibri"/>
          <w:spacing w:val="-2"/>
          <w:sz w:val="24"/>
          <w:szCs w:val="24"/>
          <w:highlight w:val="none"/>
          <w:lang w:eastAsia="zh-CN"/>
        </w:rPr>
        <w:t xml:space="preserve">4.  </w:t>
      </w:r>
      <w:r>
        <w:rPr>
          <w:rFonts w:ascii="宋体" w:hAnsi="宋体" w:eastAsia="宋体" w:cs="宋体"/>
          <w:spacing w:val="-2"/>
          <w:sz w:val="24"/>
          <w:szCs w:val="24"/>
          <w:highlight w:val="none"/>
          <w:lang w:eastAsia="zh-CN"/>
        </w:rPr>
        <w:t>本项目评标方法采用综合评分法。</w:t>
      </w:r>
    </w:p>
    <w:p w14:paraId="20FCA022">
      <w:pPr>
        <w:spacing w:before="157" w:line="362" w:lineRule="auto"/>
        <w:ind w:left="593" w:right="584" w:firstLine="482"/>
        <w:rPr>
          <w:rFonts w:ascii="宋体" w:hAnsi="宋体" w:eastAsia="宋体" w:cs="宋体"/>
          <w:sz w:val="24"/>
          <w:szCs w:val="24"/>
          <w:highlight w:val="none"/>
          <w:lang w:eastAsia="zh-CN"/>
        </w:rPr>
      </w:pPr>
      <w:r>
        <w:rPr>
          <w:rFonts w:ascii="宋体" w:hAnsi="宋体" w:eastAsia="宋体" w:cs="宋体"/>
          <w:spacing w:val="-3"/>
          <w:sz w:val="24"/>
          <w:szCs w:val="24"/>
          <w:highlight w:val="none"/>
          <w:lang w:eastAsia="zh-CN"/>
        </w:rPr>
        <w:t>综合评分法，是指投标文件满足招标文件全部实质性要求</w:t>
      </w:r>
      <w:r>
        <w:rPr>
          <w:rFonts w:ascii="宋体" w:hAnsi="宋体" w:eastAsia="宋体" w:cs="宋体"/>
          <w:spacing w:val="-4"/>
          <w:sz w:val="24"/>
          <w:szCs w:val="24"/>
          <w:highlight w:val="none"/>
          <w:lang w:eastAsia="zh-CN"/>
        </w:rPr>
        <w:t>且按照评审因素的</w:t>
      </w:r>
      <w:r>
        <w:rPr>
          <w:rFonts w:ascii="宋体" w:hAnsi="宋体" w:eastAsia="宋体" w:cs="宋体"/>
          <w:spacing w:val="-2"/>
          <w:sz w:val="24"/>
          <w:szCs w:val="24"/>
          <w:highlight w:val="none"/>
          <w:lang w:eastAsia="zh-CN"/>
        </w:rPr>
        <w:t>量化指标评审得分最高的供应商为中标候选人的评标方法。</w:t>
      </w:r>
    </w:p>
    <w:p w14:paraId="0E5825ED">
      <w:pPr>
        <w:kinsoku/>
        <w:autoSpaceDE/>
        <w:autoSpaceDN/>
        <w:adjustRightInd/>
        <w:snapToGrid/>
        <w:textAlignment w:val="auto"/>
        <w:rPr>
          <w:rFonts w:ascii="宋体" w:hAnsi="宋体" w:eastAsia="宋体" w:cs="宋体"/>
          <w:b/>
          <w:bCs/>
          <w:spacing w:val="-9"/>
          <w:sz w:val="31"/>
          <w:szCs w:val="31"/>
          <w:highlight w:val="none"/>
          <w:lang w:eastAsia="zh-CN"/>
        </w:rPr>
      </w:pPr>
      <w:r>
        <w:rPr>
          <w:rFonts w:ascii="宋体" w:hAnsi="宋体" w:eastAsia="宋体" w:cs="宋体"/>
          <w:b/>
          <w:bCs/>
          <w:spacing w:val="-9"/>
          <w:sz w:val="31"/>
          <w:szCs w:val="31"/>
          <w:highlight w:val="none"/>
          <w:lang w:eastAsia="zh-CN"/>
        </w:rPr>
        <w:br w:type="page"/>
      </w:r>
    </w:p>
    <w:p w14:paraId="728C88F4">
      <w:pPr>
        <w:spacing w:before="33" w:line="225" w:lineRule="auto"/>
        <w:jc w:val="center"/>
        <w:rPr>
          <w:rFonts w:ascii="宋体" w:hAnsi="宋体" w:eastAsia="宋体" w:cs="宋体"/>
          <w:b/>
          <w:bCs/>
          <w:spacing w:val="-9"/>
          <w:sz w:val="31"/>
          <w:szCs w:val="31"/>
          <w:highlight w:val="none"/>
          <w:lang w:eastAsia="zh-CN"/>
        </w:rPr>
      </w:pPr>
      <w:r>
        <w:rPr>
          <w:rFonts w:ascii="宋体" w:hAnsi="宋体" w:eastAsia="宋体" w:cs="宋体"/>
          <w:b/>
          <w:bCs/>
          <w:spacing w:val="-9"/>
          <w:sz w:val="31"/>
          <w:szCs w:val="31"/>
          <w:highlight w:val="none"/>
        </w:rPr>
        <w:t>评分办法：</w:t>
      </w:r>
    </w:p>
    <w:p w14:paraId="2CAB9759">
      <w:pPr>
        <w:spacing w:before="1"/>
        <w:rPr>
          <w:highlight w:val="none"/>
        </w:rPr>
      </w:pPr>
    </w:p>
    <w:tbl>
      <w:tblPr>
        <w:tblStyle w:val="32"/>
        <w:tblW w:w="94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0"/>
        <w:gridCol w:w="1230"/>
        <w:gridCol w:w="840"/>
        <w:gridCol w:w="6252"/>
      </w:tblGrid>
      <w:tr w14:paraId="65F5D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9" w:hRule="atLeast"/>
        </w:trPr>
        <w:tc>
          <w:tcPr>
            <w:tcW w:w="2370" w:type="dxa"/>
            <w:gridSpan w:val="2"/>
          </w:tcPr>
          <w:p w14:paraId="212993AA">
            <w:pPr>
              <w:spacing w:line="368" w:lineRule="auto"/>
              <w:rPr>
                <w:highlight w:val="none"/>
              </w:rPr>
            </w:pPr>
          </w:p>
          <w:p w14:paraId="26FAC07D">
            <w:pPr>
              <w:pStyle w:val="33"/>
              <w:spacing w:before="78" w:line="220" w:lineRule="auto"/>
              <w:ind w:left="715"/>
              <w:rPr>
                <w:highlight w:val="none"/>
              </w:rPr>
            </w:pPr>
            <w:r>
              <w:rPr>
                <w:spacing w:val="-3"/>
                <w:highlight w:val="none"/>
              </w:rPr>
              <w:t>分值构成</w:t>
            </w:r>
          </w:p>
          <w:p w14:paraId="450E632B">
            <w:pPr>
              <w:pStyle w:val="33"/>
              <w:spacing w:before="214" w:line="220" w:lineRule="auto"/>
              <w:ind w:left="359"/>
              <w:rPr>
                <w:highlight w:val="none"/>
              </w:rPr>
            </w:pPr>
            <w:r>
              <w:rPr>
                <w:spacing w:val="-9"/>
                <w:highlight w:val="none"/>
              </w:rPr>
              <w:t>（总分</w:t>
            </w:r>
            <w:r>
              <w:rPr>
                <w:spacing w:val="-19"/>
                <w:highlight w:val="none"/>
              </w:rPr>
              <w:t xml:space="preserve"> </w:t>
            </w:r>
            <w:r>
              <w:rPr>
                <w:spacing w:val="-9"/>
                <w:highlight w:val="none"/>
              </w:rPr>
              <w:t>100</w:t>
            </w:r>
            <w:r>
              <w:rPr>
                <w:spacing w:val="-48"/>
                <w:highlight w:val="none"/>
              </w:rPr>
              <w:t xml:space="preserve"> </w:t>
            </w:r>
            <w:r>
              <w:rPr>
                <w:spacing w:val="-9"/>
                <w:highlight w:val="none"/>
              </w:rPr>
              <w:t>分）</w:t>
            </w:r>
          </w:p>
        </w:tc>
        <w:tc>
          <w:tcPr>
            <w:tcW w:w="7092" w:type="dxa"/>
            <w:gridSpan w:val="2"/>
          </w:tcPr>
          <w:p w14:paraId="139D8215">
            <w:pPr>
              <w:pStyle w:val="33"/>
              <w:spacing w:before="199" w:line="218" w:lineRule="auto"/>
              <w:ind w:left="116"/>
              <w:rPr>
                <w:highlight w:val="none"/>
                <w:lang w:eastAsia="zh-CN"/>
              </w:rPr>
            </w:pPr>
            <w:r>
              <w:rPr>
                <w:spacing w:val="-2"/>
                <w:highlight w:val="none"/>
                <w:lang w:eastAsia="zh-CN"/>
              </w:rPr>
              <w:t>投标报价：</w:t>
            </w:r>
            <w:r>
              <w:rPr>
                <w:spacing w:val="-2"/>
                <w:highlight w:val="none"/>
                <w:u w:val="single"/>
                <w:lang w:eastAsia="zh-CN"/>
              </w:rPr>
              <w:t>30</w:t>
            </w:r>
            <w:r>
              <w:rPr>
                <w:spacing w:val="-45"/>
                <w:highlight w:val="none"/>
                <w:u w:val="single"/>
                <w:lang w:eastAsia="zh-CN"/>
              </w:rPr>
              <w:t xml:space="preserve"> </w:t>
            </w:r>
            <w:r>
              <w:rPr>
                <w:spacing w:val="-2"/>
                <w:highlight w:val="none"/>
                <w:lang w:eastAsia="zh-CN"/>
              </w:rPr>
              <w:t>分</w:t>
            </w:r>
          </w:p>
          <w:p w14:paraId="582E64FA">
            <w:pPr>
              <w:pStyle w:val="33"/>
              <w:spacing w:before="215" w:line="220" w:lineRule="auto"/>
              <w:ind w:left="114"/>
              <w:rPr>
                <w:highlight w:val="none"/>
                <w:lang w:eastAsia="zh-CN"/>
              </w:rPr>
            </w:pPr>
            <w:r>
              <w:rPr>
                <w:spacing w:val="-2"/>
                <w:highlight w:val="none"/>
                <w:lang w:eastAsia="zh-CN"/>
              </w:rPr>
              <w:t>技术标：</w:t>
            </w:r>
            <w:r>
              <w:rPr>
                <w:spacing w:val="-2"/>
                <w:highlight w:val="none"/>
                <w:u w:val="single"/>
                <w:lang w:eastAsia="zh-CN"/>
              </w:rPr>
              <w:t>5</w:t>
            </w:r>
            <w:r>
              <w:rPr>
                <w:rFonts w:hint="eastAsia"/>
                <w:spacing w:val="-2"/>
                <w:highlight w:val="none"/>
                <w:u w:val="single"/>
                <w:lang w:eastAsia="zh-CN"/>
              </w:rPr>
              <w:t>0</w:t>
            </w:r>
            <w:r>
              <w:rPr>
                <w:spacing w:val="-45"/>
                <w:highlight w:val="none"/>
                <w:u w:val="single"/>
                <w:lang w:eastAsia="zh-CN"/>
              </w:rPr>
              <w:t xml:space="preserve"> </w:t>
            </w:r>
            <w:r>
              <w:rPr>
                <w:spacing w:val="-2"/>
                <w:highlight w:val="none"/>
                <w:lang w:eastAsia="zh-CN"/>
              </w:rPr>
              <w:t>分</w:t>
            </w:r>
          </w:p>
          <w:p w14:paraId="60D35EC4">
            <w:pPr>
              <w:pStyle w:val="33"/>
              <w:spacing w:before="215" w:line="220" w:lineRule="auto"/>
              <w:ind w:left="118"/>
              <w:rPr>
                <w:highlight w:val="none"/>
              </w:rPr>
            </w:pPr>
            <w:r>
              <w:rPr>
                <w:spacing w:val="-2"/>
                <w:highlight w:val="none"/>
              </w:rPr>
              <w:t>商务标：</w:t>
            </w:r>
            <w:r>
              <w:rPr>
                <w:rFonts w:hint="eastAsia"/>
                <w:spacing w:val="-2"/>
                <w:highlight w:val="none"/>
                <w:u w:val="single"/>
                <w:lang w:eastAsia="zh-CN"/>
              </w:rPr>
              <w:t>20</w:t>
            </w:r>
            <w:r>
              <w:rPr>
                <w:spacing w:val="-48"/>
                <w:highlight w:val="none"/>
                <w:u w:val="single"/>
              </w:rPr>
              <w:t xml:space="preserve"> </w:t>
            </w:r>
            <w:r>
              <w:rPr>
                <w:spacing w:val="-2"/>
                <w:highlight w:val="none"/>
              </w:rPr>
              <w:t>分</w:t>
            </w:r>
          </w:p>
        </w:tc>
      </w:tr>
      <w:tr w14:paraId="3A24B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40" w:type="dxa"/>
          </w:tcPr>
          <w:p w14:paraId="4D6D2DE4">
            <w:pPr>
              <w:pStyle w:val="33"/>
              <w:spacing w:before="173" w:line="221" w:lineRule="auto"/>
              <w:ind w:left="151"/>
              <w:rPr>
                <w:sz w:val="21"/>
                <w:szCs w:val="21"/>
                <w:highlight w:val="none"/>
              </w:rPr>
            </w:pPr>
            <w:r>
              <w:rPr>
                <w:b/>
                <w:bCs/>
                <w:spacing w:val="-3"/>
                <w:sz w:val="21"/>
                <w:szCs w:val="21"/>
                <w:highlight w:val="none"/>
              </w:rPr>
              <w:t>评分因素</w:t>
            </w:r>
          </w:p>
        </w:tc>
        <w:tc>
          <w:tcPr>
            <w:tcW w:w="1230" w:type="dxa"/>
          </w:tcPr>
          <w:p w14:paraId="2E4A8343">
            <w:pPr>
              <w:pStyle w:val="33"/>
              <w:spacing w:before="173" w:line="221" w:lineRule="auto"/>
              <w:ind w:left="197"/>
              <w:rPr>
                <w:sz w:val="21"/>
                <w:szCs w:val="21"/>
                <w:highlight w:val="none"/>
              </w:rPr>
            </w:pPr>
            <w:r>
              <w:rPr>
                <w:b/>
                <w:bCs/>
                <w:spacing w:val="-3"/>
                <w:sz w:val="21"/>
                <w:szCs w:val="21"/>
                <w:highlight w:val="none"/>
              </w:rPr>
              <w:t>评分内容</w:t>
            </w:r>
          </w:p>
        </w:tc>
        <w:tc>
          <w:tcPr>
            <w:tcW w:w="840" w:type="dxa"/>
          </w:tcPr>
          <w:p w14:paraId="4C0C3F8D">
            <w:pPr>
              <w:pStyle w:val="33"/>
              <w:spacing w:before="173" w:line="221" w:lineRule="auto"/>
              <w:ind w:left="216"/>
              <w:rPr>
                <w:sz w:val="21"/>
                <w:szCs w:val="21"/>
                <w:highlight w:val="none"/>
              </w:rPr>
            </w:pPr>
            <w:r>
              <w:rPr>
                <w:b/>
                <w:bCs/>
                <w:spacing w:val="-5"/>
                <w:sz w:val="21"/>
                <w:szCs w:val="21"/>
                <w:highlight w:val="none"/>
              </w:rPr>
              <w:t>分值</w:t>
            </w:r>
          </w:p>
        </w:tc>
        <w:tc>
          <w:tcPr>
            <w:tcW w:w="6252" w:type="dxa"/>
          </w:tcPr>
          <w:p w14:paraId="63B24908">
            <w:pPr>
              <w:pStyle w:val="33"/>
              <w:spacing w:before="174" w:line="221" w:lineRule="auto"/>
              <w:ind w:left="2978"/>
              <w:rPr>
                <w:sz w:val="21"/>
                <w:szCs w:val="21"/>
                <w:highlight w:val="none"/>
              </w:rPr>
            </w:pPr>
            <w:r>
              <w:rPr>
                <w:b/>
                <w:bCs/>
                <w:spacing w:val="-3"/>
                <w:sz w:val="21"/>
                <w:szCs w:val="21"/>
                <w:highlight w:val="none"/>
              </w:rPr>
              <w:t>评分标准</w:t>
            </w:r>
          </w:p>
        </w:tc>
      </w:tr>
      <w:tr w14:paraId="61AF6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2" w:hRule="atLeast"/>
        </w:trPr>
        <w:tc>
          <w:tcPr>
            <w:tcW w:w="1140" w:type="dxa"/>
            <w:vAlign w:val="center"/>
          </w:tcPr>
          <w:p w14:paraId="45BD93F3">
            <w:pPr>
              <w:pStyle w:val="33"/>
              <w:spacing w:before="68" w:line="414" w:lineRule="auto"/>
              <w:ind w:left="134" w:right="134" w:firstLine="22"/>
              <w:jc w:val="center"/>
              <w:rPr>
                <w:sz w:val="24"/>
                <w:szCs w:val="24"/>
                <w:highlight w:val="none"/>
              </w:rPr>
            </w:pPr>
            <w:r>
              <w:rPr>
                <w:spacing w:val="-3"/>
                <w:sz w:val="24"/>
                <w:szCs w:val="24"/>
                <w:highlight w:val="none"/>
              </w:rPr>
              <w:t>投标报价</w:t>
            </w:r>
            <w:r>
              <w:rPr>
                <w:spacing w:val="-8"/>
                <w:sz w:val="24"/>
                <w:szCs w:val="24"/>
                <w:highlight w:val="none"/>
              </w:rPr>
              <w:t>（30</w:t>
            </w:r>
            <w:r>
              <w:rPr>
                <w:spacing w:val="-40"/>
                <w:sz w:val="24"/>
                <w:szCs w:val="24"/>
                <w:highlight w:val="none"/>
              </w:rPr>
              <w:t xml:space="preserve"> </w:t>
            </w:r>
            <w:r>
              <w:rPr>
                <w:spacing w:val="-8"/>
                <w:sz w:val="24"/>
                <w:szCs w:val="24"/>
                <w:highlight w:val="none"/>
              </w:rPr>
              <w:t>分）</w:t>
            </w:r>
          </w:p>
        </w:tc>
        <w:tc>
          <w:tcPr>
            <w:tcW w:w="1230" w:type="dxa"/>
            <w:vAlign w:val="center"/>
          </w:tcPr>
          <w:p w14:paraId="2C6E7A62">
            <w:pPr>
              <w:pStyle w:val="33"/>
              <w:spacing w:before="68" w:line="219" w:lineRule="auto"/>
              <w:ind w:left="200"/>
              <w:jc w:val="center"/>
              <w:rPr>
                <w:sz w:val="24"/>
                <w:szCs w:val="24"/>
                <w:highlight w:val="none"/>
              </w:rPr>
            </w:pPr>
            <w:r>
              <w:rPr>
                <w:spacing w:val="-2"/>
                <w:sz w:val="24"/>
                <w:szCs w:val="24"/>
                <w:highlight w:val="none"/>
              </w:rPr>
              <w:t>投标报价</w:t>
            </w:r>
          </w:p>
        </w:tc>
        <w:tc>
          <w:tcPr>
            <w:tcW w:w="840" w:type="dxa"/>
            <w:vAlign w:val="center"/>
          </w:tcPr>
          <w:p w14:paraId="624A7CBC">
            <w:pPr>
              <w:pStyle w:val="33"/>
              <w:spacing w:before="68" w:line="221" w:lineRule="auto"/>
              <w:ind w:left="191"/>
              <w:jc w:val="center"/>
              <w:rPr>
                <w:sz w:val="24"/>
                <w:szCs w:val="24"/>
                <w:highlight w:val="none"/>
              </w:rPr>
            </w:pPr>
            <w:r>
              <w:rPr>
                <w:spacing w:val="-4"/>
                <w:sz w:val="24"/>
                <w:szCs w:val="24"/>
                <w:highlight w:val="none"/>
              </w:rPr>
              <w:t>30</w:t>
            </w:r>
            <w:r>
              <w:rPr>
                <w:spacing w:val="-42"/>
                <w:sz w:val="24"/>
                <w:szCs w:val="24"/>
                <w:highlight w:val="none"/>
              </w:rPr>
              <w:t xml:space="preserve"> </w:t>
            </w:r>
            <w:r>
              <w:rPr>
                <w:spacing w:val="-4"/>
                <w:sz w:val="24"/>
                <w:szCs w:val="24"/>
                <w:highlight w:val="none"/>
              </w:rPr>
              <w:t>分</w:t>
            </w:r>
          </w:p>
        </w:tc>
        <w:tc>
          <w:tcPr>
            <w:tcW w:w="6252" w:type="dxa"/>
          </w:tcPr>
          <w:p w14:paraId="61F7649E">
            <w:pPr>
              <w:pStyle w:val="33"/>
              <w:spacing w:before="127" w:line="412" w:lineRule="auto"/>
              <w:ind w:left="113" w:right="256" w:firstLine="1"/>
              <w:rPr>
                <w:sz w:val="24"/>
                <w:szCs w:val="24"/>
                <w:highlight w:val="none"/>
                <w:lang w:eastAsia="zh-CN"/>
              </w:rPr>
            </w:pPr>
            <w:r>
              <w:rPr>
                <w:sz w:val="24"/>
                <w:szCs w:val="24"/>
                <w:highlight w:val="none"/>
                <w:lang w:eastAsia="zh-CN"/>
              </w:rPr>
              <w:t>按照《财政部关于加强政府采购货物和服务项目价</w:t>
            </w:r>
            <w:r>
              <w:rPr>
                <w:spacing w:val="-1"/>
                <w:sz w:val="24"/>
                <w:szCs w:val="24"/>
                <w:highlight w:val="none"/>
                <w:lang w:eastAsia="zh-CN"/>
              </w:rPr>
              <w:t>格评审管理的</w:t>
            </w:r>
            <w:r>
              <w:rPr>
                <w:sz w:val="24"/>
                <w:szCs w:val="24"/>
                <w:highlight w:val="none"/>
                <w:lang w:eastAsia="zh-CN"/>
              </w:rPr>
              <w:t>通知》（财库【2007】2 号）规定，综合评分法中的价</w:t>
            </w:r>
            <w:r>
              <w:rPr>
                <w:spacing w:val="-1"/>
                <w:sz w:val="24"/>
                <w:szCs w:val="24"/>
                <w:highlight w:val="none"/>
                <w:lang w:eastAsia="zh-CN"/>
              </w:rPr>
              <w:t>格分用低</w:t>
            </w:r>
            <w:r>
              <w:rPr>
                <w:sz w:val="24"/>
                <w:szCs w:val="24"/>
                <w:highlight w:val="none"/>
                <w:lang w:eastAsia="zh-CN"/>
              </w:rPr>
              <w:t>价优先法计算，即满足招标文件要求且投标价格最低的</w:t>
            </w:r>
            <w:r>
              <w:rPr>
                <w:spacing w:val="-1"/>
                <w:sz w:val="24"/>
                <w:szCs w:val="24"/>
                <w:highlight w:val="none"/>
                <w:lang w:eastAsia="zh-CN"/>
              </w:rPr>
              <w:t>投标报价为评标基准价，其价格分为满分 30 分。</w:t>
            </w:r>
          </w:p>
          <w:p w14:paraId="6F958A18">
            <w:pPr>
              <w:pStyle w:val="33"/>
              <w:spacing w:line="219" w:lineRule="auto"/>
              <w:ind w:left="115"/>
              <w:rPr>
                <w:sz w:val="24"/>
                <w:szCs w:val="24"/>
                <w:highlight w:val="none"/>
                <w:lang w:eastAsia="zh-CN"/>
              </w:rPr>
            </w:pPr>
            <w:r>
              <w:rPr>
                <w:spacing w:val="-1"/>
                <w:sz w:val="24"/>
                <w:szCs w:val="24"/>
                <w:highlight w:val="none"/>
                <w:lang w:eastAsia="zh-CN"/>
              </w:rPr>
              <w:t>投标报价得分=(评标基准价/投标报价)×30</w:t>
            </w:r>
          </w:p>
          <w:p w14:paraId="0C4EBCEF">
            <w:pPr>
              <w:pStyle w:val="33"/>
              <w:spacing w:before="127" w:line="412" w:lineRule="auto"/>
              <w:ind w:left="113" w:right="256" w:firstLine="1"/>
              <w:rPr>
                <w:sz w:val="24"/>
                <w:szCs w:val="24"/>
                <w:highlight w:val="none"/>
                <w:lang w:eastAsia="zh-CN"/>
              </w:rPr>
            </w:pPr>
            <w:r>
              <w:rPr>
                <w:sz w:val="24"/>
                <w:szCs w:val="24"/>
                <w:highlight w:val="none"/>
                <w:lang w:eastAsia="zh-CN"/>
              </w:rPr>
              <w:t>注：1.根据《政府采购促进中小企业发展管理办法》（财库﹝2020﹞46 号）及《三门峡市财政局关于进一步优化提升政府采购营商环境有关事项通知》（三财购（2021）14 号）及《三门峡市财政局关于进一步加大政府采购支持中小企业发展有关事项的通知》（三财购（2022）9 号）的规定，对小型、微型企业的价格给予 10%～20%的扣除，本项目小型、微型企业按 20%扣除。对于中型企业的价格不予扣除。</w:t>
            </w:r>
          </w:p>
          <w:p w14:paraId="3FDC2B5A">
            <w:pPr>
              <w:pStyle w:val="33"/>
              <w:spacing w:before="127" w:line="412" w:lineRule="auto"/>
              <w:ind w:left="113" w:right="256" w:firstLine="1"/>
              <w:rPr>
                <w:sz w:val="24"/>
                <w:szCs w:val="24"/>
                <w:highlight w:val="none"/>
                <w:lang w:eastAsia="zh-CN"/>
              </w:rPr>
            </w:pPr>
            <w:r>
              <w:rPr>
                <w:sz w:val="24"/>
                <w:szCs w:val="24"/>
                <w:highlight w:val="none"/>
                <w:lang w:eastAsia="zh-CN"/>
              </w:rPr>
              <w:t>所投小微企业报价=所投小微企业报价×（1-20%）</w:t>
            </w:r>
          </w:p>
          <w:p w14:paraId="2B964D7B">
            <w:pPr>
              <w:pStyle w:val="33"/>
              <w:spacing w:before="127" w:line="412" w:lineRule="auto"/>
              <w:ind w:left="113" w:right="256" w:firstLine="1"/>
              <w:rPr>
                <w:sz w:val="24"/>
                <w:szCs w:val="24"/>
                <w:highlight w:val="none"/>
                <w:lang w:eastAsia="zh-CN"/>
              </w:rPr>
            </w:pPr>
            <w:r>
              <w:rPr>
                <w:sz w:val="24"/>
                <w:szCs w:val="24"/>
                <w:highlight w:val="none"/>
                <w:lang w:eastAsia="zh-CN"/>
              </w:rPr>
              <w:t>2.根据财政部司法部《关于政府采购支持监狱企业发展有关问题的通知》（财库〔2014〕68 号）规定，对于监狱企业视同为小型、微型企业，价格给予 20%的扣除。</w:t>
            </w:r>
          </w:p>
          <w:p w14:paraId="22BA237C">
            <w:pPr>
              <w:pStyle w:val="33"/>
              <w:spacing w:line="219" w:lineRule="auto"/>
              <w:ind w:left="113"/>
              <w:rPr>
                <w:sz w:val="24"/>
                <w:szCs w:val="24"/>
                <w:highlight w:val="none"/>
                <w:lang w:eastAsia="zh-CN"/>
              </w:rPr>
            </w:pPr>
            <w:r>
              <w:rPr>
                <w:spacing w:val="-1"/>
                <w:sz w:val="24"/>
                <w:szCs w:val="24"/>
                <w:highlight w:val="none"/>
                <w:lang w:eastAsia="zh-CN"/>
              </w:rPr>
              <w:t>所投监狱企业报价=所投监狱企业报价×（1-20%）</w:t>
            </w:r>
          </w:p>
          <w:p w14:paraId="6E73CA4E">
            <w:pPr>
              <w:pStyle w:val="33"/>
              <w:spacing w:before="218" w:line="412" w:lineRule="auto"/>
              <w:ind w:left="112" w:right="256" w:firstLine="5"/>
              <w:rPr>
                <w:sz w:val="24"/>
                <w:szCs w:val="24"/>
                <w:highlight w:val="none"/>
                <w:lang w:eastAsia="zh-CN"/>
              </w:rPr>
            </w:pPr>
            <w:r>
              <w:rPr>
                <w:sz w:val="24"/>
                <w:szCs w:val="24"/>
                <w:highlight w:val="none"/>
                <w:lang w:eastAsia="zh-CN"/>
              </w:rPr>
              <w:t>3.根据财政部民政部中国残疾人联合会《关于</w:t>
            </w:r>
            <w:r>
              <w:rPr>
                <w:spacing w:val="-1"/>
                <w:sz w:val="24"/>
                <w:szCs w:val="24"/>
                <w:highlight w:val="none"/>
                <w:lang w:eastAsia="zh-CN"/>
              </w:rPr>
              <w:t>促进残疾人就业政</w:t>
            </w:r>
            <w:r>
              <w:rPr>
                <w:sz w:val="24"/>
                <w:szCs w:val="24"/>
                <w:highlight w:val="none"/>
                <w:lang w:eastAsia="zh-CN"/>
              </w:rPr>
              <w:t>府采购政策的通知》（财库〔2017〕141 号）规定，对于</w:t>
            </w:r>
            <w:r>
              <w:rPr>
                <w:spacing w:val="-1"/>
                <w:sz w:val="24"/>
                <w:szCs w:val="24"/>
                <w:highlight w:val="none"/>
                <w:lang w:eastAsia="zh-CN"/>
              </w:rPr>
              <w:t>残疾人</w:t>
            </w:r>
            <w:r>
              <w:rPr>
                <w:sz w:val="24"/>
                <w:szCs w:val="24"/>
                <w:highlight w:val="none"/>
                <w:lang w:eastAsia="zh-CN"/>
              </w:rPr>
              <w:t>福利性单位视同为小型、微型企业，价格给予 20%的扣</w:t>
            </w:r>
            <w:r>
              <w:rPr>
                <w:spacing w:val="-1"/>
                <w:sz w:val="24"/>
                <w:szCs w:val="24"/>
                <w:highlight w:val="none"/>
                <w:lang w:eastAsia="zh-CN"/>
              </w:rPr>
              <w:t>除。</w:t>
            </w:r>
          </w:p>
          <w:p w14:paraId="2DADEFE5">
            <w:pPr>
              <w:pStyle w:val="33"/>
              <w:spacing w:before="1" w:line="411" w:lineRule="auto"/>
              <w:ind w:left="113" w:right="361"/>
              <w:rPr>
                <w:sz w:val="24"/>
                <w:szCs w:val="24"/>
                <w:highlight w:val="none"/>
                <w:lang w:eastAsia="zh-CN"/>
              </w:rPr>
            </w:pPr>
            <w:r>
              <w:rPr>
                <w:sz w:val="24"/>
                <w:szCs w:val="24"/>
                <w:highlight w:val="none"/>
                <w:lang w:eastAsia="zh-CN"/>
              </w:rPr>
              <w:t>所投残疾人福利性单位企业报价=所投残疾人福利性</w:t>
            </w:r>
            <w:r>
              <w:rPr>
                <w:spacing w:val="-1"/>
                <w:sz w:val="24"/>
                <w:szCs w:val="24"/>
                <w:highlight w:val="none"/>
                <w:lang w:eastAsia="zh-CN"/>
              </w:rPr>
              <w:t>单位企业报价×（1-20%）</w:t>
            </w:r>
          </w:p>
          <w:p w14:paraId="5642A76F">
            <w:pPr>
              <w:pStyle w:val="33"/>
              <w:spacing w:before="1" w:line="352" w:lineRule="auto"/>
              <w:ind w:left="116" w:right="256" w:firstLine="17"/>
              <w:rPr>
                <w:spacing w:val="-1"/>
                <w:sz w:val="24"/>
                <w:szCs w:val="24"/>
                <w:highlight w:val="none"/>
                <w:lang w:eastAsia="zh-CN"/>
              </w:rPr>
            </w:pPr>
            <w:r>
              <w:rPr>
                <w:spacing w:val="-1"/>
                <w:sz w:val="24"/>
                <w:szCs w:val="24"/>
                <w:highlight w:val="none"/>
                <w:lang w:eastAsia="zh-CN"/>
              </w:rPr>
              <w:t>同一供应商，中小微企业、监狱企业、残疾人福利性单位的价格扣除优惠只享受一次，不得重复享受。</w:t>
            </w:r>
          </w:p>
          <w:p w14:paraId="090B7BE3">
            <w:pPr>
              <w:pStyle w:val="33"/>
              <w:spacing w:before="132" w:line="388" w:lineRule="auto"/>
              <w:ind w:left="113" w:right="102" w:firstLine="2"/>
              <w:jc w:val="both"/>
              <w:rPr>
                <w:sz w:val="24"/>
                <w:szCs w:val="24"/>
                <w:highlight w:val="none"/>
                <w:lang w:eastAsia="zh-CN"/>
              </w:rPr>
            </w:pPr>
            <w:r>
              <w:rPr>
                <w:spacing w:val="-2"/>
                <w:sz w:val="24"/>
                <w:szCs w:val="24"/>
                <w:highlight w:val="none"/>
                <w:lang w:eastAsia="zh-CN"/>
              </w:rPr>
              <w:t>备注：评标委员会认为投标人的报价明显低于其他通过</w:t>
            </w:r>
            <w:r>
              <w:rPr>
                <w:spacing w:val="-3"/>
                <w:sz w:val="24"/>
                <w:szCs w:val="24"/>
                <w:highlight w:val="none"/>
                <w:lang w:eastAsia="zh-CN"/>
              </w:rPr>
              <w:t>符合性审查</w:t>
            </w:r>
            <w:r>
              <w:rPr>
                <w:spacing w:val="-2"/>
                <w:sz w:val="24"/>
                <w:szCs w:val="24"/>
                <w:highlight w:val="none"/>
                <w:lang w:eastAsia="zh-CN"/>
              </w:rPr>
              <w:t>投标人的报价，有可能影响产品质量或者不能诚信履约的，应</w:t>
            </w:r>
            <w:r>
              <w:rPr>
                <w:spacing w:val="-3"/>
                <w:sz w:val="24"/>
                <w:szCs w:val="24"/>
                <w:highlight w:val="none"/>
                <w:lang w:eastAsia="zh-CN"/>
              </w:rPr>
              <w:t>当要</w:t>
            </w:r>
            <w:r>
              <w:rPr>
                <w:spacing w:val="-2"/>
                <w:sz w:val="24"/>
                <w:szCs w:val="24"/>
                <w:highlight w:val="none"/>
                <w:lang w:eastAsia="zh-CN"/>
              </w:rPr>
              <w:t>求其在评标现场合理的时间内提供书面说明，必要时提交相关</w:t>
            </w:r>
            <w:r>
              <w:rPr>
                <w:spacing w:val="-3"/>
                <w:sz w:val="24"/>
                <w:szCs w:val="24"/>
                <w:highlight w:val="none"/>
                <w:lang w:eastAsia="zh-CN"/>
              </w:rPr>
              <w:t>证明</w:t>
            </w:r>
            <w:r>
              <w:rPr>
                <w:spacing w:val="-2"/>
                <w:sz w:val="24"/>
                <w:szCs w:val="24"/>
                <w:highlight w:val="none"/>
                <w:lang w:eastAsia="zh-CN"/>
              </w:rPr>
              <w:t>材料；投标人不能证明其报价合理性的，评标委员会应当将</w:t>
            </w:r>
            <w:r>
              <w:rPr>
                <w:spacing w:val="-3"/>
                <w:sz w:val="24"/>
                <w:szCs w:val="24"/>
                <w:highlight w:val="none"/>
                <w:lang w:eastAsia="zh-CN"/>
              </w:rPr>
              <w:t>其作为无效投标处理。</w:t>
            </w:r>
          </w:p>
        </w:tc>
      </w:tr>
      <w:tr w14:paraId="137D8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1" w:hRule="atLeast"/>
        </w:trPr>
        <w:tc>
          <w:tcPr>
            <w:tcW w:w="1140" w:type="dxa"/>
            <w:vMerge w:val="restart"/>
            <w:tcBorders>
              <w:bottom w:val="nil"/>
            </w:tcBorders>
            <w:vAlign w:val="center"/>
          </w:tcPr>
          <w:p w14:paraId="2E57ABA7">
            <w:pPr>
              <w:pStyle w:val="33"/>
              <w:spacing w:before="68" w:line="414" w:lineRule="auto"/>
              <w:ind w:left="134" w:right="134" w:firstLine="20"/>
              <w:jc w:val="center"/>
              <w:rPr>
                <w:sz w:val="24"/>
                <w:szCs w:val="24"/>
                <w:highlight w:val="none"/>
              </w:rPr>
            </w:pPr>
            <w:r>
              <w:rPr>
                <w:spacing w:val="-2"/>
                <w:sz w:val="24"/>
                <w:szCs w:val="24"/>
                <w:highlight w:val="none"/>
              </w:rPr>
              <w:t>技术部分</w:t>
            </w:r>
            <w:r>
              <w:rPr>
                <w:spacing w:val="-8"/>
                <w:sz w:val="24"/>
                <w:szCs w:val="24"/>
                <w:highlight w:val="none"/>
              </w:rPr>
              <w:t>（5</w:t>
            </w:r>
            <w:r>
              <w:rPr>
                <w:rFonts w:hint="eastAsia"/>
                <w:spacing w:val="-8"/>
                <w:sz w:val="24"/>
                <w:szCs w:val="24"/>
                <w:highlight w:val="none"/>
                <w:lang w:eastAsia="zh-CN"/>
              </w:rPr>
              <w:t>0</w:t>
            </w:r>
            <w:r>
              <w:rPr>
                <w:spacing w:val="-8"/>
                <w:sz w:val="24"/>
                <w:szCs w:val="24"/>
                <w:highlight w:val="none"/>
              </w:rPr>
              <w:t>分）</w:t>
            </w:r>
          </w:p>
        </w:tc>
        <w:tc>
          <w:tcPr>
            <w:tcW w:w="1230" w:type="dxa"/>
            <w:vAlign w:val="center"/>
          </w:tcPr>
          <w:p w14:paraId="103ABEAC">
            <w:pPr>
              <w:pStyle w:val="33"/>
              <w:spacing w:before="217" w:line="221" w:lineRule="auto"/>
              <w:jc w:val="center"/>
              <w:rPr>
                <w:sz w:val="24"/>
                <w:szCs w:val="24"/>
                <w:highlight w:val="none"/>
              </w:rPr>
            </w:pPr>
            <w:r>
              <w:rPr>
                <w:spacing w:val="-2"/>
                <w:sz w:val="24"/>
                <w:szCs w:val="24"/>
                <w:highlight w:val="none"/>
              </w:rPr>
              <w:t>森林抚育实施方案</w:t>
            </w:r>
          </w:p>
        </w:tc>
        <w:tc>
          <w:tcPr>
            <w:tcW w:w="840" w:type="dxa"/>
            <w:vAlign w:val="center"/>
          </w:tcPr>
          <w:p w14:paraId="2D357292">
            <w:pPr>
              <w:pStyle w:val="33"/>
              <w:spacing w:before="68" w:line="221" w:lineRule="auto"/>
              <w:ind w:left="241"/>
              <w:jc w:val="center"/>
              <w:rPr>
                <w:sz w:val="24"/>
                <w:szCs w:val="24"/>
                <w:highlight w:val="none"/>
              </w:rPr>
            </w:pPr>
            <w:r>
              <w:rPr>
                <w:rFonts w:hint="eastAsia"/>
                <w:spacing w:val="-5"/>
                <w:sz w:val="24"/>
                <w:szCs w:val="24"/>
                <w:highlight w:val="none"/>
                <w:lang w:eastAsia="zh-CN"/>
              </w:rPr>
              <w:t>15</w:t>
            </w:r>
            <w:r>
              <w:rPr>
                <w:spacing w:val="-5"/>
                <w:sz w:val="24"/>
                <w:szCs w:val="24"/>
                <w:highlight w:val="none"/>
              </w:rPr>
              <w:t>分</w:t>
            </w:r>
          </w:p>
        </w:tc>
        <w:tc>
          <w:tcPr>
            <w:tcW w:w="6252" w:type="dxa"/>
          </w:tcPr>
          <w:p w14:paraId="517C18B0">
            <w:pPr>
              <w:pStyle w:val="33"/>
              <w:spacing w:before="132" w:line="360" w:lineRule="auto"/>
              <w:ind w:left="113" w:right="102" w:firstLine="2"/>
              <w:jc w:val="both"/>
              <w:rPr>
                <w:spacing w:val="-2"/>
                <w:sz w:val="24"/>
                <w:szCs w:val="24"/>
                <w:highlight w:val="none"/>
                <w:lang w:eastAsia="zh-CN"/>
              </w:rPr>
            </w:pPr>
            <w:r>
              <w:rPr>
                <w:spacing w:val="-2"/>
                <w:sz w:val="24"/>
                <w:szCs w:val="24"/>
                <w:highlight w:val="none"/>
                <w:lang w:eastAsia="zh-CN"/>
              </w:rPr>
              <w:t>根据本项目服务要求，对供应商结合本项目实际情况制定的森林抚育实施方案进行打分：</w:t>
            </w:r>
          </w:p>
          <w:p w14:paraId="722DBD60">
            <w:pPr>
              <w:pStyle w:val="33"/>
              <w:spacing w:before="132" w:line="360" w:lineRule="auto"/>
              <w:ind w:left="113" w:right="102" w:firstLine="2"/>
              <w:jc w:val="both"/>
              <w:rPr>
                <w:spacing w:val="-2"/>
                <w:sz w:val="24"/>
                <w:szCs w:val="24"/>
                <w:highlight w:val="none"/>
                <w:lang w:eastAsia="zh-CN"/>
              </w:rPr>
            </w:pPr>
            <w:r>
              <w:rPr>
                <w:spacing w:val="-2"/>
                <w:sz w:val="24"/>
                <w:szCs w:val="24"/>
                <w:highlight w:val="none"/>
                <w:lang w:eastAsia="zh-CN"/>
              </w:rPr>
              <w:t>1、根据供应商提供的森林抚育实施方案，内容编制全面、合理、方案思路清晰、措施完善、科学、可行性强、针对性强，得</w:t>
            </w:r>
            <w:r>
              <w:rPr>
                <w:rFonts w:hint="eastAsia"/>
                <w:spacing w:val="-2"/>
                <w:sz w:val="24"/>
                <w:szCs w:val="24"/>
                <w:highlight w:val="none"/>
                <w:lang w:eastAsia="zh-CN"/>
              </w:rPr>
              <w:t>15</w:t>
            </w:r>
            <w:r>
              <w:rPr>
                <w:spacing w:val="-2"/>
                <w:sz w:val="24"/>
                <w:szCs w:val="24"/>
                <w:highlight w:val="none"/>
                <w:lang w:eastAsia="zh-CN"/>
              </w:rPr>
              <w:t>分；</w:t>
            </w:r>
          </w:p>
          <w:p w14:paraId="3BD79C57">
            <w:pPr>
              <w:pStyle w:val="33"/>
              <w:spacing w:before="132" w:line="360" w:lineRule="auto"/>
              <w:ind w:left="113" w:right="102" w:firstLine="2"/>
              <w:jc w:val="both"/>
              <w:rPr>
                <w:spacing w:val="-2"/>
                <w:sz w:val="24"/>
                <w:szCs w:val="24"/>
                <w:highlight w:val="none"/>
                <w:lang w:eastAsia="zh-CN"/>
              </w:rPr>
            </w:pPr>
            <w:r>
              <w:rPr>
                <w:spacing w:val="-2"/>
                <w:sz w:val="24"/>
                <w:szCs w:val="24"/>
                <w:highlight w:val="none"/>
                <w:lang w:eastAsia="zh-CN"/>
              </w:rPr>
              <w:t>2、根据供应商提供的森林抚育实施方案，内容编制基本全面、较合理、方案思路较清晰、措施较完善、较科学、可行性一般、针对性较强，得</w:t>
            </w:r>
            <w:r>
              <w:rPr>
                <w:rFonts w:hint="eastAsia"/>
                <w:spacing w:val="-2"/>
                <w:sz w:val="24"/>
                <w:szCs w:val="24"/>
                <w:highlight w:val="none"/>
                <w:lang w:eastAsia="zh-CN"/>
              </w:rPr>
              <w:t>10</w:t>
            </w:r>
            <w:r>
              <w:rPr>
                <w:spacing w:val="-2"/>
                <w:sz w:val="24"/>
                <w:szCs w:val="24"/>
                <w:highlight w:val="none"/>
                <w:lang w:eastAsia="zh-CN"/>
              </w:rPr>
              <w:t>分；</w:t>
            </w:r>
          </w:p>
          <w:p w14:paraId="3426E831">
            <w:pPr>
              <w:pStyle w:val="33"/>
              <w:spacing w:before="132" w:line="360" w:lineRule="auto"/>
              <w:ind w:left="113" w:right="102" w:firstLine="2"/>
              <w:jc w:val="both"/>
              <w:rPr>
                <w:spacing w:val="-2"/>
                <w:sz w:val="24"/>
                <w:szCs w:val="24"/>
                <w:highlight w:val="none"/>
                <w:lang w:eastAsia="zh-CN"/>
              </w:rPr>
            </w:pPr>
            <w:r>
              <w:rPr>
                <w:spacing w:val="-2"/>
                <w:sz w:val="24"/>
                <w:szCs w:val="24"/>
                <w:highlight w:val="none"/>
                <w:lang w:eastAsia="zh-CN"/>
              </w:rPr>
              <w:t>3、根据供应商提供的森林抚育实施方案，内容编制一般全面、合理、欠合理、方案思路欠清晰、措施欠完善、欠科学、可行性差、针对性一般，得5分；</w:t>
            </w:r>
          </w:p>
          <w:p w14:paraId="7EFA2B57">
            <w:pPr>
              <w:pStyle w:val="33"/>
              <w:spacing w:before="132" w:line="360" w:lineRule="auto"/>
              <w:ind w:left="113" w:right="102" w:firstLine="2"/>
              <w:jc w:val="both"/>
              <w:rPr>
                <w:sz w:val="24"/>
                <w:szCs w:val="24"/>
                <w:highlight w:val="none"/>
              </w:rPr>
            </w:pPr>
            <w:r>
              <w:rPr>
                <w:spacing w:val="-1"/>
                <w:sz w:val="24"/>
                <w:szCs w:val="24"/>
                <w:highlight w:val="none"/>
              </w:rPr>
              <w:t>缺项不得分。</w:t>
            </w:r>
          </w:p>
        </w:tc>
      </w:tr>
      <w:tr w14:paraId="474F7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3" w:hRule="atLeast"/>
        </w:trPr>
        <w:tc>
          <w:tcPr>
            <w:tcW w:w="1140" w:type="dxa"/>
            <w:vMerge w:val="continue"/>
            <w:tcBorders>
              <w:top w:val="nil"/>
              <w:bottom w:val="nil"/>
            </w:tcBorders>
          </w:tcPr>
          <w:p w14:paraId="31A6146C">
            <w:pPr>
              <w:rPr>
                <w:sz w:val="24"/>
                <w:szCs w:val="24"/>
                <w:highlight w:val="none"/>
              </w:rPr>
            </w:pPr>
          </w:p>
        </w:tc>
        <w:tc>
          <w:tcPr>
            <w:tcW w:w="1230" w:type="dxa"/>
            <w:tcBorders>
              <w:bottom w:val="single" w:color="000000" w:sz="4" w:space="0"/>
            </w:tcBorders>
            <w:vAlign w:val="center"/>
          </w:tcPr>
          <w:p w14:paraId="0A7F9906">
            <w:pPr>
              <w:pStyle w:val="33"/>
              <w:spacing w:before="217" w:line="221" w:lineRule="auto"/>
              <w:jc w:val="center"/>
              <w:rPr>
                <w:sz w:val="24"/>
                <w:szCs w:val="24"/>
                <w:highlight w:val="none"/>
              </w:rPr>
            </w:pPr>
            <w:r>
              <w:rPr>
                <w:rFonts w:hint="eastAsia"/>
                <w:spacing w:val="-2"/>
                <w:sz w:val="24"/>
                <w:szCs w:val="24"/>
                <w:highlight w:val="none"/>
                <w:lang w:eastAsia="zh-CN"/>
              </w:rPr>
              <w:t>合理化建议</w:t>
            </w:r>
          </w:p>
        </w:tc>
        <w:tc>
          <w:tcPr>
            <w:tcW w:w="840" w:type="dxa"/>
            <w:tcBorders>
              <w:bottom w:val="single" w:color="000000" w:sz="4" w:space="0"/>
            </w:tcBorders>
            <w:vAlign w:val="center"/>
          </w:tcPr>
          <w:p w14:paraId="493D5630">
            <w:pPr>
              <w:pStyle w:val="33"/>
              <w:spacing w:before="68" w:line="221" w:lineRule="auto"/>
              <w:ind w:left="245"/>
              <w:jc w:val="center"/>
              <w:rPr>
                <w:sz w:val="24"/>
                <w:szCs w:val="24"/>
                <w:highlight w:val="none"/>
              </w:rPr>
            </w:pPr>
            <w:r>
              <w:rPr>
                <w:spacing w:val="-7"/>
                <w:sz w:val="24"/>
                <w:szCs w:val="24"/>
                <w:highlight w:val="none"/>
              </w:rPr>
              <w:t>7</w:t>
            </w:r>
            <w:r>
              <w:rPr>
                <w:spacing w:val="-42"/>
                <w:sz w:val="24"/>
                <w:szCs w:val="24"/>
                <w:highlight w:val="none"/>
              </w:rPr>
              <w:t xml:space="preserve"> </w:t>
            </w:r>
            <w:r>
              <w:rPr>
                <w:spacing w:val="-7"/>
                <w:sz w:val="24"/>
                <w:szCs w:val="24"/>
                <w:highlight w:val="none"/>
              </w:rPr>
              <w:t>分</w:t>
            </w:r>
          </w:p>
        </w:tc>
        <w:tc>
          <w:tcPr>
            <w:tcW w:w="6252" w:type="dxa"/>
            <w:tcBorders>
              <w:bottom w:val="single" w:color="000000" w:sz="4" w:space="0"/>
            </w:tcBorders>
          </w:tcPr>
          <w:p w14:paraId="0B0B72D8">
            <w:pPr>
              <w:pStyle w:val="33"/>
              <w:spacing w:before="132" w:line="360" w:lineRule="auto"/>
              <w:ind w:left="113" w:right="102" w:firstLine="2"/>
              <w:jc w:val="both"/>
              <w:rPr>
                <w:spacing w:val="-2"/>
                <w:sz w:val="24"/>
                <w:szCs w:val="24"/>
                <w:highlight w:val="none"/>
                <w:lang w:eastAsia="zh-CN"/>
              </w:rPr>
            </w:pPr>
            <w:r>
              <w:rPr>
                <w:rFonts w:hint="eastAsia"/>
                <w:spacing w:val="-2"/>
                <w:sz w:val="24"/>
                <w:szCs w:val="24"/>
                <w:highlight w:val="none"/>
                <w:lang w:eastAsia="zh-CN"/>
              </w:rPr>
              <w:t>根据本项目实际情况，提出合理化建议：</w:t>
            </w:r>
          </w:p>
          <w:p w14:paraId="67DE20F2">
            <w:pPr>
              <w:pStyle w:val="33"/>
              <w:spacing w:before="132" w:line="360" w:lineRule="auto"/>
              <w:ind w:left="113" w:right="102" w:firstLine="2"/>
              <w:jc w:val="both"/>
              <w:rPr>
                <w:spacing w:val="-2"/>
                <w:sz w:val="24"/>
                <w:szCs w:val="24"/>
                <w:highlight w:val="none"/>
                <w:lang w:eastAsia="zh-CN"/>
              </w:rPr>
            </w:pPr>
            <w:r>
              <w:rPr>
                <w:rFonts w:hint="eastAsia"/>
                <w:spacing w:val="-2"/>
                <w:sz w:val="24"/>
                <w:szCs w:val="24"/>
                <w:highlight w:val="none"/>
                <w:lang w:eastAsia="zh-CN"/>
              </w:rPr>
              <w:t>合理化建议</w:t>
            </w:r>
            <w:r>
              <w:rPr>
                <w:spacing w:val="-2"/>
                <w:sz w:val="24"/>
                <w:szCs w:val="24"/>
                <w:highlight w:val="none"/>
                <w:lang w:eastAsia="zh-CN"/>
              </w:rPr>
              <w:t>内容详实，科学、合理，考虑周全，措施到位，针对性强，充分满足项目需要得 7 分。</w:t>
            </w:r>
          </w:p>
          <w:p w14:paraId="7FDA83BD">
            <w:pPr>
              <w:pStyle w:val="33"/>
              <w:spacing w:before="132" w:line="360" w:lineRule="auto"/>
              <w:ind w:left="113" w:right="102" w:firstLine="2"/>
              <w:jc w:val="both"/>
              <w:rPr>
                <w:spacing w:val="-2"/>
                <w:sz w:val="24"/>
                <w:szCs w:val="24"/>
                <w:highlight w:val="none"/>
                <w:lang w:eastAsia="zh-CN"/>
              </w:rPr>
            </w:pPr>
            <w:r>
              <w:rPr>
                <w:spacing w:val="-2"/>
                <w:sz w:val="24"/>
                <w:szCs w:val="24"/>
                <w:highlight w:val="none"/>
                <w:lang w:eastAsia="zh-CN"/>
              </w:rPr>
              <w:t>内容完整，基本满足项目的需要得 4 分。</w:t>
            </w:r>
          </w:p>
          <w:p w14:paraId="407F101F">
            <w:pPr>
              <w:pStyle w:val="33"/>
              <w:spacing w:before="132" w:line="360" w:lineRule="auto"/>
              <w:ind w:left="113" w:right="102" w:firstLine="2"/>
              <w:jc w:val="both"/>
              <w:rPr>
                <w:sz w:val="24"/>
                <w:szCs w:val="24"/>
                <w:highlight w:val="none"/>
                <w:lang w:eastAsia="zh-CN"/>
              </w:rPr>
            </w:pPr>
            <w:r>
              <w:rPr>
                <w:spacing w:val="-2"/>
                <w:sz w:val="24"/>
                <w:szCs w:val="24"/>
                <w:highlight w:val="none"/>
                <w:lang w:eastAsia="zh-CN"/>
              </w:rPr>
              <w:t>内容基本完整，满足项目需要有所</w:t>
            </w:r>
            <w:r>
              <w:rPr>
                <w:spacing w:val="-4"/>
                <w:sz w:val="24"/>
                <w:szCs w:val="24"/>
                <w:highlight w:val="none"/>
                <w:lang w:eastAsia="zh-CN"/>
              </w:rPr>
              <w:t>欠缺得</w:t>
            </w:r>
            <w:r>
              <w:rPr>
                <w:spacing w:val="-21"/>
                <w:sz w:val="24"/>
                <w:szCs w:val="24"/>
                <w:highlight w:val="none"/>
                <w:lang w:eastAsia="zh-CN"/>
              </w:rPr>
              <w:t xml:space="preserve"> </w:t>
            </w:r>
            <w:r>
              <w:rPr>
                <w:spacing w:val="-4"/>
                <w:sz w:val="24"/>
                <w:szCs w:val="24"/>
                <w:highlight w:val="none"/>
                <w:lang w:eastAsia="zh-CN"/>
              </w:rPr>
              <w:t>1</w:t>
            </w:r>
            <w:r>
              <w:rPr>
                <w:spacing w:val="-42"/>
                <w:sz w:val="24"/>
                <w:szCs w:val="24"/>
                <w:highlight w:val="none"/>
                <w:lang w:eastAsia="zh-CN"/>
              </w:rPr>
              <w:t xml:space="preserve"> </w:t>
            </w:r>
            <w:r>
              <w:rPr>
                <w:spacing w:val="-4"/>
                <w:sz w:val="24"/>
                <w:szCs w:val="24"/>
                <w:highlight w:val="none"/>
                <w:lang w:eastAsia="zh-CN"/>
              </w:rPr>
              <w:t>分。</w:t>
            </w:r>
          </w:p>
          <w:p w14:paraId="64EFEC5A">
            <w:pPr>
              <w:pStyle w:val="33"/>
              <w:spacing w:before="165" w:line="221" w:lineRule="auto"/>
              <w:ind w:left="113"/>
              <w:rPr>
                <w:sz w:val="24"/>
                <w:szCs w:val="24"/>
                <w:highlight w:val="none"/>
              </w:rPr>
            </w:pPr>
            <w:r>
              <w:rPr>
                <w:spacing w:val="-1"/>
                <w:sz w:val="24"/>
                <w:szCs w:val="24"/>
                <w:highlight w:val="none"/>
              </w:rPr>
              <w:t>缺项不得分。</w:t>
            </w:r>
          </w:p>
        </w:tc>
      </w:tr>
      <w:tr w14:paraId="2B204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1140" w:type="dxa"/>
            <w:vMerge w:val="continue"/>
            <w:tcBorders>
              <w:top w:val="nil"/>
              <w:bottom w:val="nil"/>
            </w:tcBorders>
          </w:tcPr>
          <w:p w14:paraId="3A1C244E">
            <w:pPr>
              <w:rPr>
                <w:sz w:val="24"/>
                <w:szCs w:val="24"/>
                <w:highlight w:val="none"/>
              </w:rPr>
            </w:pPr>
          </w:p>
        </w:tc>
        <w:tc>
          <w:tcPr>
            <w:tcW w:w="1230" w:type="dxa"/>
            <w:tcBorders>
              <w:top w:val="single" w:color="000000" w:sz="4" w:space="0"/>
            </w:tcBorders>
            <w:vAlign w:val="center"/>
          </w:tcPr>
          <w:p w14:paraId="0B49ED27">
            <w:pPr>
              <w:pStyle w:val="33"/>
              <w:spacing w:before="217" w:line="221" w:lineRule="auto"/>
              <w:jc w:val="center"/>
              <w:rPr>
                <w:sz w:val="24"/>
                <w:szCs w:val="24"/>
                <w:highlight w:val="none"/>
              </w:rPr>
            </w:pPr>
            <w:r>
              <w:rPr>
                <w:spacing w:val="-2"/>
                <w:sz w:val="24"/>
                <w:szCs w:val="24"/>
                <w:highlight w:val="none"/>
              </w:rPr>
              <w:t>设备配备计划</w:t>
            </w:r>
          </w:p>
        </w:tc>
        <w:tc>
          <w:tcPr>
            <w:tcW w:w="840" w:type="dxa"/>
            <w:tcBorders>
              <w:top w:val="single" w:color="000000" w:sz="4" w:space="0"/>
            </w:tcBorders>
            <w:vAlign w:val="center"/>
          </w:tcPr>
          <w:p w14:paraId="5EED4CD3">
            <w:pPr>
              <w:pStyle w:val="33"/>
              <w:spacing w:before="69" w:line="221" w:lineRule="auto"/>
              <w:ind w:left="245"/>
              <w:jc w:val="center"/>
              <w:rPr>
                <w:sz w:val="24"/>
                <w:szCs w:val="24"/>
                <w:highlight w:val="none"/>
              </w:rPr>
            </w:pPr>
            <w:r>
              <w:rPr>
                <w:spacing w:val="-7"/>
                <w:sz w:val="24"/>
                <w:szCs w:val="24"/>
                <w:highlight w:val="none"/>
              </w:rPr>
              <w:t>7</w:t>
            </w:r>
            <w:r>
              <w:rPr>
                <w:spacing w:val="-42"/>
                <w:sz w:val="24"/>
                <w:szCs w:val="24"/>
                <w:highlight w:val="none"/>
              </w:rPr>
              <w:t xml:space="preserve"> </w:t>
            </w:r>
            <w:r>
              <w:rPr>
                <w:spacing w:val="-7"/>
                <w:sz w:val="24"/>
                <w:szCs w:val="24"/>
                <w:highlight w:val="none"/>
              </w:rPr>
              <w:t>分</w:t>
            </w:r>
          </w:p>
        </w:tc>
        <w:tc>
          <w:tcPr>
            <w:tcW w:w="6252" w:type="dxa"/>
            <w:tcBorders>
              <w:top w:val="single" w:color="000000" w:sz="4" w:space="0"/>
            </w:tcBorders>
          </w:tcPr>
          <w:p w14:paraId="5A85BBE2">
            <w:pPr>
              <w:pStyle w:val="33"/>
              <w:spacing w:before="132" w:line="388" w:lineRule="auto"/>
              <w:ind w:left="113" w:right="102" w:firstLine="2"/>
              <w:jc w:val="both"/>
              <w:rPr>
                <w:spacing w:val="-2"/>
                <w:sz w:val="24"/>
                <w:szCs w:val="24"/>
                <w:highlight w:val="none"/>
                <w:lang w:eastAsia="zh-CN"/>
              </w:rPr>
            </w:pPr>
            <w:r>
              <w:rPr>
                <w:spacing w:val="-2"/>
                <w:sz w:val="24"/>
                <w:szCs w:val="24"/>
                <w:highlight w:val="none"/>
                <w:lang w:eastAsia="zh-CN"/>
              </w:rPr>
              <w:t>根据本项目实际情况、</w:t>
            </w:r>
            <w:r>
              <w:rPr>
                <w:rFonts w:hint="eastAsia"/>
                <w:spacing w:val="-2"/>
                <w:sz w:val="24"/>
                <w:szCs w:val="24"/>
                <w:highlight w:val="none"/>
                <w:lang w:val="en-US" w:eastAsia="zh-CN"/>
              </w:rPr>
              <w:t>实施周期</w:t>
            </w:r>
            <w:r>
              <w:rPr>
                <w:spacing w:val="-2"/>
                <w:sz w:val="24"/>
                <w:szCs w:val="24"/>
                <w:highlight w:val="none"/>
                <w:lang w:eastAsia="zh-CN"/>
              </w:rPr>
              <w:t xml:space="preserve">要求及其它要求，从安全与质量要求等方面合理配备设备，配备设备计划合理，能够最大发挥设备使用效率的。设备配备全面、计划合理 </w:t>
            </w:r>
            <w:r>
              <w:rPr>
                <w:rFonts w:hint="eastAsia"/>
                <w:spacing w:val="-2"/>
                <w:sz w:val="24"/>
                <w:szCs w:val="24"/>
                <w:highlight w:val="none"/>
                <w:lang w:eastAsia="zh-CN"/>
              </w:rPr>
              <w:t>7</w:t>
            </w:r>
            <w:r>
              <w:rPr>
                <w:spacing w:val="-2"/>
                <w:sz w:val="24"/>
                <w:szCs w:val="24"/>
                <w:highlight w:val="none"/>
                <w:lang w:eastAsia="zh-CN"/>
              </w:rPr>
              <w:t xml:space="preserve"> 分，</w:t>
            </w:r>
          </w:p>
          <w:p w14:paraId="4984BB83">
            <w:pPr>
              <w:pStyle w:val="33"/>
              <w:spacing w:before="132" w:line="388" w:lineRule="auto"/>
              <w:ind w:left="113" w:right="102" w:firstLine="2"/>
              <w:jc w:val="both"/>
              <w:rPr>
                <w:spacing w:val="-2"/>
                <w:sz w:val="24"/>
                <w:szCs w:val="24"/>
                <w:highlight w:val="none"/>
                <w:lang w:eastAsia="zh-CN"/>
              </w:rPr>
            </w:pPr>
            <w:r>
              <w:rPr>
                <w:spacing w:val="-2"/>
                <w:sz w:val="24"/>
                <w:szCs w:val="24"/>
                <w:highlight w:val="none"/>
                <w:lang w:eastAsia="zh-CN"/>
              </w:rPr>
              <w:t>设备配备基本全面、计划合理得 4分，</w:t>
            </w:r>
          </w:p>
          <w:p w14:paraId="067C2E93">
            <w:pPr>
              <w:pStyle w:val="33"/>
              <w:spacing w:before="132" w:line="388" w:lineRule="auto"/>
              <w:ind w:left="113" w:right="102" w:firstLine="2"/>
              <w:jc w:val="both"/>
              <w:rPr>
                <w:spacing w:val="-2"/>
                <w:sz w:val="24"/>
                <w:szCs w:val="24"/>
                <w:highlight w:val="none"/>
                <w:lang w:eastAsia="zh-CN"/>
              </w:rPr>
            </w:pPr>
            <w:r>
              <w:rPr>
                <w:spacing w:val="-2"/>
                <w:sz w:val="24"/>
                <w:szCs w:val="24"/>
                <w:highlight w:val="none"/>
                <w:lang w:eastAsia="zh-CN"/>
              </w:rPr>
              <w:t xml:space="preserve">设备配备简单、计划粗略得 </w:t>
            </w:r>
            <w:r>
              <w:rPr>
                <w:rFonts w:hint="eastAsia"/>
                <w:spacing w:val="-2"/>
                <w:sz w:val="24"/>
                <w:szCs w:val="24"/>
                <w:highlight w:val="none"/>
                <w:lang w:eastAsia="zh-CN"/>
              </w:rPr>
              <w:t>1</w:t>
            </w:r>
            <w:r>
              <w:rPr>
                <w:spacing w:val="-2"/>
                <w:sz w:val="24"/>
                <w:szCs w:val="24"/>
                <w:highlight w:val="none"/>
                <w:lang w:eastAsia="zh-CN"/>
              </w:rPr>
              <w:t xml:space="preserve"> 分。</w:t>
            </w:r>
          </w:p>
          <w:p w14:paraId="3DCDC54A">
            <w:pPr>
              <w:pStyle w:val="33"/>
              <w:spacing w:before="132" w:line="388" w:lineRule="auto"/>
              <w:ind w:left="113" w:right="102" w:firstLine="2"/>
              <w:jc w:val="both"/>
              <w:rPr>
                <w:sz w:val="24"/>
                <w:szCs w:val="24"/>
                <w:highlight w:val="none"/>
              </w:rPr>
            </w:pPr>
            <w:r>
              <w:rPr>
                <w:spacing w:val="-2"/>
                <w:sz w:val="24"/>
                <w:szCs w:val="24"/>
                <w:highlight w:val="none"/>
              </w:rPr>
              <w:t>缺项不得分。</w:t>
            </w:r>
          </w:p>
        </w:tc>
      </w:tr>
      <w:tr w14:paraId="690DD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3" w:hRule="atLeast"/>
        </w:trPr>
        <w:tc>
          <w:tcPr>
            <w:tcW w:w="1140" w:type="dxa"/>
            <w:vMerge w:val="continue"/>
            <w:tcBorders>
              <w:top w:val="nil"/>
              <w:bottom w:val="nil"/>
            </w:tcBorders>
          </w:tcPr>
          <w:p w14:paraId="6D492F5D">
            <w:pPr>
              <w:rPr>
                <w:sz w:val="24"/>
                <w:szCs w:val="24"/>
                <w:highlight w:val="none"/>
              </w:rPr>
            </w:pPr>
          </w:p>
        </w:tc>
        <w:tc>
          <w:tcPr>
            <w:tcW w:w="1230" w:type="dxa"/>
            <w:vAlign w:val="center"/>
          </w:tcPr>
          <w:p w14:paraId="172AFAFB">
            <w:pPr>
              <w:pStyle w:val="33"/>
              <w:spacing w:before="217" w:line="221" w:lineRule="auto"/>
              <w:jc w:val="center"/>
              <w:rPr>
                <w:spacing w:val="-2"/>
                <w:sz w:val="24"/>
                <w:szCs w:val="24"/>
                <w:highlight w:val="none"/>
                <w:lang w:eastAsia="zh-CN"/>
              </w:rPr>
            </w:pPr>
            <w:r>
              <w:rPr>
                <w:rFonts w:hint="eastAsia"/>
                <w:spacing w:val="-2"/>
                <w:sz w:val="24"/>
                <w:szCs w:val="24"/>
                <w:highlight w:val="none"/>
                <w:lang w:eastAsia="zh-CN"/>
              </w:rPr>
              <w:t>项目进度计划、质量及其他保证措施</w:t>
            </w:r>
          </w:p>
        </w:tc>
        <w:tc>
          <w:tcPr>
            <w:tcW w:w="840" w:type="dxa"/>
            <w:vAlign w:val="center"/>
          </w:tcPr>
          <w:p w14:paraId="0FFAC86D">
            <w:pPr>
              <w:pStyle w:val="33"/>
              <w:spacing w:before="68" w:line="221" w:lineRule="auto"/>
              <w:ind w:left="245"/>
              <w:jc w:val="center"/>
              <w:rPr>
                <w:sz w:val="24"/>
                <w:szCs w:val="24"/>
                <w:highlight w:val="none"/>
              </w:rPr>
            </w:pPr>
            <w:r>
              <w:rPr>
                <w:spacing w:val="-7"/>
                <w:sz w:val="24"/>
                <w:szCs w:val="24"/>
                <w:highlight w:val="none"/>
              </w:rPr>
              <w:t>7</w:t>
            </w:r>
            <w:r>
              <w:rPr>
                <w:spacing w:val="-42"/>
                <w:sz w:val="24"/>
                <w:szCs w:val="24"/>
                <w:highlight w:val="none"/>
              </w:rPr>
              <w:t xml:space="preserve"> </w:t>
            </w:r>
            <w:r>
              <w:rPr>
                <w:spacing w:val="-7"/>
                <w:sz w:val="24"/>
                <w:szCs w:val="24"/>
                <w:highlight w:val="none"/>
              </w:rPr>
              <w:t>分</w:t>
            </w:r>
          </w:p>
        </w:tc>
        <w:tc>
          <w:tcPr>
            <w:tcW w:w="6252" w:type="dxa"/>
          </w:tcPr>
          <w:p w14:paraId="24C834D0">
            <w:pPr>
              <w:pStyle w:val="33"/>
              <w:spacing w:before="132" w:line="360" w:lineRule="auto"/>
              <w:ind w:left="113" w:right="102" w:firstLine="2"/>
              <w:jc w:val="both"/>
              <w:rPr>
                <w:spacing w:val="-2"/>
                <w:sz w:val="24"/>
                <w:szCs w:val="24"/>
                <w:highlight w:val="none"/>
                <w:lang w:eastAsia="zh-CN"/>
              </w:rPr>
            </w:pPr>
            <w:r>
              <w:rPr>
                <w:rFonts w:hint="eastAsia"/>
                <w:spacing w:val="-2"/>
                <w:sz w:val="24"/>
                <w:szCs w:val="24"/>
                <w:highlight w:val="none"/>
                <w:lang w:eastAsia="zh-CN"/>
              </w:rPr>
              <w:t>根据本项目</w:t>
            </w:r>
            <w:r>
              <w:rPr>
                <w:rFonts w:hint="eastAsia"/>
                <w:spacing w:val="-2"/>
                <w:sz w:val="24"/>
                <w:szCs w:val="24"/>
                <w:highlight w:val="none"/>
                <w:lang w:val="en-US" w:eastAsia="zh-CN"/>
              </w:rPr>
              <w:t>实际</w:t>
            </w:r>
            <w:r>
              <w:rPr>
                <w:rFonts w:hint="eastAsia"/>
                <w:spacing w:val="-2"/>
                <w:sz w:val="24"/>
                <w:szCs w:val="24"/>
                <w:highlight w:val="none"/>
                <w:lang w:eastAsia="zh-CN"/>
              </w:rPr>
              <w:t xml:space="preserve">情况、质量及其它要求，进度计划科学合理，质量及其他保证措施切实可行得 </w:t>
            </w:r>
            <w:r>
              <w:rPr>
                <w:spacing w:val="-2"/>
                <w:sz w:val="24"/>
                <w:szCs w:val="24"/>
                <w:highlight w:val="none"/>
                <w:lang w:eastAsia="zh-CN"/>
              </w:rPr>
              <w:t>7 分。</w:t>
            </w:r>
          </w:p>
          <w:p w14:paraId="7722E094">
            <w:pPr>
              <w:pStyle w:val="33"/>
              <w:spacing w:before="132" w:line="360" w:lineRule="auto"/>
              <w:ind w:left="113" w:right="102" w:firstLine="2"/>
              <w:jc w:val="both"/>
              <w:rPr>
                <w:spacing w:val="-2"/>
                <w:sz w:val="24"/>
                <w:szCs w:val="24"/>
                <w:highlight w:val="none"/>
                <w:lang w:eastAsia="zh-CN"/>
              </w:rPr>
            </w:pPr>
            <w:r>
              <w:rPr>
                <w:spacing w:val="-2"/>
                <w:sz w:val="24"/>
                <w:szCs w:val="24"/>
                <w:highlight w:val="none"/>
                <w:lang w:eastAsia="zh-CN"/>
              </w:rPr>
              <w:t>内容完整，基本满足项目的需要得 4 分。</w:t>
            </w:r>
          </w:p>
          <w:p w14:paraId="53FEBA08">
            <w:pPr>
              <w:pStyle w:val="33"/>
              <w:spacing w:before="132" w:line="360" w:lineRule="auto"/>
              <w:ind w:left="113" w:right="102" w:firstLine="2"/>
              <w:jc w:val="both"/>
              <w:rPr>
                <w:spacing w:val="-2"/>
                <w:sz w:val="24"/>
                <w:szCs w:val="24"/>
                <w:highlight w:val="none"/>
                <w:lang w:eastAsia="zh-CN"/>
              </w:rPr>
            </w:pPr>
            <w:r>
              <w:rPr>
                <w:spacing w:val="-2"/>
                <w:sz w:val="24"/>
                <w:szCs w:val="24"/>
                <w:highlight w:val="none"/>
                <w:lang w:eastAsia="zh-CN"/>
              </w:rPr>
              <w:t>内容基本完整，满足项目需要有所欠缺得 1 分。</w:t>
            </w:r>
          </w:p>
          <w:p w14:paraId="2069CA00">
            <w:pPr>
              <w:pStyle w:val="33"/>
              <w:spacing w:before="132" w:line="360" w:lineRule="auto"/>
              <w:ind w:left="113" w:right="102" w:firstLine="2"/>
              <w:jc w:val="both"/>
              <w:rPr>
                <w:sz w:val="24"/>
                <w:szCs w:val="24"/>
                <w:highlight w:val="none"/>
              </w:rPr>
            </w:pPr>
            <w:r>
              <w:rPr>
                <w:spacing w:val="-2"/>
                <w:sz w:val="24"/>
                <w:szCs w:val="24"/>
                <w:highlight w:val="none"/>
                <w:lang w:eastAsia="zh-CN"/>
              </w:rPr>
              <w:t>缺项不得分。</w:t>
            </w:r>
          </w:p>
        </w:tc>
      </w:tr>
      <w:tr w14:paraId="588BE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9" w:hRule="atLeast"/>
        </w:trPr>
        <w:tc>
          <w:tcPr>
            <w:tcW w:w="1140" w:type="dxa"/>
            <w:vMerge w:val="continue"/>
            <w:tcBorders>
              <w:top w:val="nil"/>
              <w:bottom w:val="nil"/>
            </w:tcBorders>
          </w:tcPr>
          <w:p w14:paraId="49CD32DA">
            <w:pPr>
              <w:rPr>
                <w:sz w:val="24"/>
                <w:szCs w:val="24"/>
                <w:highlight w:val="none"/>
              </w:rPr>
            </w:pPr>
          </w:p>
        </w:tc>
        <w:tc>
          <w:tcPr>
            <w:tcW w:w="1230" w:type="dxa"/>
            <w:vAlign w:val="center"/>
          </w:tcPr>
          <w:p w14:paraId="02C86505">
            <w:pPr>
              <w:pStyle w:val="33"/>
              <w:spacing w:before="217" w:line="221" w:lineRule="auto"/>
              <w:jc w:val="center"/>
              <w:rPr>
                <w:spacing w:val="-2"/>
                <w:sz w:val="24"/>
                <w:szCs w:val="24"/>
                <w:highlight w:val="none"/>
              </w:rPr>
            </w:pPr>
            <w:r>
              <w:rPr>
                <w:spacing w:val="-2"/>
                <w:sz w:val="24"/>
                <w:szCs w:val="24"/>
                <w:highlight w:val="none"/>
              </w:rPr>
              <w:t>安全保障措施及承诺</w:t>
            </w:r>
          </w:p>
        </w:tc>
        <w:tc>
          <w:tcPr>
            <w:tcW w:w="840" w:type="dxa"/>
            <w:vAlign w:val="center"/>
          </w:tcPr>
          <w:p w14:paraId="64D0D803">
            <w:pPr>
              <w:pStyle w:val="33"/>
              <w:spacing w:before="68" w:line="221" w:lineRule="auto"/>
              <w:ind w:left="245"/>
              <w:rPr>
                <w:sz w:val="24"/>
                <w:szCs w:val="24"/>
                <w:highlight w:val="none"/>
              </w:rPr>
            </w:pPr>
            <w:r>
              <w:rPr>
                <w:spacing w:val="-7"/>
                <w:sz w:val="24"/>
                <w:szCs w:val="24"/>
                <w:highlight w:val="none"/>
              </w:rPr>
              <w:t>7</w:t>
            </w:r>
            <w:r>
              <w:rPr>
                <w:spacing w:val="-42"/>
                <w:sz w:val="24"/>
                <w:szCs w:val="24"/>
                <w:highlight w:val="none"/>
              </w:rPr>
              <w:t xml:space="preserve"> </w:t>
            </w:r>
            <w:r>
              <w:rPr>
                <w:spacing w:val="-7"/>
                <w:sz w:val="24"/>
                <w:szCs w:val="24"/>
                <w:highlight w:val="none"/>
              </w:rPr>
              <w:t>分</w:t>
            </w:r>
          </w:p>
        </w:tc>
        <w:tc>
          <w:tcPr>
            <w:tcW w:w="6252" w:type="dxa"/>
          </w:tcPr>
          <w:p w14:paraId="2BD03302">
            <w:pPr>
              <w:pStyle w:val="33"/>
              <w:spacing w:before="241" w:line="351" w:lineRule="auto"/>
              <w:ind w:left="113" w:right="94"/>
              <w:rPr>
                <w:sz w:val="24"/>
                <w:szCs w:val="24"/>
                <w:highlight w:val="none"/>
                <w:lang w:eastAsia="zh-CN"/>
              </w:rPr>
            </w:pPr>
            <w:r>
              <w:rPr>
                <w:sz w:val="24"/>
                <w:szCs w:val="24"/>
                <w:highlight w:val="none"/>
                <w:lang w:eastAsia="zh-CN"/>
              </w:rPr>
              <w:t>根据供应商针对本项目提供的安全保障措施及承诺，建立有完善的安全责任制度，并承诺承担全部安全事故责任等内容进行打分</w:t>
            </w:r>
            <w:r>
              <w:rPr>
                <w:rFonts w:hint="eastAsia"/>
                <w:sz w:val="24"/>
                <w:szCs w:val="24"/>
                <w:highlight w:val="none"/>
                <w:lang w:eastAsia="zh-CN"/>
              </w:rPr>
              <w:t>。</w:t>
            </w:r>
          </w:p>
          <w:p w14:paraId="35B6C4A6">
            <w:pPr>
              <w:pStyle w:val="33"/>
              <w:spacing w:before="241" w:line="351" w:lineRule="auto"/>
              <w:ind w:left="113" w:right="94"/>
              <w:rPr>
                <w:sz w:val="24"/>
                <w:szCs w:val="24"/>
                <w:highlight w:val="none"/>
                <w:lang w:eastAsia="zh-CN"/>
              </w:rPr>
            </w:pPr>
            <w:r>
              <w:rPr>
                <w:sz w:val="24"/>
                <w:szCs w:val="24"/>
                <w:highlight w:val="none"/>
                <w:lang w:eastAsia="zh-CN"/>
              </w:rPr>
              <w:t xml:space="preserve">1、根据供应商提供的安全保障措施及承诺，内容全面、合理、切实可行，针对性强，得 </w:t>
            </w:r>
            <w:r>
              <w:rPr>
                <w:rFonts w:hint="eastAsia"/>
                <w:sz w:val="24"/>
                <w:szCs w:val="24"/>
                <w:highlight w:val="none"/>
                <w:lang w:eastAsia="zh-CN"/>
              </w:rPr>
              <w:t>7</w:t>
            </w:r>
            <w:r>
              <w:rPr>
                <w:sz w:val="24"/>
                <w:szCs w:val="24"/>
                <w:highlight w:val="none"/>
                <w:lang w:eastAsia="zh-CN"/>
              </w:rPr>
              <w:t xml:space="preserve"> 分；</w:t>
            </w:r>
          </w:p>
          <w:p w14:paraId="422619BF">
            <w:pPr>
              <w:pStyle w:val="33"/>
              <w:spacing w:before="241" w:line="351" w:lineRule="auto"/>
              <w:ind w:left="113" w:right="94"/>
              <w:rPr>
                <w:sz w:val="24"/>
                <w:szCs w:val="24"/>
                <w:highlight w:val="none"/>
                <w:lang w:eastAsia="zh-CN"/>
              </w:rPr>
            </w:pPr>
            <w:r>
              <w:rPr>
                <w:sz w:val="24"/>
                <w:szCs w:val="24"/>
                <w:highlight w:val="none"/>
                <w:lang w:eastAsia="zh-CN"/>
              </w:rPr>
              <w:t xml:space="preserve">2、根据供应商提供的安全保障措施及承诺，内容基本全面、合理、切实可行，针对性较强，得 </w:t>
            </w:r>
            <w:r>
              <w:rPr>
                <w:rFonts w:hint="eastAsia"/>
                <w:sz w:val="24"/>
                <w:szCs w:val="24"/>
                <w:highlight w:val="none"/>
                <w:lang w:eastAsia="zh-CN"/>
              </w:rPr>
              <w:t>4</w:t>
            </w:r>
            <w:r>
              <w:rPr>
                <w:sz w:val="24"/>
                <w:szCs w:val="24"/>
                <w:highlight w:val="none"/>
                <w:lang w:eastAsia="zh-CN"/>
              </w:rPr>
              <w:t xml:space="preserve"> 分；</w:t>
            </w:r>
          </w:p>
          <w:p w14:paraId="50FFDD52">
            <w:pPr>
              <w:pStyle w:val="33"/>
              <w:spacing w:before="270" w:line="220" w:lineRule="auto"/>
              <w:ind w:left="138"/>
              <w:rPr>
                <w:sz w:val="24"/>
                <w:szCs w:val="24"/>
                <w:highlight w:val="none"/>
                <w:lang w:eastAsia="zh-CN"/>
              </w:rPr>
            </w:pPr>
            <w:r>
              <w:rPr>
                <w:rFonts w:hint="eastAsia"/>
                <w:spacing w:val="-4"/>
                <w:sz w:val="24"/>
                <w:szCs w:val="24"/>
                <w:highlight w:val="none"/>
                <w:lang w:eastAsia="zh-CN"/>
              </w:rPr>
              <w:t>3、</w:t>
            </w:r>
            <w:r>
              <w:rPr>
                <w:spacing w:val="-4"/>
                <w:sz w:val="24"/>
                <w:szCs w:val="24"/>
                <w:highlight w:val="none"/>
                <w:lang w:eastAsia="zh-CN"/>
              </w:rPr>
              <w:t>内容基本完整，满足项目需要有所欠缺得</w:t>
            </w:r>
            <w:r>
              <w:rPr>
                <w:spacing w:val="-21"/>
                <w:sz w:val="24"/>
                <w:szCs w:val="24"/>
                <w:highlight w:val="none"/>
                <w:lang w:eastAsia="zh-CN"/>
              </w:rPr>
              <w:t xml:space="preserve"> </w:t>
            </w:r>
            <w:r>
              <w:rPr>
                <w:spacing w:val="-4"/>
                <w:sz w:val="24"/>
                <w:szCs w:val="24"/>
                <w:highlight w:val="none"/>
                <w:lang w:eastAsia="zh-CN"/>
              </w:rPr>
              <w:t>1</w:t>
            </w:r>
            <w:r>
              <w:rPr>
                <w:spacing w:val="-42"/>
                <w:sz w:val="24"/>
                <w:szCs w:val="24"/>
                <w:highlight w:val="none"/>
                <w:lang w:eastAsia="zh-CN"/>
              </w:rPr>
              <w:t xml:space="preserve"> </w:t>
            </w:r>
            <w:r>
              <w:rPr>
                <w:spacing w:val="-4"/>
                <w:sz w:val="24"/>
                <w:szCs w:val="24"/>
                <w:highlight w:val="none"/>
                <w:lang w:eastAsia="zh-CN"/>
              </w:rPr>
              <w:t>分。</w:t>
            </w:r>
          </w:p>
          <w:p w14:paraId="2D8CFB83">
            <w:pPr>
              <w:pStyle w:val="33"/>
              <w:spacing w:before="241" w:line="351" w:lineRule="auto"/>
              <w:ind w:left="113" w:right="94"/>
              <w:rPr>
                <w:sz w:val="24"/>
                <w:szCs w:val="24"/>
                <w:highlight w:val="none"/>
              </w:rPr>
            </w:pPr>
            <w:r>
              <w:rPr>
                <w:spacing w:val="-1"/>
                <w:sz w:val="24"/>
                <w:szCs w:val="24"/>
                <w:highlight w:val="none"/>
              </w:rPr>
              <w:t>缺项不得分。</w:t>
            </w:r>
          </w:p>
        </w:tc>
      </w:tr>
      <w:tr w14:paraId="0F788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1" w:hRule="atLeast"/>
        </w:trPr>
        <w:tc>
          <w:tcPr>
            <w:tcW w:w="1140" w:type="dxa"/>
            <w:tcBorders>
              <w:top w:val="nil"/>
              <w:bottom w:val="single" w:color="auto" w:sz="4" w:space="0"/>
            </w:tcBorders>
          </w:tcPr>
          <w:p w14:paraId="6CB32118">
            <w:pPr>
              <w:rPr>
                <w:sz w:val="24"/>
                <w:szCs w:val="24"/>
                <w:highlight w:val="none"/>
              </w:rPr>
            </w:pPr>
          </w:p>
        </w:tc>
        <w:tc>
          <w:tcPr>
            <w:tcW w:w="1230" w:type="dxa"/>
            <w:vAlign w:val="center"/>
          </w:tcPr>
          <w:p w14:paraId="2130D9DF">
            <w:pPr>
              <w:pStyle w:val="33"/>
              <w:spacing w:before="217" w:line="221" w:lineRule="auto"/>
              <w:jc w:val="center"/>
              <w:rPr>
                <w:spacing w:val="-2"/>
                <w:sz w:val="24"/>
                <w:szCs w:val="24"/>
                <w:highlight w:val="none"/>
                <w:lang w:eastAsia="zh-CN"/>
              </w:rPr>
            </w:pPr>
            <w:r>
              <w:rPr>
                <w:spacing w:val="-2"/>
                <w:sz w:val="24"/>
                <w:szCs w:val="24"/>
                <w:highlight w:val="none"/>
                <w:lang w:eastAsia="zh-CN"/>
              </w:rPr>
              <w:t>环境保护</w:t>
            </w:r>
          </w:p>
          <w:p w14:paraId="4C619FF0">
            <w:pPr>
              <w:pStyle w:val="33"/>
              <w:spacing w:before="217" w:line="221" w:lineRule="auto"/>
              <w:jc w:val="center"/>
              <w:rPr>
                <w:spacing w:val="-2"/>
                <w:sz w:val="24"/>
                <w:szCs w:val="24"/>
                <w:highlight w:val="none"/>
                <w:lang w:eastAsia="zh-CN"/>
              </w:rPr>
            </w:pPr>
            <w:r>
              <w:rPr>
                <w:spacing w:val="-2"/>
                <w:sz w:val="24"/>
                <w:szCs w:val="24"/>
                <w:highlight w:val="none"/>
                <w:lang w:eastAsia="zh-CN"/>
              </w:rPr>
              <w:t>管理体系</w:t>
            </w:r>
          </w:p>
          <w:p w14:paraId="2C9E266C">
            <w:pPr>
              <w:pStyle w:val="33"/>
              <w:spacing w:before="217" w:line="221" w:lineRule="auto"/>
              <w:jc w:val="center"/>
              <w:rPr>
                <w:sz w:val="24"/>
                <w:szCs w:val="24"/>
                <w:highlight w:val="none"/>
                <w:lang w:eastAsia="zh-CN"/>
              </w:rPr>
            </w:pPr>
            <w:r>
              <w:rPr>
                <w:spacing w:val="-2"/>
                <w:sz w:val="24"/>
                <w:szCs w:val="24"/>
                <w:highlight w:val="none"/>
                <w:lang w:eastAsia="zh-CN"/>
              </w:rPr>
              <w:t>与措施</w:t>
            </w:r>
          </w:p>
        </w:tc>
        <w:tc>
          <w:tcPr>
            <w:tcW w:w="840" w:type="dxa"/>
            <w:vAlign w:val="center"/>
          </w:tcPr>
          <w:p w14:paraId="636FD5FD">
            <w:pPr>
              <w:pStyle w:val="33"/>
              <w:spacing w:before="68" w:line="221" w:lineRule="auto"/>
              <w:ind w:left="245"/>
              <w:jc w:val="center"/>
              <w:rPr>
                <w:spacing w:val="-7"/>
                <w:sz w:val="24"/>
                <w:szCs w:val="24"/>
                <w:highlight w:val="none"/>
              </w:rPr>
            </w:pPr>
            <w:r>
              <w:rPr>
                <w:spacing w:val="-7"/>
                <w:sz w:val="24"/>
                <w:szCs w:val="24"/>
                <w:highlight w:val="none"/>
              </w:rPr>
              <w:t>7</w:t>
            </w:r>
            <w:r>
              <w:rPr>
                <w:spacing w:val="-42"/>
                <w:sz w:val="24"/>
                <w:szCs w:val="24"/>
                <w:highlight w:val="none"/>
              </w:rPr>
              <w:t xml:space="preserve"> </w:t>
            </w:r>
            <w:r>
              <w:rPr>
                <w:spacing w:val="-7"/>
                <w:sz w:val="24"/>
                <w:szCs w:val="24"/>
                <w:highlight w:val="none"/>
              </w:rPr>
              <w:t>分</w:t>
            </w:r>
          </w:p>
        </w:tc>
        <w:tc>
          <w:tcPr>
            <w:tcW w:w="6252" w:type="dxa"/>
          </w:tcPr>
          <w:p w14:paraId="15C63FA8">
            <w:pPr>
              <w:pStyle w:val="33"/>
              <w:spacing w:before="234" w:line="457" w:lineRule="auto"/>
              <w:ind w:left="118" w:right="102" w:hanging="5"/>
              <w:rPr>
                <w:sz w:val="24"/>
                <w:szCs w:val="24"/>
                <w:highlight w:val="none"/>
                <w:lang w:eastAsia="zh-CN"/>
              </w:rPr>
            </w:pPr>
            <w:r>
              <w:rPr>
                <w:spacing w:val="-2"/>
                <w:sz w:val="24"/>
                <w:szCs w:val="24"/>
                <w:highlight w:val="none"/>
                <w:lang w:eastAsia="zh-CN"/>
              </w:rPr>
              <w:t>环境保护管理体系与措施内容详实，科学、合理，考虑周全</w:t>
            </w:r>
            <w:r>
              <w:rPr>
                <w:spacing w:val="-3"/>
                <w:sz w:val="24"/>
                <w:szCs w:val="24"/>
                <w:highlight w:val="none"/>
                <w:lang w:eastAsia="zh-CN"/>
              </w:rPr>
              <w:t>，措施到位，针对性强，充分满足项目需要，得</w:t>
            </w:r>
            <w:r>
              <w:rPr>
                <w:spacing w:val="-22"/>
                <w:sz w:val="24"/>
                <w:szCs w:val="24"/>
                <w:highlight w:val="none"/>
                <w:lang w:eastAsia="zh-CN"/>
              </w:rPr>
              <w:t xml:space="preserve"> </w:t>
            </w:r>
            <w:r>
              <w:rPr>
                <w:spacing w:val="-3"/>
                <w:sz w:val="24"/>
                <w:szCs w:val="24"/>
                <w:highlight w:val="none"/>
                <w:lang w:eastAsia="zh-CN"/>
              </w:rPr>
              <w:t>7</w:t>
            </w:r>
            <w:r>
              <w:rPr>
                <w:spacing w:val="-42"/>
                <w:sz w:val="24"/>
                <w:szCs w:val="24"/>
                <w:highlight w:val="none"/>
                <w:lang w:eastAsia="zh-CN"/>
              </w:rPr>
              <w:t xml:space="preserve"> </w:t>
            </w:r>
            <w:r>
              <w:rPr>
                <w:spacing w:val="-3"/>
                <w:sz w:val="24"/>
                <w:szCs w:val="24"/>
                <w:highlight w:val="none"/>
                <w:lang w:eastAsia="zh-CN"/>
              </w:rPr>
              <w:t>分。</w:t>
            </w:r>
          </w:p>
          <w:p w14:paraId="12B55552">
            <w:pPr>
              <w:pStyle w:val="33"/>
              <w:spacing w:line="219" w:lineRule="auto"/>
              <w:ind w:left="138"/>
              <w:rPr>
                <w:sz w:val="24"/>
                <w:szCs w:val="24"/>
                <w:highlight w:val="none"/>
                <w:lang w:eastAsia="zh-CN"/>
              </w:rPr>
            </w:pPr>
            <w:r>
              <w:rPr>
                <w:spacing w:val="-4"/>
                <w:sz w:val="24"/>
                <w:szCs w:val="24"/>
                <w:highlight w:val="none"/>
                <w:lang w:eastAsia="zh-CN"/>
              </w:rPr>
              <w:t>内容完整，基本满足项目的需要得</w:t>
            </w:r>
            <w:r>
              <w:rPr>
                <w:spacing w:val="-31"/>
                <w:sz w:val="24"/>
                <w:szCs w:val="24"/>
                <w:highlight w:val="none"/>
                <w:lang w:eastAsia="zh-CN"/>
              </w:rPr>
              <w:t xml:space="preserve"> </w:t>
            </w:r>
            <w:r>
              <w:rPr>
                <w:spacing w:val="-4"/>
                <w:sz w:val="24"/>
                <w:szCs w:val="24"/>
                <w:highlight w:val="none"/>
                <w:lang w:eastAsia="zh-CN"/>
              </w:rPr>
              <w:t>4</w:t>
            </w:r>
            <w:r>
              <w:rPr>
                <w:spacing w:val="-44"/>
                <w:sz w:val="24"/>
                <w:szCs w:val="24"/>
                <w:highlight w:val="none"/>
                <w:lang w:eastAsia="zh-CN"/>
              </w:rPr>
              <w:t xml:space="preserve"> </w:t>
            </w:r>
            <w:r>
              <w:rPr>
                <w:spacing w:val="-4"/>
                <w:sz w:val="24"/>
                <w:szCs w:val="24"/>
                <w:highlight w:val="none"/>
                <w:lang w:eastAsia="zh-CN"/>
              </w:rPr>
              <w:t>分。</w:t>
            </w:r>
          </w:p>
          <w:p w14:paraId="55ECA60B">
            <w:pPr>
              <w:pStyle w:val="33"/>
              <w:spacing w:before="270" w:line="220" w:lineRule="auto"/>
              <w:ind w:left="138"/>
              <w:rPr>
                <w:sz w:val="24"/>
                <w:szCs w:val="24"/>
                <w:highlight w:val="none"/>
                <w:lang w:eastAsia="zh-CN"/>
              </w:rPr>
            </w:pPr>
            <w:r>
              <w:rPr>
                <w:spacing w:val="-4"/>
                <w:sz w:val="24"/>
                <w:szCs w:val="24"/>
                <w:highlight w:val="none"/>
                <w:lang w:eastAsia="zh-CN"/>
              </w:rPr>
              <w:t>内容基本完整，满足项目需要有所欠缺得</w:t>
            </w:r>
            <w:r>
              <w:rPr>
                <w:spacing w:val="-21"/>
                <w:sz w:val="24"/>
                <w:szCs w:val="24"/>
                <w:highlight w:val="none"/>
                <w:lang w:eastAsia="zh-CN"/>
              </w:rPr>
              <w:t xml:space="preserve"> </w:t>
            </w:r>
            <w:r>
              <w:rPr>
                <w:spacing w:val="-4"/>
                <w:sz w:val="24"/>
                <w:szCs w:val="24"/>
                <w:highlight w:val="none"/>
                <w:lang w:eastAsia="zh-CN"/>
              </w:rPr>
              <w:t>1</w:t>
            </w:r>
            <w:r>
              <w:rPr>
                <w:spacing w:val="-42"/>
                <w:sz w:val="24"/>
                <w:szCs w:val="24"/>
                <w:highlight w:val="none"/>
                <w:lang w:eastAsia="zh-CN"/>
              </w:rPr>
              <w:t xml:space="preserve"> </w:t>
            </w:r>
            <w:r>
              <w:rPr>
                <w:spacing w:val="-4"/>
                <w:sz w:val="24"/>
                <w:szCs w:val="24"/>
                <w:highlight w:val="none"/>
                <w:lang w:eastAsia="zh-CN"/>
              </w:rPr>
              <w:t>分。</w:t>
            </w:r>
          </w:p>
          <w:p w14:paraId="63FB2333">
            <w:pPr>
              <w:pStyle w:val="33"/>
              <w:spacing w:before="270" w:line="221" w:lineRule="auto"/>
              <w:ind w:left="113"/>
              <w:rPr>
                <w:sz w:val="24"/>
                <w:szCs w:val="24"/>
                <w:highlight w:val="none"/>
              </w:rPr>
            </w:pPr>
            <w:r>
              <w:rPr>
                <w:spacing w:val="-1"/>
                <w:sz w:val="24"/>
                <w:szCs w:val="24"/>
                <w:highlight w:val="none"/>
              </w:rPr>
              <w:t>缺项不得分。</w:t>
            </w:r>
          </w:p>
        </w:tc>
      </w:tr>
      <w:tr w14:paraId="49704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1" w:hRule="atLeast"/>
        </w:trPr>
        <w:tc>
          <w:tcPr>
            <w:tcW w:w="1140" w:type="dxa"/>
            <w:vMerge w:val="restart"/>
            <w:tcBorders>
              <w:top w:val="single" w:color="auto" w:sz="4" w:space="0"/>
              <w:left w:val="single" w:color="auto" w:sz="4" w:space="0"/>
              <w:right w:val="single" w:color="auto" w:sz="4" w:space="0"/>
            </w:tcBorders>
            <w:vAlign w:val="center"/>
          </w:tcPr>
          <w:p w14:paraId="6D493922">
            <w:pPr>
              <w:rPr>
                <w:rFonts w:eastAsia="宋体"/>
                <w:sz w:val="24"/>
                <w:szCs w:val="24"/>
                <w:highlight w:val="none"/>
                <w:lang w:eastAsia="zh-CN"/>
              </w:rPr>
            </w:pPr>
            <w:r>
              <w:rPr>
                <w:rFonts w:hint="eastAsia" w:eastAsia="宋体"/>
                <w:spacing w:val="-2"/>
                <w:sz w:val="24"/>
                <w:szCs w:val="24"/>
                <w:highlight w:val="none"/>
                <w:lang w:eastAsia="zh-CN"/>
              </w:rPr>
              <w:t>商务</w:t>
            </w:r>
            <w:r>
              <w:rPr>
                <w:spacing w:val="-2"/>
                <w:sz w:val="24"/>
                <w:szCs w:val="24"/>
                <w:highlight w:val="none"/>
              </w:rPr>
              <w:t>部分</w:t>
            </w:r>
            <w:r>
              <w:rPr>
                <w:rFonts w:hint="eastAsia" w:eastAsia="宋体"/>
                <w:spacing w:val="-2"/>
                <w:sz w:val="24"/>
                <w:szCs w:val="24"/>
                <w:highlight w:val="none"/>
                <w:lang w:eastAsia="zh-CN"/>
              </w:rPr>
              <w:t>（20分）</w:t>
            </w:r>
          </w:p>
        </w:tc>
        <w:tc>
          <w:tcPr>
            <w:tcW w:w="1230" w:type="dxa"/>
            <w:tcBorders>
              <w:left w:val="single" w:color="auto" w:sz="4" w:space="0"/>
            </w:tcBorders>
            <w:vAlign w:val="center"/>
          </w:tcPr>
          <w:p w14:paraId="1A0A65E6">
            <w:pPr>
              <w:pStyle w:val="33"/>
              <w:spacing w:before="217" w:line="221" w:lineRule="auto"/>
              <w:jc w:val="center"/>
              <w:rPr>
                <w:spacing w:val="-2"/>
                <w:sz w:val="24"/>
                <w:szCs w:val="24"/>
                <w:highlight w:val="none"/>
              </w:rPr>
            </w:pPr>
            <w:r>
              <w:rPr>
                <w:spacing w:val="-2"/>
                <w:sz w:val="24"/>
                <w:szCs w:val="24"/>
                <w:highlight w:val="none"/>
              </w:rPr>
              <w:t>企业业绩</w:t>
            </w:r>
          </w:p>
        </w:tc>
        <w:tc>
          <w:tcPr>
            <w:tcW w:w="840" w:type="dxa"/>
            <w:vAlign w:val="center"/>
          </w:tcPr>
          <w:p w14:paraId="0AFD76B0">
            <w:pPr>
              <w:pStyle w:val="33"/>
              <w:spacing w:before="69" w:line="221" w:lineRule="auto"/>
              <w:ind w:left="268"/>
              <w:jc w:val="center"/>
              <w:rPr>
                <w:spacing w:val="-7"/>
                <w:sz w:val="24"/>
                <w:szCs w:val="24"/>
                <w:highlight w:val="none"/>
              </w:rPr>
            </w:pPr>
            <w:r>
              <w:rPr>
                <w:spacing w:val="-5"/>
                <w:sz w:val="24"/>
                <w:szCs w:val="24"/>
                <w:highlight w:val="none"/>
              </w:rPr>
              <w:t>6分</w:t>
            </w:r>
          </w:p>
        </w:tc>
        <w:tc>
          <w:tcPr>
            <w:tcW w:w="6252" w:type="dxa"/>
          </w:tcPr>
          <w:p w14:paraId="59FDAC99">
            <w:pPr>
              <w:pStyle w:val="33"/>
              <w:spacing w:before="234" w:line="400" w:lineRule="auto"/>
              <w:ind w:left="113" w:right="102"/>
              <w:jc w:val="both"/>
              <w:rPr>
                <w:spacing w:val="-1"/>
                <w:sz w:val="24"/>
                <w:szCs w:val="24"/>
                <w:highlight w:val="none"/>
                <w:lang w:eastAsia="zh-CN"/>
              </w:rPr>
            </w:pPr>
            <w:r>
              <w:rPr>
                <w:sz w:val="24"/>
                <w:szCs w:val="24"/>
                <w:highlight w:val="none"/>
                <w:lang w:eastAsia="zh-CN"/>
              </w:rPr>
              <w:t>供应商自2022年1月1日以来</w:t>
            </w:r>
            <w:r>
              <w:rPr>
                <w:rFonts w:hint="eastAsia"/>
                <w:spacing w:val="-1"/>
                <w:sz w:val="24"/>
                <w:szCs w:val="24"/>
                <w:highlight w:val="none"/>
                <w:lang w:eastAsia="zh-CN"/>
              </w:rPr>
              <w:t>已完成</w:t>
            </w:r>
            <w:r>
              <w:rPr>
                <w:spacing w:val="-1"/>
                <w:sz w:val="24"/>
                <w:szCs w:val="24"/>
                <w:highlight w:val="none"/>
                <w:lang w:eastAsia="zh-CN"/>
              </w:rPr>
              <w:t>的林业类</w:t>
            </w:r>
            <w:r>
              <w:rPr>
                <w:spacing w:val="-2"/>
                <w:sz w:val="24"/>
                <w:szCs w:val="24"/>
                <w:highlight w:val="none"/>
                <w:lang w:eastAsia="zh-CN"/>
              </w:rPr>
              <w:t>相关</w:t>
            </w:r>
            <w:r>
              <w:rPr>
                <w:rFonts w:hint="eastAsia"/>
                <w:spacing w:val="-2"/>
                <w:sz w:val="24"/>
                <w:szCs w:val="24"/>
                <w:highlight w:val="none"/>
                <w:lang w:eastAsia="zh-CN"/>
              </w:rPr>
              <w:t>类似业绩</w:t>
            </w:r>
            <w:r>
              <w:rPr>
                <w:spacing w:val="-2"/>
                <w:sz w:val="24"/>
                <w:szCs w:val="24"/>
                <w:highlight w:val="none"/>
                <w:lang w:eastAsia="zh-CN"/>
              </w:rPr>
              <w:t>，每提供一份得2分，最高得6分。（投标文件中附中标</w:t>
            </w:r>
            <w:r>
              <w:rPr>
                <w:spacing w:val="-1"/>
                <w:sz w:val="24"/>
                <w:szCs w:val="24"/>
                <w:highlight w:val="none"/>
                <w:lang w:eastAsia="zh-CN"/>
              </w:rPr>
              <w:t>通知书</w:t>
            </w:r>
            <w:r>
              <w:rPr>
                <w:rFonts w:hint="eastAsia"/>
                <w:spacing w:val="-1"/>
                <w:sz w:val="24"/>
                <w:szCs w:val="24"/>
                <w:highlight w:val="none"/>
                <w:lang w:eastAsia="zh-CN"/>
              </w:rPr>
              <w:t>或</w:t>
            </w:r>
            <w:r>
              <w:rPr>
                <w:spacing w:val="-1"/>
                <w:sz w:val="24"/>
                <w:szCs w:val="24"/>
                <w:highlight w:val="none"/>
                <w:lang w:eastAsia="zh-CN"/>
              </w:rPr>
              <w:t>合同扫描件，否则不得分）</w:t>
            </w:r>
          </w:p>
        </w:tc>
      </w:tr>
      <w:tr w14:paraId="5D5E2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140" w:type="dxa"/>
            <w:vMerge w:val="continue"/>
            <w:tcBorders>
              <w:left w:val="single" w:color="auto" w:sz="4" w:space="0"/>
              <w:right w:val="single" w:color="auto" w:sz="4" w:space="0"/>
            </w:tcBorders>
          </w:tcPr>
          <w:p w14:paraId="4C6BFAD6">
            <w:pPr>
              <w:rPr>
                <w:rFonts w:eastAsia="宋体"/>
                <w:spacing w:val="-2"/>
                <w:sz w:val="24"/>
                <w:szCs w:val="24"/>
                <w:highlight w:val="none"/>
                <w:lang w:eastAsia="zh-CN"/>
              </w:rPr>
            </w:pPr>
          </w:p>
        </w:tc>
        <w:tc>
          <w:tcPr>
            <w:tcW w:w="1230" w:type="dxa"/>
            <w:tcBorders>
              <w:left w:val="single" w:color="auto" w:sz="4" w:space="0"/>
            </w:tcBorders>
            <w:vAlign w:val="center"/>
          </w:tcPr>
          <w:p w14:paraId="264C15CA">
            <w:pPr>
              <w:pStyle w:val="33"/>
              <w:spacing w:before="217" w:line="221" w:lineRule="auto"/>
              <w:jc w:val="center"/>
              <w:rPr>
                <w:spacing w:val="-3"/>
                <w:sz w:val="24"/>
                <w:szCs w:val="24"/>
                <w:highlight w:val="none"/>
                <w:lang w:eastAsia="zh-CN"/>
              </w:rPr>
            </w:pPr>
            <w:r>
              <w:rPr>
                <w:spacing w:val="-2"/>
                <w:sz w:val="24"/>
                <w:szCs w:val="24"/>
                <w:highlight w:val="none"/>
                <w:lang w:eastAsia="zh-CN"/>
              </w:rPr>
              <w:t>履职尽责承诺</w:t>
            </w:r>
          </w:p>
        </w:tc>
        <w:tc>
          <w:tcPr>
            <w:tcW w:w="840" w:type="dxa"/>
            <w:vAlign w:val="center"/>
          </w:tcPr>
          <w:p w14:paraId="2B490EE7">
            <w:pPr>
              <w:pStyle w:val="33"/>
              <w:spacing w:before="69" w:line="221" w:lineRule="auto"/>
              <w:ind w:left="268"/>
              <w:rPr>
                <w:color w:val="000000" w:themeColor="text1"/>
                <w:spacing w:val="-5"/>
                <w:sz w:val="24"/>
                <w:szCs w:val="24"/>
                <w:highlight w:val="none"/>
                <w14:textFill>
                  <w14:solidFill>
                    <w14:schemeClr w14:val="tx1"/>
                  </w14:solidFill>
                </w14:textFill>
              </w:rPr>
            </w:pPr>
            <w:r>
              <w:rPr>
                <w:rFonts w:hint="eastAsia"/>
                <w:color w:val="000000" w:themeColor="text1"/>
                <w:spacing w:val="-5"/>
                <w:sz w:val="24"/>
                <w:szCs w:val="24"/>
                <w:highlight w:val="none"/>
                <w:lang w:eastAsia="zh-CN"/>
                <w14:textFill>
                  <w14:solidFill>
                    <w14:schemeClr w14:val="tx1"/>
                  </w14:solidFill>
                </w14:textFill>
              </w:rPr>
              <w:t>3</w:t>
            </w:r>
            <w:r>
              <w:rPr>
                <w:color w:val="000000" w:themeColor="text1"/>
                <w:spacing w:val="-5"/>
                <w:sz w:val="24"/>
                <w:szCs w:val="24"/>
                <w:highlight w:val="none"/>
                <w14:textFill>
                  <w14:solidFill>
                    <w14:schemeClr w14:val="tx1"/>
                  </w14:solidFill>
                </w14:textFill>
              </w:rPr>
              <w:t>分</w:t>
            </w:r>
          </w:p>
        </w:tc>
        <w:tc>
          <w:tcPr>
            <w:tcW w:w="6252" w:type="dxa"/>
          </w:tcPr>
          <w:p w14:paraId="23620739">
            <w:pPr>
              <w:pStyle w:val="33"/>
              <w:spacing w:before="234" w:line="400" w:lineRule="auto"/>
              <w:ind w:left="113" w:right="102"/>
              <w:jc w:val="both"/>
              <w:rPr>
                <w:color w:val="000000" w:themeColor="text1"/>
                <w:sz w:val="24"/>
                <w:szCs w:val="24"/>
                <w:highlight w:val="none"/>
                <w:lang w:eastAsia="zh-CN"/>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具有全面、详实、可行、合法有效的书面保证技术措施落实到位的承诺和落实不到位的处理承诺，履职尽责</w:t>
            </w:r>
            <w:r>
              <w:rPr>
                <w:color w:val="000000" w:themeColor="text1"/>
                <w:sz w:val="24"/>
                <w:szCs w:val="24"/>
                <w:highlight w:val="none"/>
                <w:lang w:eastAsia="zh-CN"/>
                <w14:textFill>
                  <w14:solidFill>
                    <w14:schemeClr w14:val="tx1"/>
                  </w14:solidFill>
                </w14:textFill>
              </w:rPr>
              <w:t xml:space="preserve">承诺合理，详细得 </w:t>
            </w:r>
            <w:r>
              <w:rPr>
                <w:rFonts w:hint="eastAsia"/>
                <w:color w:val="000000" w:themeColor="text1"/>
                <w:sz w:val="24"/>
                <w:szCs w:val="24"/>
                <w:highlight w:val="none"/>
                <w:lang w:eastAsia="zh-CN"/>
                <w14:textFill>
                  <w14:solidFill>
                    <w14:schemeClr w14:val="tx1"/>
                  </w14:solidFill>
                </w14:textFill>
              </w:rPr>
              <w:t xml:space="preserve">3 </w:t>
            </w:r>
            <w:r>
              <w:rPr>
                <w:color w:val="000000" w:themeColor="text1"/>
                <w:sz w:val="24"/>
                <w:szCs w:val="24"/>
                <w:highlight w:val="none"/>
                <w:lang w:eastAsia="zh-CN"/>
                <w14:textFill>
                  <w14:solidFill>
                    <w14:schemeClr w14:val="tx1"/>
                  </w14:solidFill>
                </w14:textFill>
              </w:rPr>
              <w:t>分，</w:t>
            </w:r>
            <w:r>
              <w:rPr>
                <w:rFonts w:hint="eastAsia"/>
                <w:color w:val="000000" w:themeColor="text1"/>
                <w:sz w:val="24"/>
                <w:szCs w:val="24"/>
                <w:highlight w:val="none"/>
                <w:lang w:eastAsia="zh-CN"/>
                <w14:textFill>
                  <w14:solidFill>
                    <w14:schemeClr w14:val="tx1"/>
                  </w14:solidFill>
                </w14:textFill>
              </w:rPr>
              <w:t>履职尽责承诺较合理详细得 2 分，履职尽责</w:t>
            </w:r>
            <w:r>
              <w:rPr>
                <w:color w:val="000000" w:themeColor="text1"/>
                <w:sz w:val="24"/>
                <w:szCs w:val="24"/>
                <w:highlight w:val="none"/>
                <w:lang w:eastAsia="zh-CN"/>
                <w14:textFill>
                  <w14:solidFill>
                    <w14:schemeClr w14:val="tx1"/>
                  </w14:solidFill>
                </w14:textFill>
              </w:rPr>
              <w:t>承诺一般得 1 分，缺项得 0 分。</w:t>
            </w:r>
          </w:p>
        </w:tc>
      </w:tr>
      <w:tr w14:paraId="44B15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140" w:type="dxa"/>
            <w:vMerge w:val="continue"/>
            <w:tcBorders>
              <w:left w:val="single" w:color="auto" w:sz="4" w:space="0"/>
              <w:right w:val="single" w:color="auto" w:sz="4" w:space="0"/>
            </w:tcBorders>
          </w:tcPr>
          <w:p w14:paraId="5D04421B">
            <w:pPr>
              <w:rPr>
                <w:sz w:val="24"/>
                <w:szCs w:val="24"/>
                <w:highlight w:val="none"/>
                <w:lang w:eastAsia="zh-CN"/>
              </w:rPr>
            </w:pPr>
          </w:p>
        </w:tc>
        <w:tc>
          <w:tcPr>
            <w:tcW w:w="1230" w:type="dxa"/>
            <w:tcBorders>
              <w:left w:val="single" w:color="auto" w:sz="4" w:space="0"/>
            </w:tcBorders>
            <w:vAlign w:val="center"/>
          </w:tcPr>
          <w:p w14:paraId="616BCDB6">
            <w:pPr>
              <w:pStyle w:val="33"/>
              <w:spacing w:before="217" w:line="221" w:lineRule="auto"/>
              <w:jc w:val="center"/>
              <w:rPr>
                <w:spacing w:val="-2"/>
                <w:sz w:val="24"/>
                <w:szCs w:val="24"/>
                <w:highlight w:val="none"/>
              </w:rPr>
            </w:pPr>
            <w:r>
              <w:rPr>
                <w:rFonts w:hint="eastAsia"/>
                <w:spacing w:val="-2"/>
                <w:sz w:val="24"/>
                <w:szCs w:val="24"/>
                <w:highlight w:val="none"/>
                <w:lang w:eastAsia="zh-CN"/>
              </w:rPr>
              <w:t>信誉</w:t>
            </w:r>
            <w:r>
              <w:rPr>
                <w:spacing w:val="-2"/>
                <w:sz w:val="24"/>
                <w:szCs w:val="24"/>
                <w:highlight w:val="none"/>
              </w:rPr>
              <w:t>承诺</w:t>
            </w:r>
          </w:p>
        </w:tc>
        <w:tc>
          <w:tcPr>
            <w:tcW w:w="840" w:type="dxa"/>
            <w:vAlign w:val="center"/>
          </w:tcPr>
          <w:p w14:paraId="39AF79F7">
            <w:pPr>
              <w:pStyle w:val="33"/>
              <w:spacing w:before="68" w:line="221" w:lineRule="auto"/>
              <w:ind w:left="243"/>
              <w:rPr>
                <w:color w:val="000000" w:themeColor="text1"/>
                <w:spacing w:val="-7"/>
                <w:sz w:val="24"/>
                <w:szCs w:val="24"/>
                <w:highlight w:val="none"/>
                <w14:textFill>
                  <w14:solidFill>
                    <w14:schemeClr w14:val="tx1"/>
                  </w14:solidFill>
                </w14:textFill>
              </w:rPr>
            </w:pPr>
            <w:r>
              <w:rPr>
                <w:rFonts w:hint="eastAsia"/>
                <w:color w:val="000000" w:themeColor="text1"/>
                <w:spacing w:val="-6"/>
                <w:sz w:val="24"/>
                <w:szCs w:val="24"/>
                <w:highlight w:val="none"/>
                <w:lang w:eastAsia="zh-CN"/>
                <w14:textFill>
                  <w14:solidFill>
                    <w14:schemeClr w14:val="tx1"/>
                  </w14:solidFill>
                </w14:textFill>
              </w:rPr>
              <w:t>3</w:t>
            </w:r>
            <w:r>
              <w:rPr>
                <w:color w:val="000000" w:themeColor="text1"/>
                <w:spacing w:val="-41"/>
                <w:sz w:val="24"/>
                <w:szCs w:val="24"/>
                <w:highlight w:val="none"/>
                <w14:textFill>
                  <w14:solidFill>
                    <w14:schemeClr w14:val="tx1"/>
                  </w14:solidFill>
                </w14:textFill>
              </w:rPr>
              <w:t xml:space="preserve"> </w:t>
            </w:r>
            <w:r>
              <w:rPr>
                <w:color w:val="000000" w:themeColor="text1"/>
                <w:spacing w:val="-6"/>
                <w:sz w:val="24"/>
                <w:szCs w:val="24"/>
                <w:highlight w:val="none"/>
                <w14:textFill>
                  <w14:solidFill>
                    <w14:schemeClr w14:val="tx1"/>
                  </w14:solidFill>
                </w14:textFill>
              </w:rPr>
              <w:t>分</w:t>
            </w:r>
          </w:p>
        </w:tc>
        <w:tc>
          <w:tcPr>
            <w:tcW w:w="6252" w:type="dxa"/>
          </w:tcPr>
          <w:p w14:paraId="34632104">
            <w:pPr>
              <w:pStyle w:val="33"/>
              <w:spacing w:before="240" w:line="349" w:lineRule="auto"/>
              <w:ind w:left="115" w:right="30" w:firstLine="1"/>
              <w:rPr>
                <w:color w:val="000000" w:themeColor="text1"/>
                <w:spacing w:val="-1"/>
                <w:sz w:val="24"/>
                <w:szCs w:val="24"/>
                <w:highlight w:val="none"/>
                <w:lang w:eastAsia="zh-CN"/>
                <w14:textFill>
                  <w14:solidFill>
                    <w14:schemeClr w14:val="tx1"/>
                  </w14:solidFill>
                </w14:textFill>
              </w:rPr>
            </w:pPr>
            <w:r>
              <w:rPr>
                <w:color w:val="000000" w:themeColor="text1"/>
                <w:spacing w:val="-7"/>
                <w:sz w:val="24"/>
                <w:szCs w:val="24"/>
                <w:highlight w:val="none"/>
                <w:lang w:eastAsia="zh-CN"/>
                <w14:textFill>
                  <w14:solidFill>
                    <w14:schemeClr w14:val="tx1"/>
                  </w14:solidFill>
                </w14:textFill>
              </w:rPr>
              <w:t>企业在2022</w:t>
            </w:r>
            <w:r>
              <w:rPr>
                <w:color w:val="000000" w:themeColor="text1"/>
                <w:spacing w:val="-43"/>
                <w:sz w:val="24"/>
                <w:szCs w:val="24"/>
                <w:highlight w:val="none"/>
                <w:lang w:eastAsia="zh-CN"/>
                <w14:textFill>
                  <w14:solidFill>
                    <w14:schemeClr w14:val="tx1"/>
                  </w14:solidFill>
                </w14:textFill>
              </w:rPr>
              <w:t xml:space="preserve"> </w:t>
            </w:r>
            <w:r>
              <w:rPr>
                <w:color w:val="000000" w:themeColor="text1"/>
                <w:spacing w:val="-7"/>
                <w:sz w:val="24"/>
                <w:szCs w:val="24"/>
                <w:highlight w:val="none"/>
                <w:lang w:eastAsia="zh-CN"/>
                <w14:textFill>
                  <w14:solidFill>
                    <w14:schemeClr w14:val="tx1"/>
                  </w14:solidFill>
                </w14:textFill>
              </w:rPr>
              <w:t>年1月1日以来，在参加政府采购活动中无串通</w:t>
            </w:r>
            <w:r>
              <w:rPr>
                <w:color w:val="000000" w:themeColor="text1"/>
                <w:spacing w:val="-8"/>
                <w:sz w:val="24"/>
                <w:szCs w:val="24"/>
                <w:highlight w:val="none"/>
                <w:lang w:eastAsia="zh-CN"/>
                <w14:textFill>
                  <w14:solidFill>
                    <w14:schemeClr w14:val="tx1"/>
                  </w14:solidFill>
                </w14:textFill>
              </w:rPr>
              <w:t>投标、</w:t>
            </w:r>
            <w:r>
              <w:rPr>
                <w:color w:val="000000" w:themeColor="text1"/>
                <w:spacing w:val="-1"/>
                <w:sz w:val="24"/>
                <w:szCs w:val="24"/>
                <w:highlight w:val="none"/>
                <w:lang w:eastAsia="zh-CN"/>
                <w14:textFill>
                  <w14:solidFill>
                    <w14:schemeClr w14:val="tx1"/>
                  </w14:solidFill>
                </w14:textFill>
              </w:rPr>
              <w:t xml:space="preserve">无质量安全事故、拖欠工人工资投诉现象的信用承诺得 </w:t>
            </w:r>
            <w:r>
              <w:rPr>
                <w:rFonts w:hint="eastAsia"/>
                <w:color w:val="000000" w:themeColor="text1"/>
                <w:spacing w:val="-1"/>
                <w:sz w:val="24"/>
                <w:szCs w:val="24"/>
                <w:highlight w:val="none"/>
                <w:lang w:eastAsia="zh-CN"/>
                <w14:textFill>
                  <w14:solidFill>
                    <w14:schemeClr w14:val="tx1"/>
                  </w14:solidFill>
                </w14:textFill>
              </w:rPr>
              <w:t>3</w:t>
            </w:r>
            <w:r>
              <w:rPr>
                <w:color w:val="000000" w:themeColor="text1"/>
                <w:spacing w:val="-1"/>
                <w:sz w:val="24"/>
                <w:szCs w:val="24"/>
                <w:highlight w:val="none"/>
                <w:lang w:eastAsia="zh-CN"/>
                <w14:textFill>
                  <w14:solidFill>
                    <w14:schemeClr w14:val="tx1"/>
                  </w14:solidFill>
                </w14:textFill>
              </w:rPr>
              <w:t xml:space="preserve"> 分（提供承诺书）</w:t>
            </w:r>
          </w:p>
        </w:tc>
      </w:tr>
      <w:tr w14:paraId="6E252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0" w:hRule="atLeast"/>
        </w:trPr>
        <w:tc>
          <w:tcPr>
            <w:tcW w:w="1140" w:type="dxa"/>
            <w:vMerge w:val="continue"/>
            <w:tcBorders>
              <w:left w:val="single" w:color="auto" w:sz="4" w:space="0"/>
              <w:right w:val="single" w:color="auto" w:sz="4" w:space="0"/>
            </w:tcBorders>
          </w:tcPr>
          <w:p w14:paraId="27378DF5">
            <w:pPr>
              <w:rPr>
                <w:sz w:val="24"/>
                <w:szCs w:val="24"/>
                <w:highlight w:val="none"/>
                <w:lang w:eastAsia="zh-CN"/>
              </w:rPr>
            </w:pPr>
          </w:p>
        </w:tc>
        <w:tc>
          <w:tcPr>
            <w:tcW w:w="1230" w:type="dxa"/>
            <w:tcBorders>
              <w:left w:val="single" w:color="auto" w:sz="4" w:space="0"/>
            </w:tcBorders>
            <w:vAlign w:val="center"/>
          </w:tcPr>
          <w:p w14:paraId="5D01841B">
            <w:pPr>
              <w:pStyle w:val="33"/>
              <w:spacing w:before="217" w:line="221" w:lineRule="auto"/>
              <w:jc w:val="center"/>
              <w:rPr>
                <w:spacing w:val="-2"/>
                <w:sz w:val="24"/>
                <w:szCs w:val="24"/>
                <w:highlight w:val="none"/>
              </w:rPr>
            </w:pPr>
            <w:r>
              <w:rPr>
                <w:spacing w:val="-2"/>
                <w:sz w:val="24"/>
                <w:szCs w:val="24"/>
                <w:highlight w:val="none"/>
              </w:rPr>
              <w:t>服务能力承诺</w:t>
            </w:r>
          </w:p>
        </w:tc>
        <w:tc>
          <w:tcPr>
            <w:tcW w:w="840" w:type="dxa"/>
            <w:vAlign w:val="center"/>
          </w:tcPr>
          <w:p w14:paraId="025B6693">
            <w:pPr>
              <w:pStyle w:val="33"/>
              <w:spacing w:before="69" w:line="221" w:lineRule="auto"/>
              <w:ind w:left="245"/>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5</w:t>
            </w:r>
            <w:r>
              <w:rPr>
                <w:color w:val="000000" w:themeColor="text1"/>
                <w:sz w:val="24"/>
                <w:szCs w:val="24"/>
                <w:highlight w:val="none"/>
                <w14:textFill>
                  <w14:solidFill>
                    <w14:schemeClr w14:val="tx1"/>
                  </w14:solidFill>
                </w14:textFill>
              </w:rPr>
              <w:t>分</w:t>
            </w:r>
          </w:p>
        </w:tc>
        <w:tc>
          <w:tcPr>
            <w:tcW w:w="6252" w:type="dxa"/>
          </w:tcPr>
          <w:p w14:paraId="1784FD3E">
            <w:pPr>
              <w:pStyle w:val="33"/>
              <w:spacing w:before="271" w:line="339" w:lineRule="auto"/>
              <w:ind w:left="113" w:right="102" w:firstLine="2"/>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 xml:space="preserve">1、供应商提供农民工工资保障措施及承诺得 </w:t>
            </w:r>
            <w:r>
              <w:rPr>
                <w:rFonts w:hint="eastAsia"/>
                <w:color w:val="000000" w:themeColor="text1"/>
                <w:sz w:val="24"/>
                <w:szCs w:val="24"/>
                <w:highlight w:val="none"/>
                <w:lang w:eastAsia="zh-CN"/>
                <w14:textFill>
                  <w14:solidFill>
                    <w14:schemeClr w14:val="tx1"/>
                  </w14:solidFill>
                </w14:textFill>
              </w:rPr>
              <w:t>2</w:t>
            </w:r>
            <w:r>
              <w:rPr>
                <w:color w:val="000000" w:themeColor="text1"/>
                <w:sz w:val="24"/>
                <w:szCs w:val="24"/>
                <w:highlight w:val="none"/>
                <w:lang w:eastAsia="zh-CN"/>
                <w14:textFill>
                  <w14:solidFill>
                    <w14:schemeClr w14:val="tx1"/>
                  </w14:solidFill>
                </w14:textFill>
              </w:rPr>
              <w:t xml:space="preserve"> 分；</w:t>
            </w:r>
          </w:p>
          <w:p w14:paraId="088921FF">
            <w:pPr>
              <w:pStyle w:val="33"/>
              <w:spacing w:before="271" w:line="339" w:lineRule="auto"/>
              <w:ind w:left="113" w:right="102" w:firstLine="2"/>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 xml:space="preserve">2、供应商提供农民工人身安全保障措施及承诺得 </w:t>
            </w:r>
            <w:r>
              <w:rPr>
                <w:rFonts w:hint="eastAsia"/>
                <w:color w:val="000000" w:themeColor="text1"/>
                <w:sz w:val="24"/>
                <w:szCs w:val="24"/>
                <w:highlight w:val="none"/>
                <w:lang w:eastAsia="zh-CN"/>
                <w14:textFill>
                  <w14:solidFill>
                    <w14:schemeClr w14:val="tx1"/>
                  </w14:solidFill>
                </w14:textFill>
              </w:rPr>
              <w:t xml:space="preserve">3 </w:t>
            </w:r>
            <w:r>
              <w:rPr>
                <w:color w:val="000000" w:themeColor="text1"/>
                <w:sz w:val="24"/>
                <w:szCs w:val="24"/>
                <w:highlight w:val="none"/>
                <w:lang w:eastAsia="zh-CN"/>
                <w14:textFill>
                  <w14:solidFill>
                    <w14:schemeClr w14:val="tx1"/>
                  </w14:solidFill>
                </w14:textFill>
              </w:rPr>
              <w:t>分。</w:t>
            </w:r>
          </w:p>
          <w:p w14:paraId="021DB569">
            <w:pPr>
              <w:pStyle w:val="33"/>
              <w:spacing w:before="271" w:line="339" w:lineRule="auto"/>
              <w:ind w:left="113" w:right="102" w:firstLine="2"/>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缺项</w:t>
            </w:r>
            <w:r>
              <w:rPr>
                <w:color w:val="000000" w:themeColor="text1"/>
                <w:spacing w:val="-2"/>
                <w:sz w:val="24"/>
                <w:szCs w:val="24"/>
                <w:highlight w:val="none"/>
                <w14:textFill>
                  <w14:solidFill>
                    <w14:schemeClr w14:val="tx1"/>
                  </w14:solidFill>
                </w14:textFill>
              </w:rPr>
              <w:t>得</w:t>
            </w:r>
            <w:r>
              <w:rPr>
                <w:rFonts w:hint="eastAsia"/>
                <w:color w:val="000000" w:themeColor="text1"/>
                <w:spacing w:val="-2"/>
                <w:sz w:val="24"/>
                <w:szCs w:val="24"/>
                <w:highlight w:val="none"/>
                <w:lang w:eastAsia="zh-CN"/>
                <w14:textFill>
                  <w14:solidFill>
                    <w14:schemeClr w14:val="tx1"/>
                  </w14:solidFill>
                </w14:textFill>
              </w:rPr>
              <w:t>0</w:t>
            </w:r>
            <w:r>
              <w:rPr>
                <w:color w:val="000000" w:themeColor="text1"/>
                <w:sz w:val="24"/>
                <w:szCs w:val="24"/>
                <w:highlight w:val="none"/>
                <w14:textFill>
                  <w14:solidFill>
                    <w14:schemeClr w14:val="tx1"/>
                  </w14:solidFill>
                </w14:textFill>
              </w:rPr>
              <w:t>分。</w:t>
            </w:r>
          </w:p>
        </w:tc>
      </w:tr>
      <w:tr w14:paraId="3DC84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1140" w:type="dxa"/>
            <w:vMerge w:val="continue"/>
            <w:tcBorders>
              <w:left w:val="single" w:color="auto" w:sz="4" w:space="0"/>
              <w:right w:val="single" w:color="auto" w:sz="4" w:space="0"/>
            </w:tcBorders>
          </w:tcPr>
          <w:p w14:paraId="7EBF2A0F">
            <w:pPr>
              <w:rPr>
                <w:sz w:val="24"/>
                <w:szCs w:val="24"/>
                <w:highlight w:val="none"/>
              </w:rPr>
            </w:pPr>
          </w:p>
        </w:tc>
        <w:tc>
          <w:tcPr>
            <w:tcW w:w="1230" w:type="dxa"/>
            <w:tcBorders>
              <w:left w:val="single" w:color="auto" w:sz="4" w:space="0"/>
            </w:tcBorders>
            <w:vAlign w:val="center"/>
          </w:tcPr>
          <w:p w14:paraId="2D4CD387">
            <w:pPr>
              <w:pStyle w:val="33"/>
              <w:spacing w:before="217" w:line="221" w:lineRule="auto"/>
              <w:jc w:val="center"/>
              <w:rPr>
                <w:spacing w:val="-2"/>
                <w:sz w:val="24"/>
                <w:szCs w:val="24"/>
                <w:highlight w:val="none"/>
              </w:rPr>
            </w:pPr>
            <w:r>
              <w:rPr>
                <w:spacing w:val="-2"/>
                <w:sz w:val="24"/>
                <w:szCs w:val="24"/>
                <w:highlight w:val="none"/>
              </w:rPr>
              <w:t>优惠承诺</w:t>
            </w:r>
          </w:p>
        </w:tc>
        <w:tc>
          <w:tcPr>
            <w:tcW w:w="840" w:type="dxa"/>
            <w:vAlign w:val="center"/>
          </w:tcPr>
          <w:p w14:paraId="1CCE5F33">
            <w:pPr>
              <w:pStyle w:val="33"/>
              <w:spacing w:before="234" w:line="400" w:lineRule="auto"/>
              <w:ind w:left="113" w:right="102"/>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lang w:eastAsia="zh-CN"/>
                <w14:textFill>
                  <w14:solidFill>
                    <w14:schemeClr w14:val="tx1"/>
                  </w14:solidFill>
                </w14:textFill>
              </w:rPr>
              <w:t>3</w:t>
            </w:r>
            <w:r>
              <w:rPr>
                <w:color w:val="000000" w:themeColor="text1"/>
                <w:sz w:val="24"/>
                <w:szCs w:val="24"/>
                <w:highlight w:val="none"/>
                <w14:textFill>
                  <w14:solidFill>
                    <w14:schemeClr w14:val="tx1"/>
                  </w14:solidFill>
                </w14:textFill>
              </w:rPr>
              <w:t>分</w:t>
            </w:r>
          </w:p>
        </w:tc>
        <w:tc>
          <w:tcPr>
            <w:tcW w:w="6252" w:type="dxa"/>
          </w:tcPr>
          <w:p w14:paraId="12F2B1A0">
            <w:pPr>
              <w:pStyle w:val="33"/>
              <w:spacing w:before="234" w:line="400" w:lineRule="auto"/>
              <w:ind w:left="113" w:right="102"/>
              <w:jc w:val="both"/>
              <w:rPr>
                <w:color w:val="000000" w:themeColor="text1"/>
                <w:sz w:val="24"/>
                <w:szCs w:val="24"/>
                <w:highlight w:val="none"/>
                <w:lang w:eastAsia="zh-CN"/>
                <w14:textFill>
                  <w14:solidFill>
                    <w14:schemeClr w14:val="tx1"/>
                  </w14:solidFill>
                </w14:textFill>
              </w:rPr>
            </w:pPr>
            <w:r>
              <w:rPr>
                <w:color w:val="000000" w:themeColor="text1"/>
                <w:sz w:val="24"/>
                <w:szCs w:val="24"/>
                <w:highlight w:val="none"/>
                <w:lang w:eastAsia="zh-CN"/>
                <w14:textFill>
                  <w14:solidFill>
                    <w14:schemeClr w14:val="tx1"/>
                  </w14:solidFill>
                </w14:textFill>
              </w:rPr>
              <w:t xml:space="preserve">优惠承诺应是书面的符合项目实际情况，确保依法依规，优惠承诺合理，详细得 </w:t>
            </w:r>
            <w:r>
              <w:rPr>
                <w:rFonts w:hint="eastAsia"/>
                <w:color w:val="000000" w:themeColor="text1"/>
                <w:sz w:val="24"/>
                <w:szCs w:val="24"/>
                <w:highlight w:val="none"/>
                <w:lang w:eastAsia="zh-CN"/>
                <w14:textFill>
                  <w14:solidFill>
                    <w14:schemeClr w14:val="tx1"/>
                  </w14:solidFill>
                </w14:textFill>
              </w:rPr>
              <w:t xml:space="preserve">3 </w:t>
            </w:r>
            <w:r>
              <w:rPr>
                <w:color w:val="000000" w:themeColor="text1"/>
                <w:sz w:val="24"/>
                <w:szCs w:val="24"/>
                <w:highlight w:val="none"/>
                <w:lang w:eastAsia="zh-CN"/>
                <w14:textFill>
                  <w14:solidFill>
                    <w14:schemeClr w14:val="tx1"/>
                  </w14:solidFill>
                </w14:textFill>
              </w:rPr>
              <w:t>分，</w:t>
            </w:r>
            <w:r>
              <w:rPr>
                <w:rFonts w:hint="eastAsia"/>
                <w:color w:val="000000" w:themeColor="text1"/>
                <w:sz w:val="24"/>
                <w:szCs w:val="24"/>
                <w:highlight w:val="none"/>
                <w:lang w:eastAsia="zh-CN"/>
                <w14:textFill>
                  <w14:solidFill>
                    <w14:schemeClr w14:val="tx1"/>
                  </w14:solidFill>
                </w14:textFill>
              </w:rPr>
              <w:t>优惠承诺较合理详细得 2 分，</w:t>
            </w:r>
            <w:r>
              <w:rPr>
                <w:color w:val="000000" w:themeColor="text1"/>
                <w:sz w:val="24"/>
                <w:szCs w:val="24"/>
                <w:highlight w:val="none"/>
                <w:lang w:eastAsia="zh-CN"/>
                <w14:textFill>
                  <w14:solidFill>
                    <w14:schemeClr w14:val="tx1"/>
                  </w14:solidFill>
                </w14:textFill>
              </w:rPr>
              <w:t>优惠承诺一般得 1 分，缺项得 0 分。</w:t>
            </w:r>
          </w:p>
        </w:tc>
      </w:tr>
      <w:tr w14:paraId="051BD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9462" w:type="dxa"/>
            <w:gridSpan w:val="4"/>
            <w:tcBorders>
              <w:left w:val="single" w:color="auto" w:sz="4" w:space="0"/>
              <w:bottom w:val="single" w:color="auto" w:sz="4" w:space="0"/>
            </w:tcBorders>
          </w:tcPr>
          <w:p w14:paraId="3AC73B77">
            <w:pPr>
              <w:pStyle w:val="33"/>
              <w:spacing w:before="237" w:line="221" w:lineRule="auto"/>
              <w:ind w:left="116"/>
              <w:rPr>
                <w:sz w:val="24"/>
                <w:szCs w:val="24"/>
                <w:highlight w:val="none"/>
                <w:lang w:eastAsia="zh-CN"/>
              </w:rPr>
            </w:pPr>
            <w:r>
              <w:rPr>
                <w:spacing w:val="-2"/>
                <w:sz w:val="24"/>
                <w:szCs w:val="24"/>
                <w:highlight w:val="none"/>
                <w:lang w:eastAsia="zh-CN"/>
              </w:rPr>
              <w:t>注：以上各评分若有缺项，则该项得</w:t>
            </w:r>
            <w:r>
              <w:rPr>
                <w:spacing w:val="-41"/>
                <w:sz w:val="24"/>
                <w:szCs w:val="24"/>
                <w:highlight w:val="none"/>
                <w:lang w:eastAsia="zh-CN"/>
              </w:rPr>
              <w:t xml:space="preserve"> </w:t>
            </w:r>
            <w:r>
              <w:rPr>
                <w:spacing w:val="-2"/>
                <w:sz w:val="24"/>
                <w:szCs w:val="24"/>
                <w:highlight w:val="none"/>
                <w:lang w:eastAsia="zh-CN"/>
              </w:rPr>
              <w:t>0</w:t>
            </w:r>
            <w:r>
              <w:rPr>
                <w:spacing w:val="-42"/>
                <w:sz w:val="24"/>
                <w:szCs w:val="24"/>
                <w:highlight w:val="none"/>
                <w:lang w:eastAsia="zh-CN"/>
              </w:rPr>
              <w:t xml:space="preserve"> </w:t>
            </w:r>
            <w:r>
              <w:rPr>
                <w:spacing w:val="-2"/>
                <w:sz w:val="24"/>
                <w:szCs w:val="24"/>
                <w:highlight w:val="none"/>
                <w:lang w:eastAsia="zh-CN"/>
              </w:rPr>
              <w:t>分。</w:t>
            </w:r>
          </w:p>
          <w:p w14:paraId="076F2916">
            <w:pPr>
              <w:pStyle w:val="33"/>
              <w:spacing w:before="234" w:line="400" w:lineRule="auto"/>
              <w:ind w:left="113" w:right="102"/>
              <w:jc w:val="both"/>
              <w:rPr>
                <w:sz w:val="24"/>
                <w:szCs w:val="24"/>
                <w:highlight w:val="none"/>
                <w:lang w:eastAsia="zh-CN"/>
              </w:rPr>
            </w:pPr>
            <w:r>
              <w:rPr>
                <w:rFonts w:hint="eastAsia"/>
                <w:sz w:val="24"/>
                <w:szCs w:val="24"/>
                <w:highlight w:val="none"/>
                <w:lang w:eastAsia="zh-CN"/>
              </w:rPr>
              <w:t>评标打分部分仍按照</w:t>
            </w:r>
            <w:r>
              <w:rPr>
                <w:sz w:val="24"/>
                <w:szCs w:val="24"/>
                <w:highlight w:val="none"/>
                <w:lang w:eastAsia="zh-CN"/>
              </w:rPr>
              <w:t>100</w:t>
            </w:r>
            <w:r>
              <w:rPr>
                <w:rFonts w:hint="eastAsia"/>
                <w:sz w:val="24"/>
                <w:szCs w:val="24"/>
                <w:highlight w:val="none"/>
                <w:lang w:eastAsia="zh-CN"/>
              </w:rPr>
              <w:t>分制原则进行。涉及到资格审查、企业信誉、企业业绩等计分部分时以投标单位自行上传到投标文件中的相应内容为准</w:t>
            </w:r>
            <w:r>
              <w:rPr>
                <w:spacing w:val="-3"/>
                <w:sz w:val="24"/>
                <w:szCs w:val="24"/>
                <w:highlight w:val="none"/>
                <w:lang w:eastAsia="zh-CN"/>
              </w:rPr>
              <w:t>。</w:t>
            </w:r>
          </w:p>
        </w:tc>
      </w:tr>
    </w:tbl>
    <w:p w14:paraId="78F2088B">
      <w:pPr>
        <w:spacing w:before="127" w:line="221" w:lineRule="auto"/>
        <w:ind w:firstLine="1180" w:firstLineChars="500"/>
        <w:rPr>
          <w:rFonts w:ascii="宋体" w:hAnsi="宋体" w:eastAsia="宋体" w:cs="宋体"/>
          <w:sz w:val="24"/>
          <w:szCs w:val="24"/>
          <w:highlight w:val="none"/>
          <w:lang w:eastAsia="zh-CN"/>
        </w:rPr>
      </w:pPr>
      <w:r>
        <w:rPr>
          <w:rFonts w:ascii="宋体" w:hAnsi="宋体" w:eastAsia="宋体" w:cs="宋体"/>
          <w:spacing w:val="-2"/>
          <w:sz w:val="24"/>
          <w:szCs w:val="24"/>
          <w:highlight w:val="none"/>
          <w:lang w:eastAsia="zh-CN"/>
        </w:rPr>
        <w:t>5.计分办法</w:t>
      </w:r>
    </w:p>
    <w:p w14:paraId="0D08173F">
      <w:pPr>
        <w:spacing w:before="202" w:line="360" w:lineRule="auto"/>
        <w:ind w:left="591" w:right="578" w:firstLine="423"/>
        <w:rPr>
          <w:rFonts w:ascii="宋体" w:hAnsi="宋体" w:eastAsia="宋体" w:cs="宋体"/>
          <w:sz w:val="24"/>
          <w:szCs w:val="24"/>
          <w:highlight w:val="none"/>
          <w:lang w:eastAsia="zh-CN"/>
        </w:rPr>
      </w:pPr>
      <w:r>
        <w:rPr>
          <w:rFonts w:ascii="宋体" w:hAnsi="宋体" w:eastAsia="宋体" w:cs="宋体"/>
          <w:spacing w:val="-2"/>
          <w:sz w:val="24"/>
          <w:szCs w:val="24"/>
          <w:highlight w:val="none"/>
          <w:lang w:eastAsia="zh-CN"/>
        </w:rPr>
        <w:t>计分过程中按四舍五入的法则，取至小数点后</w:t>
      </w:r>
      <w:r>
        <w:rPr>
          <w:rFonts w:ascii="宋体" w:hAnsi="宋体" w:eastAsia="宋体" w:cs="宋体"/>
          <w:spacing w:val="-47"/>
          <w:sz w:val="24"/>
          <w:szCs w:val="24"/>
          <w:highlight w:val="none"/>
          <w:lang w:eastAsia="zh-CN"/>
        </w:rPr>
        <w:t xml:space="preserve"> </w:t>
      </w:r>
      <w:r>
        <w:rPr>
          <w:rFonts w:ascii="宋体" w:hAnsi="宋体" w:eastAsia="宋体" w:cs="宋体"/>
          <w:spacing w:val="-2"/>
          <w:sz w:val="24"/>
          <w:szCs w:val="24"/>
          <w:highlight w:val="none"/>
          <w:lang w:eastAsia="zh-CN"/>
        </w:rPr>
        <w:t>2</w:t>
      </w:r>
      <w:r>
        <w:rPr>
          <w:rFonts w:ascii="宋体" w:hAnsi="宋体" w:eastAsia="宋体" w:cs="宋体"/>
          <w:spacing w:val="-50"/>
          <w:sz w:val="24"/>
          <w:szCs w:val="24"/>
          <w:highlight w:val="none"/>
          <w:lang w:eastAsia="zh-CN"/>
        </w:rPr>
        <w:t xml:space="preserve"> </w:t>
      </w:r>
      <w:r>
        <w:rPr>
          <w:rFonts w:ascii="宋体" w:hAnsi="宋体" w:eastAsia="宋体" w:cs="宋体"/>
          <w:spacing w:val="-2"/>
          <w:sz w:val="24"/>
          <w:szCs w:val="24"/>
          <w:highlight w:val="none"/>
          <w:lang w:eastAsia="zh-CN"/>
        </w:rPr>
        <w:t>位，投标供应商</w:t>
      </w:r>
      <w:r>
        <w:rPr>
          <w:rFonts w:ascii="宋体" w:hAnsi="宋体" w:eastAsia="宋体" w:cs="宋体"/>
          <w:spacing w:val="-3"/>
          <w:sz w:val="24"/>
          <w:szCs w:val="24"/>
          <w:highlight w:val="none"/>
          <w:lang w:eastAsia="zh-CN"/>
        </w:rPr>
        <w:t>的最终得分</w:t>
      </w:r>
      <w:r>
        <w:rPr>
          <w:rFonts w:ascii="宋体" w:hAnsi="宋体" w:eastAsia="宋体" w:cs="宋体"/>
          <w:spacing w:val="-4"/>
          <w:sz w:val="24"/>
          <w:szCs w:val="24"/>
          <w:highlight w:val="none"/>
          <w:lang w:eastAsia="zh-CN"/>
        </w:rPr>
        <w:t>为所有评委打分的算术平均值，最终结果取至小数点后</w:t>
      </w:r>
      <w:r>
        <w:rPr>
          <w:rFonts w:ascii="宋体" w:hAnsi="宋体" w:eastAsia="宋体" w:cs="宋体"/>
          <w:spacing w:val="-36"/>
          <w:sz w:val="24"/>
          <w:szCs w:val="24"/>
          <w:highlight w:val="none"/>
          <w:lang w:eastAsia="zh-CN"/>
        </w:rPr>
        <w:t xml:space="preserve"> </w:t>
      </w:r>
      <w:r>
        <w:rPr>
          <w:rFonts w:ascii="宋体" w:hAnsi="宋体" w:eastAsia="宋体" w:cs="宋体"/>
          <w:spacing w:val="-4"/>
          <w:sz w:val="24"/>
          <w:szCs w:val="24"/>
          <w:highlight w:val="none"/>
          <w:lang w:eastAsia="zh-CN"/>
        </w:rPr>
        <w:t>2</w:t>
      </w:r>
      <w:r>
        <w:rPr>
          <w:rFonts w:ascii="宋体" w:hAnsi="宋体" w:eastAsia="宋体" w:cs="宋体"/>
          <w:spacing w:val="-51"/>
          <w:sz w:val="24"/>
          <w:szCs w:val="24"/>
          <w:highlight w:val="none"/>
          <w:lang w:eastAsia="zh-CN"/>
        </w:rPr>
        <w:t xml:space="preserve"> </w:t>
      </w:r>
      <w:r>
        <w:rPr>
          <w:rFonts w:ascii="宋体" w:hAnsi="宋体" w:eastAsia="宋体" w:cs="宋体"/>
          <w:spacing w:val="-4"/>
          <w:sz w:val="24"/>
          <w:szCs w:val="24"/>
          <w:highlight w:val="none"/>
          <w:lang w:eastAsia="zh-CN"/>
        </w:rPr>
        <w:t>位。评标委员会将按投</w:t>
      </w:r>
      <w:r>
        <w:rPr>
          <w:rFonts w:ascii="宋体" w:hAnsi="宋体" w:eastAsia="宋体" w:cs="宋体"/>
          <w:spacing w:val="-2"/>
          <w:sz w:val="24"/>
          <w:szCs w:val="24"/>
          <w:highlight w:val="none"/>
          <w:lang w:eastAsia="zh-CN"/>
        </w:rPr>
        <w:t>标供应商得分高低排序向采购人推荐前三名为中标候选人。</w:t>
      </w:r>
    </w:p>
    <w:p w14:paraId="3C352185">
      <w:pPr>
        <w:spacing w:line="220" w:lineRule="auto"/>
        <w:ind w:left="1072"/>
        <w:rPr>
          <w:rFonts w:ascii="宋体" w:hAnsi="宋体" w:eastAsia="宋体" w:cs="宋体"/>
          <w:sz w:val="24"/>
          <w:szCs w:val="24"/>
          <w:highlight w:val="none"/>
          <w:lang w:eastAsia="zh-CN"/>
        </w:rPr>
      </w:pPr>
      <w:r>
        <w:rPr>
          <w:rFonts w:ascii="宋体" w:hAnsi="宋体" w:eastAsia="宋体" w:cs="宋体"/>
          <w:spacing w:val="-1"/>
          <w:sz w:val="24"/>
          <w:szCs w:val="24"/>
          <w:highlight w:val="none"/>
          <w:lang w:eastAsia="zh-CN"/>
        </w:rPr>
        <w:t>6.定标</w:t>
      </w:r>
    </w:p>
    <w:p w14:paraId="58D790C9">
      <w:pPr>
        <w:spacing w:before="182" w:line="361" w:lineRule="auto"/>
        <w:ind w:left="596" w:right="392" w:firstLine="476"/>
        <w:rPr>
          <w:rFonts w:ascii="宋体" w:hAnsi="宋体" w:eastAsia="宋体" w:cs="宋体"/>
          <w:spacing w:val="-4"/>
          <w:sz w:val="24"/>
          <w:szCs w:val="24"/>
          <w:highlight w:val="none"/>
          <w:lang w:eastAsia="zh-CN"/>
        </w:rPr>
      </w:pPr>
      <w:r>
        <w:rPr>
          <w:rFonts w:ascii="宋体" w:hAnsi="宋体" w:eastAsia="宋体" w:cs="宋体"/>
          <w:spacing w:val="-3"/>
          <w:sz w:val="24"/>
          <w:szCs w:val="24"/>
          <w:highlight w:val="none"/>
          <w:lang w:eastAsia="zh-CN"/>
        </w:rPr>
        <w:t>按评委计分结果,评标委员会按照得分由高到低的顺序推荐</w:t>
      </w:r>
      <w:r>
        <w:rPr>
          <w:rFonts w:ascii="宋体" w:hAnsi="宋体" w:eastAsia="宋体" w:cs="宋体"/>
          <w:spacing w:val="-21"/>
          <w:sz w:val="24"/>
          <w:szCs w:val="24"/>
          <w:highlight w:val="none"/>
          <w:lang w:eastAsia="zh-CN"/>
        </w:rPr>
        <w:t xml:space="preserve"> </w:t>
      </w:r>
      <w:r>
        <w:rPr>
          <w:rFonts w:ascii="宋体" w:hAnsi="宋体" w:eastAsia="宋体" w:cs="宋体"/>
          <w:spacing w:val="-3"/>
          <w:sz w:val="24"/>
          <w:szCs w:val="24"/>
          <w:highlight w:val="none"/>
          <w:lang w:eastAsia="zh-CN"/>
        </w:rPr>
        <w:t>3</w:t>
      </w:r>
      <w:r>
        <w:rPr>
          <w:rFonts w:ascii="宋体" w:hAnsi="宋体" w:eastAsia="宋体" w:cs="宋体"/>
          <w:spacing w:val="-36"/>
          <w:sz w:val="24"/>
          <w:szCs w:val="24"/>
          <w:highlight w:val="none"/>
          <w:lang w:eastAsia="zh-CN"/>
        </w:rPr>
        <w:t xml:space="preserve"> </w:t>
      </w:r>
      <w:r>
        <w:rPr>
          <w:rFonts w:ascii="宋体" w:hAnsi="宋体" w:eastAsia="宋体" w:cs="宋体"/>
          <w:spacing w:val="-3"/>
          <w:sz w:val="24"/>
          <w:szCs w:val="24"/>
          <w:highlight w:val="none"/>
          <w:lang w:eastAsia="zh-CN"/>
        </w:rPr>
        <w:t>名中标候选人，</w:t>
      </w:r>
      <w:r>
        <w:rPr>
          <w:rFonts w:ascii="宋体" w:hAnsi="宋体" w:eastAsia="宋体" w:cs="宋体"/>
          <w:spacing w:val="-4"/>
          <w:sz w:val="24"/>
          <w:szCs w:val="24"/>
          <w:highlight w:val="none"/>
          <w:lang w:eastAsia="zh-CN"/>
        </w:rPr>
        <w:t>并向采购人提供书面评标报告。</w:t>
      </w:r>
    </w:p>
    <w:p w14:paraId="101F7843">
      <w:pPr>
        <w:pStyle w:val="4"/>
        <w:spacing w:line="246" w:lineRule="auto"/>
        <w:rPr>
          <w:highlight w:val="none"/>
          <w:lang w:eastAsia="zh-CN"/>
        </w:rPr>
      </w:pPr>
    </w:p>
    <w:p w14:paraId="6DF68CF3">
      <w:pPr>
        <w:pStyle w:val="4"/>
        <w:spacing w:line="246" w:lineRule="auto"/>
        <w:rPr>
          <w:highlight w:val="none"/>
          <w:lang w:eastAsia="zh-CN"/>
        </w:rPr>
      </w:pPr>
    </w:p>
    <w:p w14:paraId="373114C4">
      <w:pPr>
        <w:kinsoku/>
        <w:autoSpaceDE/>
        <w:autoSpaceDN/>
        <w:adjustRightInd/>
        <w:snapToGrid/>
        <w:textAlignment w:val="auto"/>
        <w:rPr>
          <w:rFonts w:ascii="宋体" w:hAnsi="宋体" w:eastAsia="宋体" w:cs="宋体"/>
          <w:b/>
          <w:bCs/>
          <w:spacing w:val="5"/>
          <w:sz w:val="43"/>
          <w:szCs w:val="43"/>
          <w:highlight w:val="none"/>
          <w:lang w:eastAsia="zh-CN"/>
        </w:rPr>
      </w:pPr>
      <w:bookmarkStart w:id="9" w:name="bookmark6"/>
      <w:bookmarkEnd w:id="9"/>
      <w:r>
        <w:rPr>
          <w:rFonts w:ascii="宋体" w:hAnsi="宋体" w:eastAsia="宋体" w:cs="宋体"/>
          <w:b/>
          <w:bCs/>
          <w:spacing w:val="5"/>
          <w:sz w:val="43"/>
          <w:szCs w:val="43"/>
          <w:highlight w:val="none"/>
          <w:lang w:eastAsia="zh-CN"/>
        </w:rPr>
        <w:br w:type="page"/>
      </w:r>
    </w:p>
    <w:p w14:paraId="7947624E">
      <w:pPr>
        <w:spacing w:before="140" w:line="223" w:lineRule="auto"/>
        <w:jc w:val="center"/>
        <w:outlineLvl w:val="0"/>
        <w:rPr>
          <w:rFonts w:ascii="宋体" w:hAnsi="宋体" w:eastAsia="宋体" w:cs="宋体"/>
          <w:sz w:val="43"/>
          <w:szCs w:val="43"/>
          <w:highlight w:val="none"/>
          <w:lang w:eastAsia="zh-CN"/>
        </w:rPr>
      </w:pPr>
      <w:bookmarkStart w:id="10" w:name="_Toc25019"/>
      <w:r>
        <w:rPr>
          <w:rFonts w:ascii="宋体" w:hAnsi="宋体" w:eastAsia="宋体" w:cs="宋体"/>
          <w:b/>
          <w:bCs/>
          <w:spacing w:val="5"/>
          <w:sz w:val="43"/>
          <w:szCs w:val="43"/>
          <w:highlight w:val="none"/>
          <w:lang w:eastAsia="zh-CN"/>
        </w:rPr>
        <w:t>第五章</w:t>
      </w:r>
      <w:r>
        <w:rPr>
          <w:rFonts w:ascii="宋体" w:hAnsi="宋体" w:eastAsia="宋体" w:cs="宋体"/>
          <w:spacing w:val="5"/>
          <w:sz w:val="43"/>
          <w:szCs w:val="43"/>
          <w:highlight w:val="none"/>
          <w:lang w:eastAsia="zh-CN"/>
        </w:rPr>
        <w:t xml:space="preserve">  </w:t>
      </w:r>
      <w:r>
        <w:rPr>
          <w:rFonts w:ascii="宋体" w:hAnsi="宋体" w:eastAsia="宋体" w:cs="宋体"/>
          <w:b/>
          <w:bCs/>
          <w:spacing w:val="5"/>
          <w:sz w:val="43"/>
          <w:szCs w:val="43"/>
          <w:highlight w:val="none"/>
          <w:lang w:eastAsia="zh-CN"/>
        </w:rPr>
        <w:t>合同条款及格式</w:t>
      </w:r>
      <w:bookmarkEnd w:id="10"/>
    </w:p>
    <w:p w14:paraId="34347379">
      <w:pPr>
        <w:spacing w:before="186" w:line="219" w:lineRule="auto"/>
        <w:ind w:left="3343"/>
        <w:rPr>
          <w:rFonts w:ascii="宋体" w:hAnsi="宋体" w:eastAsia="宋体" w:cs="宋体"/>
          <w:sz w:val="28"/>
          <w:szCs w:val="28"/>
          <w:highlight w:val="none"/>
          <w:lang w:eastAsia="zh-CN"/>
        </w:rPr>
      </w:pPr>
      <w:r>
        <w:rPr>
          <w:rFonts w:ascii="宋体" w:hAnsi="宋体" w:eastAsia="宋体" w:cs="宋体"/>
          <w:b/>
          <w:bCs/>
          <w:spacing w:val="-7"/>
          <w:sz w:val="28"/>
          <w:szCs w:val="28"/>
          <w:highlight w:val="none"/>
          <w:lang w:eastAsia="zh-CN"/>
        </w:rPr>
        <w:t>（格式仅供参考）</w:t>
      </w:r>
    </w:p>
    <w:p w14:paraId="56031F3E">
      <w:pPr>
        <w:spacing w:before="155" w:line="241" w:lineRule="auto"/>
        <w:ind w:left="50" w:right="16" w:firstLine="455"/>
        <w:jc w:val="both"/>
        <w:rPr>
          <w:rFonts w:ascii="宋体" w:hAnsi="宋体" w:eastAsia="宋体" w:cs="宋体"/>
          <w:sz w:val="24"/>
          <w:szCs w:val="24"/>
          <w:highlight w:val="none"/>
          <w:lang w:eastAsia="zh-CN"/>
        </w:rPr>
      </w:pPr>
      <w:r>
        <w:rPr>
          <w:rFonts w:ascii="宋体" w:hAnsi="宋体" w:eastAsia="宋体" w:cs="宋体"/>
          <w:b/>
          <w:bCs/>
          <w:spacing w:val="-2"/>
          <w:sz w:val="24"/>
          <w:szCs w:val="24"/>
          <w:highlight w:val="none"/>
          <w:lang w:eastAsia="zh-CN"/>
        </w:rPr>
        <w:t>双方根据招标文件、</w:t>
      </w:r>
      <w:r>
        <w:rPr>
          <w:rFonts w:ascii="宋体" w:hAnsi="宋体" w:eastAsia="宋体" w:cs="宋体"/>
          <w:spacing w:val="-68"/>
          <w:sz w:val="24"/>
          <w:szCs w:val="24"/>
          <w:highlight w:val="none"/>
          <w:lang w:eastAsia="zh-CN"/>
        </w:rPr>
        <w:t xml:space="preserve"> </w:t>
      </w:r>
      <w:r>
        <w:rPr>
          <w:rFonts w:ascii="宋体" w:hAnsi="宋体" w:eastAsia="宋体" w:cs="宋体"/>
          <w:b/>
          <w:bCs/>
          <w:spacing w:val="-2"/>
          <w:sz w:val="24"/>
          <w:szCs w:val="24"/>
          <w:highlight w:val="none"/>
          <w:lang w:eastAsia="zh-CN"/>
        </w:rPr>
        <w:t>中标通知书、</w:t>
      </w:r>
      <w:r>
        <w:rPr>
          <w:rFonts w:ascii="宋体" w:hAnsi="宋体" w:eastAsia="宋体" w:cs="宋体"/>
          <w:spacing w:val="-64"/>
          <w:sz w:val="24"/>
          <w:szCs w:val="24"/>
          <w:highlight w:val="none"/>
          <w:lang w:eastAsia="zh-CN"/>
        </w:rPr>
        <w:t xml:space="preserve"> </w:t>
      </w:r>
      <w:r>
        <w:rPr>
          <w:rFonts w:ascii="宋体" w:hAnsi="宋体" w:eastAsia="宋体" w:cs="宋体"/>
          <w:b/>
          <w:bCs/>
          <w:spacing w:val="-2"/>
          <w:sz w:val="24"/>
          <w:szCs w:val="24"/>
          <w:highlight w:val="none"/>
          <w:lang w:eastAsia="zh-CN"/>
        </w:rPr>
        <w:t>中标单位投标文件（包括澄清说明），</w:t>
      </w:r>
      <w:r>
        <w:rPr>
          <w:rFonts w:ascii="宋体" w:hAnsi="宋体" w:eastAsia="宋体" w:cs="宋体"/>
          <w:b/>
          <w:bCs/>
          <w:spacing w:val="1"/>
          <w:sz w:val="24"/>
          <w:szCs w:val="24"/>
          <w:highlight w:val="none"/>
          <w:lang w:eastAsia="zh-CN"/>
        </w:rPr>
        <w:t>以及与本项目相关的资料签订合同。所签订的</w:t>
      </w:r>
      <w:r>
        <w:rPr>
          <w:rFonts w:ascii="宋体" w:hAnsi="宋体" w:eastAsia="宋体" w:cs="宋体"/>
          <w:b/>
          <w:bCs/>
          <w:sz w:val="24"/>
          <w:szCs w:val="24"/>
          <w:highlight w:val="none"/>
          <w:lang w:eastAsia="zh-CN"/>
        </w:rPr>
        <w:t>合同不得背离招标文件的实质性</w:t>
      </w:r>
      <w:r>
        <w:rPr>
          <w:rFonts w:ascii="宋体" w:hAnsi="宋体" w:eastAsia="宋体" w:cs="宋体"/>
          <w:b/>
          <w:bCs/>
          <w:spacing w:val="-6"/>
          <w:sz w:val="24"/>
          <w:szCs w:val="24"/>
          <w:highlight w:val="none"/>
          <w:lang w:eastAsia="zh-CN"/>
        </w:rPr>
        <w:t>内容要求和投标文件的承诺。</w:t>
      </w:r>
    </w:p>
    <w:p w14:paraId="50F905CA">
      <w:pPr>
        <w:spacing w:before="282" w:line="221" w:lineRule="auto"/>
        <w:ind w:left="54"/>
        <w:rPr>
          <w:rFonts w:ascii="宋体" w:hAnsi="宋体" w:eastAsia="宋体" w:cs="宋体"/>
          <w:sz w:val="24"/>
          <w:szCs w:val="24"/>
          <w:highlight w:val="none"/>
          <w:lang w:eastAsia="zh-CN"/>
        </w:rPr>
      </w:pPr>
      <w:r>
        <w:rPr>
          <w:rFonts w:ascii="宋体" w:hAnsi="宋体" w:eastAsia="宋体" w:cs="宋体"/>
          <w:spacing w:val="-23"/>
          <w:sz w:val="24"/>
          <w:szCs w:val="24"/>
          <w:highlight w:val="none"/>
          <w:lang w:eastAsia="zh-CN"/>
        </w:rPr>
        <w:t>甲方：</w:t>
      </w:r>
    </w:p>
    <w:p w14:paraId="055F884F">
      <w:pPr>
        <w:pStyle w:val="4"/>
        <w:spacing w:line="292" w:lineRule="auto"/>
        <w:rPr>
          <w:highlight w:val="none"/>
          <w:lang w:eastAsia="zh-CN"/>
        </w:rPr>
      </w:pPr>
    </w:p>
    <w:p w14:paraId="07F455C6">
      <w:pPr>
        <w:spacing w:before="78" w:line="221" w:lineRule="auto"/>
        <w:ind w:left="47"/>
        <w:rPr>
          <w:rFonts w:ascii="宋体" w:hAnsi="宋体" w:eastAsia="宋体" w:cs="宋体"/>
          <w:sz w:val="24"/>
          <w:szCs w:val="24"/>
          <w:highlight w:val="none"/>
          <w:lang w:eastAsia="zh-CN"/>
        </w:rPr>
      </w:pPr>
      <w:r>
        <w:rPr>
          <w:rFonts w:ascii="宋体" w:hAnsi="宋体" w:eastAsia="宋体" w:cs="宋体"/>
          <w:spacing w:val="-20"/>
          <w:sz w:val="24"/>
          <w:szCs w:val="24"/>
          <w:highlight w:val="none"/>
          <w:lang w:eastAsia="zh-CN"/>
        </w:rPr>
        <w:t>乙方：</w:t>
      </w:r>
    </w:p>
    <w:p w14:paraId="667E45B0">
      <w:pPr>
        <w:pStyle w:val="4"/>
        <w:spacing w:line="292" w:lineRule="auto"/>
        <w:rPr>
          <w:highlight w:val="none"/>
          <w:lang w:eastAsia="zh-CN"/>
        </w:rPr>
      </w:pPr>
    </w:p>
    <w:p w14:paraId="602EA17B">
      <w:pPr>
        <w:wordWrap w:val="0"/>
        <w:spacing w:line="600" w:lineRule="exact"/>
        <w:ind w:firstLine="480" w:firstLineChars="200"/>
        <w:rPr>
          <w:rFonts w:ascii="宋体" w:hAnsi="宋体" w:cs="宋体"/>
          <w:sz w:val="24"/>
          <w:szCs w:val="24"/>
          <w:highlight w:val="none"/>
          <w:lang w:eastAsia="zh-CN"/>
        </w:rPr>
      </w:pPr>
      <w:r>
        <w:rPr>
          <w:rFonts w:hint="eastAsia" w:ascii="宋体" w:hAnsi="宋体" w:cs="宋体"/>
          <w:sz w:val="24"/>
          <w:szCs w:val="24"/>
          <w:highlight w:val="none"/>
          <w:u w:val="single"/>
          <w:lang w:eastAsia="zh-CN"/>
        </w:rPr>
        <w:t xml:space="preserve">  渑池县林业局  </w:t>
      </w:r>
      <w:r>
        <w:rPr>
          <w:rFonts w:hint="eastAsia" w:ascii="宋体" w:hAnsi="宋体" w:cs="宋体"/>
          <w:sz w:val="24"/>
          <w:szCs w:val="24"/>
          <w:highlight w:val="none"/>
          <w:lang w:eastAsia="zh-CN"/>
        </w:rPr>
        <w:t>组织对渑池县2024年度原天保工程区森林抚育项目（二次）进行公开招标，招标编号（</w:t>
      </w:r>
      <w:r>
        <w:rPr>
          <w:rFonts w:hint="eastAsia" w:ascii="宋体" w:hAnsi="宋体" w:eastAsia="宋体" w:cs="宋体"/>
          <w:sz w:val="24"/>
          <w:szCs w:val="24"/>
          <w:highlight w:val="none"/>
          <w:u w:val="single"/>
          <w:lang w:eastAsia="zh-CN"/>
        </w:rPr>
        <w:t xml:space="preserve">    </w:t>
      </w:r>
      <w:r>
        <w:rPr>
          <w:rFonts w:hint="eastAsia" w:ascii="宋体" w:hAnsi="宋体" w:cs="宋体"/>
          <w:sz w:val="24"/>
          <w:szCs w:val="24"/>
          <w:highlight w:val="none"/>
          <w:lang w:eastAsia="zh-CN"/>
        </w:rPr>
        <w:t>），于</w:t>
      </w:r>
      <w:r>
        <w:rPr>
          <w:rFonts w:hint="eastAsia" w:ascii="宋体" w:hAnsi="宋体" w:eastAsia="宋体" w:cs="宋体"/>
          <w:sz w:val="24"/>
          <w:szCs w:val="24"/>
          <w:highlight w:val="none"/>
          <w:u w:val="single"/>
          <w:lang w:eastAsia="zh-CN"/>
        </w:rPr>
        <w:t xml:space="preserve">   </w:t>
      </w:r>
      <w:r>
        <w:rPr>
          <w:rFonts w:hint="eastAsia" w:ascii="宋体" w:hAnsi="宋体" w:cs="宋体"/>
          <w:sz w:val="24"/>
          <w:szCs w:val="24"/>
          <w:highlight w:val="none"/>
          <w:lang w:eastAsia="zh-CN"/>
        </w:rPr>
        <w:t>年</w:t>
      </w:r>
      <w:r>
        <w:rPr>
          <w:rFonts w:hint="eastAsia" w:ascii="宋体" w:hAnsi="宋体" w:eastAsia="宋体" w:cs="宋体"/>
          <w:sz w:val="24"/>
          <w:szCs w:val="24"/>
          <w:highlight w:val="none"/>
          <w:u w:val="single"/>
          <w:lang w:eastAsia="zh-CN"/>
        </w:rPr>
        <w:t xml:space="preserve">   </w:t>
      </w:r>
      <w:r>
        <w:rPr>
          <w:rFonts w:hint="eastAsia" w:ascii="宋体" w:hAnsi="宋体" w:cs="宋体"/>
          <w:sz w:val="24"/>
          <w:szCs w:val="24"/>
          <w:highlight w:val="none"/>
          <w:lang w:eastAsia="zh-CN"/>
        </w:rPr>
        <w:t>月</w:t>
      </w:r>
      <w:r>
        <w:rPr>
          <w:rFonts w:hint="eastAsia" w:ascii="宋体" w:hAnsi="宋体" w:eastAsia="宋体" w:cs="宋体"/>
          <w:sz w:val="24"/>
          <w:szCs w:val="24"/>
          <w:highlight w:val="none"/>
          <w:u w:val="single"/>
          <w:lang w:eastAsia="zh-CN"/>
        </w:rPr>
        <w:t xml:space="preserve">    </w:t>
      </w:r>
      <w:r>
        <w:rPr>
          <w:rFonts w:hint="eastAsia" w:ascii="宋体" w:hAnsi="宋体" w:cs="宋体"/>
          <w:sz w:val="24"/>
          <w:szCs w:val="24"/>
          <w:highlight w:val="none"/>
          <w:lang w:eastAsia="zh-CN"/>
        </w:rPr>
        <w:t xml:space="preserve">日通过开标，确定乙方为渑池县2024年度原天保工程区森林抚育项目（二次）中标人。为了保护供需各方合法权益,根据《中华人民共和国政府采购法》、《中华人民共和国合同法》等相关法律、法规的规定，并严格遵循政府采购项目采购文件的相关规定，经甲乙双方协商一致，订立本合同。 </w:t>
      </w:r>
    </w:p>
    <w:p w14:paraId="49EE6C06">
      <w:pPr>
        <w:wordWrap w:val="0"/>
        <w:spacing w:line="600" w:lineRule="exact"/>
        <w:ind w:firstLine="480" w:firstLineChars="200"/>
        <w:rPr>
          <w:rFonts w:ascii="宋体" w:hAnsi="宋体" w:cs="宋体"/>
          <w:b/>
          <w:bCs/>
          <w:sz w:val="24"/>
          <w:szCs w:val="24"/>
          <w:highlight w:val="none"/>
          <w:lang w:eastAsia="zh-CN"/>
        </w:rPr>
      </w:pPr>
      <w:r>
        <w:rPr>
          <w:rFonts w:hint="eastAsia" w:ascii="宋体" w:hAnsi="宋体" w:cs="宋体"/>
          <w:b/>
          <w:bCs/>
          <w:sz w:val="24"/>
          <w:szCs w:val="24"/>
          <w:highlight w:val="none"/>
          <w:lang w:eastAsia="zh-CN"/>
        </w:rPr>
        <w:t>一、项目概况、合同金额</w:t>
      </w:r>
    </w:p>
    <w:p w14:paraId="0C666583">
      <w:pPr>
        <w:wordWrap w:val="0"/>
        <w:spacing w:line="600" w:lineRule="exact"/>
        <w:ind w:firstLine="480" w:firstLineChars="200"/>
        <w:rPr>
          <w:rFonts w:ascii="宋体" w:hAnsi="宋体" w:cs="宋体"/>
          <w:sz w:val="24"/>
          <w:szCs w:val="24"/>
          <w:highlight w:val="none"/>
          <w:lang w:eastAsia="zh-CN"/>
        </w:rPr>
      </w:pPr>
      <w:r>
        <w:rPr>
          <w:rFonts w:hint="eastAsia" w:ascii="宋体" w:hAnsi="宋体" w:cs="宋体"/>
          <w:sz w:val="24"/>
          <w:szCs w:val="24"/>
          <w:highlight w:val="none"/>
          <w:lang w:eastAsia="zh-CN"/>
        </w:rPr>
        <w:t>1.项目编号：</w:t>
      </w:r>
    </w:p>
    <w:p w14:paraId="6E062C3D">
      <w:pPr>
        <w:wordWrap w:val="0"/>
        <w:spacing w:line="600" w:lineRule="exact"/>
        <w:ind w:firstLine="480" w:firstLineChars="200"/>
        <w:rPr>
          <w:rFonts w:ascii="宋体" w:hAnsi="宋体" w:cs="宋体"/>
          <w:sz w:val="24"/>
          <w:szCs w:val="24"/>
          <w:highlight w:val="none"/>
          <w:lang w:eastAsia="zh-CN"/>
        </w:rPr>
      </w:pPr>
      <w:r>
        <w:rPr>
          <w:rFonts w:hint="eastAsia" w:ascii="宋体" w:hAnsi="宋体" w:cs="宋体"/>
          <w:sz w:val="24"/>
          <w:szCs w:val="24"/>
          <w:highlight w:val="none"/>
          <w:lang w:eastAsia="zh-CN"/>
        </w:rPr>
        <w:t>2.项目名称：渑池县2024年度原天保工程区森林抚育项目（二次）</w:t>
      </w:r>
    </w:p>
    <w:p w14:paraId="5DCBACCE">
      <w:pPr>
        <w:wordWrap w:val="0"/>
        <w:spacing w:line="600" w:lineRule="exact"/>
        <w:ind w:firstLine="480" w:firstLineChars="200"/>
        <w:rPr>
          <w:rFonts w:ascii="宋体" w:hAnsi="宋体" w:cs="宋体"/>
          <w:sz w:val="24"/>
          <w:szCs w:val="24"/>
          <w:highlight w:val="none"/>
          <w:lang w:eastAsia="zh-CN"/>
        </w:rPr>
      </w:pPr>
      <w:r>
        <w:rPr>
          <w:rFonts w:hint="eastAsia" w:ascii="宋体" w:hAnsi="宋体" w:cs="宋体"/>
          <w:sz w:val="24"/>
          <w:szCs w:val="24"/>
          <w:highlight w:val="none"/>
          <w:lang w:eastAsia="zh-CN"/>
        </w:rPr>
        <w:t>3.具体内容：</w:t>
      </w:r>
    </w:p>
    <w:p w14:paraId="47427E53">
      <w:pPr>
        <w:wordWrap w:val="0"/>
        <w:spacing w:line="600" w:lineRule="exact"/>
        <w:ind w:firstLine="480" w:firstLineChars="200"/>
        <w:rPr>
          <w:rFonts w:ascii="宋体" w:hAnsi="宋体" w:cs="宋体"/>
          <w:sz w:val="24"/>
          <w:szCs w:val="24"/>
          <w:highlight w:val="none"/>
          <w:lang w:eastAsia="zh-CN"/>
        </w:rPr>
      </w:pPr>
      <w:r>
        <w:rPr>
          <w:rFonts w:hint="eastAsia" w:ascii="宋体" w:hAnsi="宋体" w:cs="宋体"/>
          <w:sz w:val="24"/>
          <w:szCs w:val="24"/>
          <w:highlight w:val="none"/>
          <w:lang w:eastAsia="zh-CN"/>
        </w:rPr>
        <w:t>4.合同金额：人民币</w:t>
      </w:r>
      <w:r>
        <w:rPr>
          <w:rFonts w:hint="eastAsia" w:ascii="宋体" w:hAnsi="宋体" w:eastAsia="宋体" w:cs="宋体"/>
          <w:sz w:val="24"/>
          <w:szCs w:val="24"/>
          <w:highlight w:val="none"/>
          <w:u w:val="single"/>
          <w:lang w:eastAsia="zh-CN"/>
        </w:rPr>
        <w:t xml:space="preserve">     </w:t>
      </w:r>
      <w:r>
        <w:rPr>
          <w:rFonts w:hint="eastAsia" w:ascii="宋体" w:hAnsi="宋体" w:cs="宋体"/>
          <w:sz w:val="24"/>
          <w:szCs w:val="24"/>
          <w:highlight w:val="none"/>
          <w:lang w:eastAsia="zh-CN"/>
        </w:rPr>
        <w:t>元（大写：</w:t>
      </w:r>
      <w:r>
        <w:rPr>
          <w:rFonts w:hint="eastAsia" w:ascii="宋体" w:hAnsi="宋体" w:eastAsia="宋体" w:cs="宋体"/>
          <w:sz w:val="24"/>
          <w:szCs w:val="24"/>
          <w:highlight w:val="none"/>
          <w:u w:val="single"/>
          <w:lang w:eastAsia="zh-CN"/>
        </w:rPr>
        <w:t xml:space="preserve">      </w:t>
      </w:r>
      <w:r>
        <w:rPr>
          <w:rFonts w:hint="eastAsia" w:ascii="宋体" w:hAnsi="宋体" w:cs="宋体"/>
          <w:sz w:val="24"/>
          <w:szCs w:val="24"/>
          <w:highlight w:val="none"/>
          <w:lang w:eastAsia="zh-CN"/>
        </w:rPr>
        <w:t>），以上价格以人民币结算。</w:t>
      </w:r>
    </w:p>
    <w:p w14:paraId="118A66B1">
      <w:pPr>
        <w:spacing w:line="220" w:lineRule="auto"/>
        <w:ind w:left="510"/>
        <w:rPr>
          <w:rFonts w:ascii="宋体" w:hAnsi="宋体" w:eastAsia="宋体" w:cs="宋体"/>
          <w:sz w:val="24"/>
          <w:szCs w:val="24"/>
          <w:highlight w:val="none"/>
          <w:lang w:eastAsia="zh-CN"/>
        </w:rPr>
      </w:pPr>
    </w:p>
    <w:p w14:paraId="0F15A709">
      <w:pPr>
        <w:spacing w:before="78" w:line="220" w:lineRule="auto"/>
        <w:ind w:left="510"/>
        <w:rPr>
          <w:rFonts w:ascii="宋体" w:hAnsi="宋体" w:eastAsia="宋体" w:cs="宋体"/>
          <w:sz w:val="24"/>
          <w:szCs w:val="24"/>
          <w:highlight w:val="none"/>
          <w:lang w:eastAsia="zh-CN"/>
        </w:rPr>
      </w:pPr>
      <w:r>
        <w:rPr>
          <w:rFonts w:ascii="宋体" w:hAnsi="宋体" w:eastAsia="宋体" w:cs="宋体"/>
          <w:b/>
          <w:bCs/>
          <w:spacing w:val="-4"/>
          <w:sz w:val="24"/>
          <w:szCs w:val="24"/>
          <w:highlight w:val="none"/>
          <w:lang w:eastAsia="zh-CN"/>
        </w:rPr>
        <w:t>二、实施时间</w:t>
      </w:r>
    </w:p>
    <w:p w14:paraId="44765CC4">
      <w:pPr>
        <w:pStyle w:val="4"/>
        <w:spacing w:line="293" w:lineRule="auto"/>
        <w:rPr>
          <w:highlight w:val="none"/>
          <w:lang w:eastAsia="zh-CN"/>
        </w:rPr>
      </w:pPr>
    </w:p>
    <w:p w14:paraId="0D0AFD27">
      <w:pPr>
        <w:spacing w:before="78" w:line="220" w:lineRule="auto"/>
        <w:ind w:left="502"/>
        <w:rPr>
          <w:rFonts w:ascii="宋体" w:hAnsi="宋体" w:eastAsia="宋体" w:cs="宋体"/>
          <w:spacing w:val="-2"/>
          <w:sz w:val="24"/>
          <w:szCs w:val="24"/>
          <w:highlight w:val="none"/>
          <w:lang w:eastAsia="zh-CN"/>
        </w:rPr>
      </w:pPr>
      <w:r>
        <w:rPr>
          <w:rFonts w:ascii="宋体" w:hAnsi="宋体" w:eastAsia="宋体" w:cs="宋体"/>
          <w:spacing w:val="-2"/>
          <w:sz w:val="24"/>
          <w:szCs w:val="24"/>
          <w:highlight w:val="none"/>
          <w:lang w:eastAsia="zh-CN"/>
        </w:rPr>
        <w:t>年    月     日</w:t>
      </w:r>
      <w:r>
        <w:rPr>
          <w:rFonts w:hint="eastAsia" w:ascii="宋体" w:hAnsi="宋体" w:eastAsia="宋体" w:cs="宋体"/>
          <w:spacing w:val="-2"/>
          <w:sz w:val="24"/>
          <w:szCs w:val="24"/>
          <w:highlight w:val="none"/>
          <w:lang w:eastAsia="zh-CN"/>
        </w:rPr>
        <w:t xml:space="preserve">至    </w:t>
      </w:r>
      <w:r>
        <w:rPr>
          <w:rFonts w:ascii="宋体" w:hAnsi="宋体" w:eastAsia="宋体" w:cs="宋体"/>
          <w:spacing w:val="-2"/>
          <w:sz w:val="24"/>
          <w:szCs w:val="24"/>
          <w:highlight w:val="none"/>
          <w:lang w:eastAsia="zh-CN"/>
        </w:rPr>
        <w:t xml:space="preserve"> 年   月    日。</w:t>
      </w:r>
    </w:p>
    <w:p w14:paraId="581C9447">
      <w:pPr>
        <w:pStyle w:val="4"/>
        <w:spacing w:line="296" w:lineRule="auto"/>
        <w:rPr>
          <w:highlight w:val="none"/>
          <w:lang w:eastAsia="zh-CN"/>
        </w:rPr>
      </w:pPr>
    </w:p>
    <w:p w14:paraId="23F5ACBE">
      <w:pPr>
        <w:spacing w:before="78" w:line="220" w:lineRule="auto"/>
        <w:ind w:left="528"/>
        <w:rPr>
          <w:rFonts w:ascii="宋体" w:hAnsi="宋体" w:eastAsia="宋体" w:cs="宋体"/>
          <w:sz w:val="24"/>
          <w:szCs w:val="24"/>
          <w:highlight w:val="none"/>
          <w:lang w:eastAsia="zh-CN"/>
        </w:rPr>
      </w:pPr>
      <w:r>
        <w:rPr>
          <w:rFonts w:hint="eastAsia" w:ascii="宋体" w:hAnsi="宋体" w:eastAsia="宋体" w:cs="宋体"/>
          <w:b/>
          <w:bCs/>
          <w:spacing w:val="-6"/>
          <w:sz w:val="24"/>
          <w:szCs w:val="24"/>
          <w:highlight w:val="none"/>
          <w:lang w:eastAsia="zh-CN"/>
        </w:rPr>
        <w:t>三</w:t>
      </w:r>
      <w:r>
        <w:rPr>
          <w:rFonts w:ascii="宋体" w:hAnsi="宋体" w:eastAsia="宋体" w:cs="宋体"/>
          <w:b/>
          <w:bCs/>
          <w:spacing w:val="-6"/>
          <w:sz w:val="24"/>
          <w:szCs w:val="24"/>
          <w:highlight w:val="none"/>
          <w:lang w:eastAsia="zh-CN"/>
        </w:rPr>
        <w:t>、验收及付款方式</w:t>
      </w:r>
    </w:p>
    <w:p w14:paraId="5E6D58F0">
      <w:pPr>
        <w:pStyle w:val="4"/>
        <w:spacing w:line="294" w:lineRule="auto"/>
        <w:rPr>
          <w:highlight w:val="none"/>
          <w:lang w:eastAsia="zh-CN"/>
        </w:rPr>
      </w:pPr>
    </w:p>
    <w:p w14:paraId="310DE6EB">
      <w:pPr>
        <w:spacing w:before="78" w:line="220" w:lineRule="auto"/>
        <w:ind w:left="502"/>
        <w:rPr>
          <w:rFonts w:ascii="宋体" w:hAnsi="宋体" w:eastAsia="宋体" w:cs="宋体"/>
          <w:sz w:val="24"/>
          <w:szCs w:val="24"/>
          <w:highlight w:val="none"/>
          <w:lang w:eastAsia="zh-CN"/>
        </w:rPr>
      </w:pPr>
      <w:r>
        <w:rPr>
          <w:rFonts w:ascii="宋体" w:hAnsi="宋体" w:eastAsia="宋体" w:cs="宋体"/>
          <w:spacing w:val="-2"/>
          <w:sz w:val="24"/>
          <w:szCs w:val="24"/>
          <w:highlight w:val="none"/>
          <w:lang w:eastAsia="zh-CN"/>
        </w:rPr>
        <w:t>验收：</w:t>
      </w:r>
      <w:r>
        <w:rPr>
          <w:rFonts w:hint="eastAsia" w:ascii="宋体" w:hAnsi="宋体" w:eastAsia="宋体" w:cs="宋体"/>
          <w:spacing w:val="-2"/>
          <w:sz w:val="24"/>
          <w:szCs w:val="24"/>
          <w:highlight w:val="none"/>
          <w:lang w:val="en-US" w:eastAsia="zh-CN"/>
        </w:rPr>
        <w:t>项目</w:t>
      </w:r>
      <w:r>
        <w:rPr>
          <w:rFonts w:ascii="宋体" w:hAnsi="宋体" w:eastAsia="宋体" w:cs="宋体"/>
          <w:spacing w:val="-2"/>
          <w:sz w:val="24"/>
          <w:szCs w:val="24"/>
          <w:highlight w:val="none"/>
          <w:lang w:eastAsia="zh-CN"/>
        </w:rPr>
        <w:t>全部完工，由林业局组织具体实施验收。</w:t>
      </w:r>
    </w:p>
    <w:p w14:paraId="34311705">
      <w:pPr>
        <w:pStyle w:val="4"/>
        <w:spacing w:line="294" w:lineRule="auto"/>
        <w:rPr>
          <w:highlight w:val="none"/>
          <w:lang w:eastAsia="zh-CN"/>
        </w:rPr>
      </w:pPr>
    </w:p>
    <w:p w14:paraId="385C35FB">
      <w:pPr>
        <w:spacing w:before="79" w:line="508" w:lineRule="auto"/>
        <w:ind w:left="24" w:right="12" w:firstLine="478"/>
        <w:rPr>
          <w:rFonts w:ascii="宋体" w:hAnsi="宋体" w:eastAsia="宋体" w:cs="宋体"/>
          <w:sz w:val="24"/>
          <w:szCs w:val="24"/>
          <w:highlight w:val="none"/>
          <w:lang w:eastAsia="zh-CN"/>
        </w:rPr>
      </w:pPr>
      <w:r>
        <w:rPr>
          <w:rFonts w:ascii="宋体" w:hAnsi="宋体" w:eastAsia="宋体" w:cs="宋体"/>
          <w:spacing w:val="-3"/>
          <w:sz w:val="24"/>
          <w:szCs w:val="24"/>
          <w:highlight w:val="none"/>
          <w:lang w:eastAsia="zh-CN"/>
        </w:rPr>
        <w:t>付款：甲方按照省、县验收合格面积，依据工程竣工结算价给乙方</w:t>
      </w:r>
      <w:r>
        <w:rPr>
          <w:rFonts w:ascii="宋体" w:hAnsi="宋体" w:eastAsia="宋体" w:cs="宋体"/>
          <w:spacing w:val="-4"/>
          <w:sz w:val="24"/>
          <w:szCs w:val="24"/>
          <w:highlight w:val="none"/>
          <w:lang w:eastAsia="zh-CN"/>
        </w:rPr>
        <w:t>支付</w:t>
      </w:r>
      <w:r>
        <w:rPr>
          <w:rFonts w:hint="eastAsia" w:ascii="宋体" w:hAnsi="宋体" w:eastAsia="宋体" w:cs="宋体"/>
          <w:spacing w:val="-4"/>
          <w:sz w:val="24"/>
          <w:szCs w:val="24"/>
          <w:highlight w:val="none"/>
          <w:lang w:eastAsia="zh-CN"/>
        </w:rPr>
        <w:t>项目</w:t>
      </w:r>
      <w:r>
        <w:rPr>
          <w:rFonts w:ascii="宋体" w:hAnsi="宋体" w:eastAsia="宋体" w:cs="宋体"/>
          <w:spacing w:val="-10"/>
          <w:sz w:val="24"/>
          <w:szCs w:val="24"/>
          <w:highlight w:val="none"/>
          <w:lang w:eastAsia="zh-CN"/>
        </w:rPr>
        <w:t>价款。</w:t>
      </w:r>
    </w:p>
    <w:p w14:paraId="03D9A071">
      <w:pPr>
        <w:spacing w:before="1" w:line="219" w:lineRule="auto"/>
        <w:ind w:left="510"/>
        <w:rPr>
          <w:rFonts w:ascii="宋体" w:hAnsi="宋体" w:eastAsia="宋体" w:cs="宋体"/>
          <w:sz w:val="24"/>
          <w:szCs w:val="24"/>
          <w:highlight w:val="none"/>
          <w:lang w:eastAsia="zh-CN"/>
        </w:rPr>
      </w:pPr>
      <w:r>
        <w:rPr>
          <w:rFonts w:hint="eastAsia" w:ascii="宋体" w:hAnsi="宋体" w:eastAsia="宋体" w:cs="宋体"/>
          <w:b/>
          <w:bCs/>
          <w:spacing w:val="-4"/>
          <w:sz w:val="24"/>
          <w:szCs w:val="24"/>
          <w:highlight w:val="none"/>
          <w:lang w:eastAsia="zh-CN"/>
        </w:rPr>
        <w:t>四</w:t>
      </w:r>
      <w:r>
        <w:rPr>
          <w:rFonts w:ascii="宋体" w:hAnsi="宋体" w:eastAsia="宋体" w:cs="宋体"/>
          <w:b/>
          <w:bCs/>
          <w:spacing w:val="-4"/>
          <w:sz w:val="24"/>
          <w:szCs w:val="24"/>
          <w:highlight w:val="none"/>
          <w:lang w:eastAsia="zh-CN"/>
        </w:rPr>
        <w:t>、双方责任和义务</w:t>
      </w:r>
    </w:p>
    <w:p w14:paraId="70B370AE">
      <w:pPr>
        <w:pStyle w:val="4"/>
        <w:spacing w:line="295" w:lineRule="auto"/>
        <w:rPr>
          <w:highlight w:val="none"/>
          <w:lang w:eastAsia="zh-CN"/>
        </w:rPr>
      </w:pPr>
    </w:p>
    <w:p w14:paraId="4FFD2C3F">
      <w:pPr>
        <w:spacing w:before="78" w:line="510" w:lineRule="auto"/>
        <w:ind w:left="45" w:right="39" w:firstLine="476"/>
        <w:rPr>
          <w:highlight w:val="none"/>
          <w:lang w:eastAsia="zh-CN"/>
        </w:rPr>
      </w:pPr>
      <w:r>
        <w:rPr>
          <w:rFonts w:ascii="宋体" w:hAnsi="宋体" w:eastAsia="宋体" w:cs="宋体"/>
          <w:spacing w:val="-1"/>
          <w:sz w:val="24"/>
          <w:szCs w:val="24"/>
          <w:highlight w:val="none"/>
          <w:lang w:eastAsia="zh-CN"/>
        </w:rPr>
        <w:t>1、甲方派专人全程跟踪项目实施情况，督促森林抚育实施，及时掌握实施</w:t>
      </w:r>
      <w:r>
        <w:rPr>
          <w:rFonts w:ascii="宋体" w:hAnsi="宋体" w:eastAsia="宋体" w:cs="宋体"/>
          <w:spacing w:val="-7"/>
          <w:sz w:val="24"/>
          <w:szCs w:val="24"/>
          <w:highlight w:val="none"/>
          <w:lang w:eastAsia="zh-CN"/>
        </w:rPr>
        <w:t>山场的质量和进度。</w:t>
      </w:r>
    </w:p>
    <w:p w14:paraId="7D22B8EB">
      <w:pPr>
        <w:spacing w:before="78" w:line="508" w:lineRule="auto"/>
        <w:ind w:left="32" w:right="38" w:firstLine="474"/>
        <w:rPr>
          <w:rFonts w:ascii="宋体" w:hAnsi="宋体" w:eastAsia="宋体" w:cs="宋体"/>
          <w:sz w:val="24"/>
          <w:szCs w:val="24"/>
          <w:highlight w:val="none"/>
          <w:lang w:eastAsia="zh-CN"/>
        </w:rPr>
      </w:pPr>
      <w:r>
        <w:rPr>
          <w:rFonts w:ascii="宋体" w:hAnsi="宋体" w:eastAsia="宋体" w:cs="宋体"/>
          <w:sz w:val="24"/>
          <w:szCs w:val="24"/>
          <w:highlight w:val="none"/>
          <w:lang w:eastAsia="zh-CN"/>
        </w:rPr>
        <w:t>2、对未按照有关规定要求操作的实施单位，甲</w:t>
      </w:r>
      <w:r>
        <w:rPr>
          <w:rFonts w:ascii="宋体" w:hAnsi="宋体" w:eastAsia="宋体" w:cs="宋体"/>
          <w:spacing w:val="-1"/>
          <w:sz w:val="24"/>
          <w:szCs w:val="24"/>
          <w:highlight w:val="none"/>
          <w:lang w:eastAsia="zh-CN"/>
        </w:rPr>
        <w:t>方有权及时制止，并责令整</w:t>
      </w:r>
      <w:r>
        <w:rPr>
          <w:rFonts w:ascii="宋体" w:hAnsi="宋体" w:eastAsia="宋体" w:cs="宋体"/>
          <w:spacing w:val="-2"/>
          <w:sz w:val="24"/>
          <w:szCs w:val="24"/>
          <w:highlight w:val="none"/>
          <w:lang w:eastAsia="zh-CN"/>
        </w:rPr>
        <w:t>改，整改不到位的，甲方可终止合同，取消项</w:t>
      </w:r>
      <w:r>
        <w:rPr>
          <w:rFonts w:ascii="宋体" w:hAnsi="宋体" w:eastAsia="宋体" w:cs="宋体"/>
          <w:spacing w:val="-3"/>
          <w:sz w:val="24"/>
          <w:szCs w:val="24"/>
          <w:highlight w:val="none"/>
          <w:lang w:eastAsia="zh-CN"/>
        </w:rPr>
        <w:t>目补助。</w:t>
      </w:r>
    </w:p>
    <w:p w14:paraId="3F37F1F2">
      <w:pPr>
        <w:spacing w:before="1" w:line="507" w:lineRule="auto"/>
        <w:ind w:left="21" w:right="38" w:firstLine="486"/>
        <w:rPr>
          <w:rFonts w:ascii="宋体" w:hAnsi="宋体" w:eastAsia="宋体" w:cs="宋体"/>
          <w:sz w:val="24"/>
          <w:szCs w:val="24"/>
          <w:highlight w:val="none"/>
          <w:lang w:eastAsia="zh-CN"/>
        </w:rPr>
      </w:pPr>
      <w:r>
        <w:rPr>
          <w:rFonts w:ascii="宋体" w:hAnsi="宋体" w:eastAsia="宋体" w:cs="宋体"/>
          <w:sz w:val="24"/>
          <w:szCs w:val="24"/>
          <w:highlight w:val="none"/>
          <w:lang w:eastAsia="zh-CN"/>
        </w:rPr>
        <w:t>3、森林抚育工程实施完毕，甲方协调林业</w:t>
      </w:r>
      <w:r>
        <w:rPr>
          <w:rFonts w:ascii="宋体" w:hAnsi="宋体" w:eastAsia="宋体" w:cs="宋体"/>
          <w:spacing w:val="-1"/>
          <w:sz w:val="24"/>
          <w:szCs w:val="24"/>
          <w:highlight w:val="none"/>
          <w:lang w:eastAsia="zh-CN"/>
        </w:rPr>
        <w:t>部门组织技术人员对乙方的森林</w:t>
      </w:r>
      <w:r>
        <w:rPr>
          <w:rFonts w:ascii="宋体" w:hAnsi="宋体" w:eastAsia="宋体" w:cs="宋体"/>
          <w:spacing w:val="-2"/>
          <w:sz w:val="24"/>
          <w:szCs w:val="24"/>
          <w:highlight w:val="none"/>
          <w:lang w:eastAsia="zh-CN"/>
        </w:rPr>
        <w:t>抚育施工进行检查验收，并根据</w:t>
      </w:r>
      <w:r>
        <w:rPr>
          <w:rFonts w:hint="eastAsia" w:ascii="宋体" w:hAnsi="宋体" w:eastAsia="宋体" w:cs="宋体"/>
          <w:spacing w:val="-2"/>
          <w:sz w:val="24"/>
          <w:szCs w:val="24"/>
          <w:highlight w:val="none"/>
          <w:lang w:val="en-US" w:eastAsia="zh-CN"/>
        </w:rPr>
        <w:t>实际</w:t>
      </w:r>
      <w:r>
        <w:rPr>
          <w:rFonts w:ascii="宋体" w:hAnsi="宋体" w:eastAsia="宋体" w:cs="宋体"/>
          <w:spacing w:val="-2"/>
          <w:sz w:val="24"/>
          <w:szCs w:val="24"/>
          <w:highlight w:val="none"/>
          <w:lang w:eastAsia="zh-CN"/>
        </w:rPr>
        <w:t>验收情况，开具验收单。</w:t>
      </w:r>
    </w:p>
    <w:p w14:paraId="006B773B">
      <w:pPr>
        <w:spacing w:before="2" w:line="507" w:lineRule="auto"/>
        <w:ind w:left="22" w:right="59" w:firstLine="479"/>
        <w:rPr>
          <w:rFonts w:ascii="宋体" w:hAnsi="宋体" w:eastAsia="宋体" w:cs="宋体"/>
          <w:sz w:val="24"/>
          <w:szCs w:val="24"/>
          <w:highlight w:val="none"/>
          <w:lang w:eastAsia="zh-CN"/>
        </w:rPr>
      </w:pPr>
      <w:r>
        <w:rPr>
          <w:rFonts w:ascii="宋体" w:hAnsi="宋体" w:eastAsia="宋体" w:cs="宋体"/>
          <w:spacing w:val="-1"/>
          <w:sz w:val="24"/>
          <w:szCs w:val="24"/>
          <w:highlight w:val="none"/>
          <w:lang w:eastAsia="zh-CN"/>
        </w:rPr>
        <w:t>4、乙方积极向甲方报告实施工作进展情况，出现问题协助甲方尽快处理和</w:t>
      </w:r>
      <w:r>
        <w:rPr>
          <w:rFonts w:ascii="宋体" w:hAnsi="宋体" w:eastAsia="宋体" w:cs="宋体"/>
          <w:spacing w:val="-10"/>
          <w:sz w:val="24"/>
          <w:szCs w:val="24"/>
          <w:highlight w:val="none"/>
          <w:lang w:eastAsia="zh-CN"/>
        </w:rPr>
        <w:t>解决。</w:t>
      </w:r>
    </w:p>
    <w:p w14:paraId="30003599">
      <w:pPr>
        <w:spacing w:line="219" w:lineRule="auto"/>
        <w:ind w:left="508"/>
        <w:rPr>
          <w:rFonts w:ascii="宋体" w:hAnsi="宋体" w:eastAsia="宋体" w:cs="宋体"/>
          <w:sz w:val="24"/>
          <w:szCs w:val="24"/>
          <w:highlight w:val="none"/>
          <w:lang w:eastAsia="zh-CN"/>
        </w:rPr>
      </w:pPr>
      <w:r>
        <w:rPr>
          <w:rFonts w:ascii="宋体" w:hAnsi="宋体" w:eastAsia="宋体" w:cs="宋体"/>
          <w:spacing w:val="-2"/>
          <w:sz w:val="24"/>
          <w:szCs w:val="24"/>
          <w:highlight w:val="none"/>
          <w:lang w:eastAsia="zh-CN"/>
        </w:rPr>
        <w:t>5、乙方应做到安全生产，出现事故，将由乙方全部承担责任。</w:t>
      </w:r>
    </w:p>
    <w:p w14:paraId="4B8C2554">
      <w:pPr>
        <w:pStyle w:val="4"/>
        <w:spacing w:line="294" w:lineRule="auto"/>
        <w:rPr>
          <w:highlight w:val="none"/>
          <w:lang w:eastAsia="zh-CN"/>
        </w:rPr>
      </w:pPr>
    </w:p>
    <w:p w14:paraId="7146753B">
      <w:pPr>
        <w:spacing w:before="78" w:line="220" w:lineRule="auto"/>
        <w:ind w:left="505"/>
        <w:rPr>
          <w:rFonts w:ascii="宋体" w:hAnsi="宋体" w:eastAsia="宋体" w:cs="宋体"/>
          <w:sz w:val="24"/>
          <w:szCs w:val="24"/>
          <w:highlight w:val="none"/>
          <w:lang w:eastAsia="zh-CN"/>
        </w:rPr>
      </w:pPr>
      <w:r>
        <w:rPr>
          <w:rFonts w:ascii="宋体" w:hAnsi="宋体" w:eastAsia="宋体" w:cs="宋体"/>
          <w:spacing w:val="-8"/>
          <w:sz w:val="24"/>
          <w:szCs w:val="24"/>
          <w:highlight w:val="none"/>
          <w:lang w:eastAsia="zh-CN"/>
        </w:rPr>
        <w:t>6、乙方接受、服从甲方及上级主管部门对森林抚育实施质量的指导、监督、</w:t>
      </w:r>
    </w:p>
    <w:p w14:paraId="01967609">
      <w:pPr>
        <w:pStyle w:val="4"/>
        <w:spacing w:line="294" w:lineRule="auto"/>
        <w:rPr>
          <w:highlight w:val="none"/>
          <w:lang w:eastAsia="zh-CN"/>
        </w:rPr>
      </w:pPr>
    </w:p>
    <w:p w14:paraId="23134514">
      <w:pPr>
        <w:spacing w:before="78" w:line="220" w:lineRule="auto"/>
        <w:ind w:left="23"/>
        <w:rPr>
          <w:rFonts w:ascii="宋体" w:hAnsi="宋体" w:eastAsia="宋体" w:cs="宋体"/>
          <w:sz w:val="24"/>
          <w:szCs w:val="24"/>
          <w:highlight w:val="none"/>
          <w:lang w:eastAsia="zh-CN"/>
        </w:rPr>
      </w:pPr>
      <w:r>
        <w:rPr>
          <w:rFonts w:ascii="宋体" w:hAnsi="宋体" w:eastAsia="宋体" w:cs="宋体"/>
          <w:spacing w:val="-10"/>
          <w:sz w:val="24"/>
          <w:szCs w:val="24"/>
          <w:highlight w:val="none"/>
          <w:lang w:eastAsia="zh-CN"/>
        </w:rPr>
        <w:t>检查。</w:t>
      </w:r>
    </w:p>
    <w:p w14:paraId="567872D1">
      <w:pPr>
        <w:pStyle w:val="4"/>
        <w:spacing w:line="294" w:lineRule="auto"/>
        <w:rPr>
          <w:highlight w:val="none"/>
          <w:lang w:eastAsia="zh-CN"/>
        </w:rPr>
      </w:pPr>
    </w:p>
    <w:p w14:paraId="4C53AC47">
      <w:pPr>
        <w:spacing w:before="79" w:line="220" w:lineRule="auto"/>
        <w:ind w:left="509"/>
        <w:rPr>
          <w:rFonts w:ascii="宋体" w:hAnsi="宋体" w:eastAsia="宋体" w:cs="宋体"/>
          <w:sz w:val="24"/>
          <w:szCs w:val="24"/>
          <w:highlight w:val="none"/>
          <w:lang w:eastAsia="zh-CN"/>
        </w:rPr>
      </w:pPr>
      <w:r>
        <w:rPr>
          <w:rFonts w:ascii="宋体" w:hAnsi="宋体" w:eastAsia="宋体" w:cs="宋体"/>
          <w:spacing w:val="-2"/>
          <w:sz w:val="24"/>
          <w:szCs w:val="24"/>
          <w:highlight w:val="none"/>
          <w:lang w:eastAsia="zh-CN"/>
        </w:rPr>
        <w:t>7、森林抚育工程结束，经林业部门验收合格，获得项目资金。</w:t>
      </w:r>
    </w:p>
    <w:p w14:paraId="7659AE05">
      <w:pPr>
        <w:pStyle w:val="4"/>
        <w:spacing w:line="294" w:lineRule="auto"/>
        <w:rPr>
          <w:highlight w:val="none"/>
          <w:lang w:eastAsia="zh-CN"/>
        </w:rPr>
      </w:pPr>
    </w:p>
    <w:p w14:paraId="368C13D0">
      <w:pPr>
        <w:wordWrap w:val="0"/>
        <w:spacing w:line="600" w:lineRule="exact"/>
        <w:ind w:firstLine="482" w:firstLineChars="200"/>
        <w:rPr>
          <w:rFonts w:ascii="宋体" w:hAnsi="宋体" w:cs="宋体"/>
          <w:b/>
          <w:bCs/>
          <w:sz w:val="24"/>
          <w:szCs w:val="24"/>
          <w:highlight w:val="none"/>
          <w:lang w:eastAsia="zh-CN"/>
        </w:rPr>
      </w:pPr>
      <w:r>
        <w:rPr>
          <w:rFonts w:hint="eastAsia" w:ascii="宋体" w:hAnsi="宋体" w:eastAsia="宋体" w:cs="宋体"/>
          <w:b/>
          <w:bCs/>
          <w:sz w:val="24"/>
          <w:szCs w:val="24"/>
          <w:highlight w:val="none"/>
          <w:lang w:eastAsia="zh-CN"/>
        </w:rPr>
        <w:t>五</w:t>
      </w:r>
      <w:r>
        <w:rPr>
          <w:rFonts w:hint="eastAsia" w:ascii="宋体" w:hAnsi="宋体" w:cs="宋体"/>
          <w:b/>
          <w:bCs/>
          <w:sz w:val="24"/>
          <w:szCs w:val="24"/>
          <w:highlight w:val="none"/>
          <w:lang w:eastAsia="zh-CN"/>
        </w:rPr>
        <w:t>、不可抗力</w:t>
      </w:r>
    </w:p>
    <w:p w14:paraId="22686C03">
      <w:pPr>
        <w:wordWrap w:val="0"/>
        <w:spacing w:line="600" w:lineRule="exact"/>
        <w:ind w:firstLine="480" w:firstLineChars="200"/>
        <w:rPr>
          <w:rFonts w:ascii="宋体" w:hAnsi="宋体" w:cs="宋体"/>
          <w:sz w:val="24"/>
          <w:szCs w:val="24"/>
          <w:highlight w:val="none"/>
          <w:lang w:eastAsia="zh-CN"/>
        </w:rPr>
      </w:pPr>
      <w:r>
        <w:rPr>
          <w:rFonts w:hint="eastAsia" w:ascii="宋体" w:hAnsi="宋体" w:cs="宋体"/>
          <w:sz w:val="24"/>
          <w:szCs w:val="24"/>
          <w:highlight w:val="none"/>
          <w:lang w:eastAsia="zh-CN"/>
        </w:rPr>
        <w:t>甲方由于不可抗力的原因不能履行合同时，应及时向乙方通报不能履行或不能完全履行的理由；乙方由于不可抗力的原因不能履行合同时，应在</w:t>
      </w:r>
      <w:r>
        <w:rPr>
          <w:rFonts w:hint="eastAsia" w:ascii="宋体" w:hAnsi="宋体" w:eastAsia="宋体" w:cs="宋体"/>
          <w:sz w:val="24"/>
          <w:szCs w:val="24"/>
          <w:highlight w:val="none"/>
          <w:lang w:eastAsia="zh-CN"/>
        </w:rPr>
        <w:t>验收</w:t>
      </w:r>
      <w:r>
        <w:rPr>
          <w:rFonts w:hint="eastAsia" w:ascii="宋体" w:hAnsi="宋体" w:cs="宋体"/>
          <w:sz w:val="24"/>
          <w:szCs w:val="24"/>
          <w:highlight w:val="none"/>
          <w:lang w:eastAsia="zh-CN"/>
        </w:rPr>
        <w:t>时间到期以前及时向甲方通报不能履行或不能完全履行的理由；在取得有关主管机关证明以后，可以签订延期履行、部分履行补充合同或者不履行合同，并根据情况可部分或全部免予承担违约责任。</w:t>
      </w:r>
    </w:p>
    <w:p w14:paraId="5F6F3FCB">
      <w:pPr>
        <w:wordWrap w:val="0"/>
        <w:spacing w:line="600" w:lineRule="exact"/>
        <w:ind w:firstLine="482" w:firstLineChars="200"/>
        <w:rPr>
          <w:rFonts w:ascii="宋体" w:hAnsi="宋体" w:cs="宋体"/>
          <w:b/>
          <w:bCs/>
          <w:sz w:val="24"/>
          <w:szCs w:val="24"/>
          <w:highlight w:val="none"/>
          <w:lang w:eastAsia="zh-CN"/>
        </w:rPr>
      </w:pPr>
      <w:r>
        <w:rPr>
          <w:rFonts w:hint="eastAsia" w:ascii="宋体" w:hAnsi="宋体" w:eastAsia="宋体" w:cs="宋体"/>
          <w:b/>
          <w:bCs/>
          <w:sz w:val="24"/>
          <w:szCs w:val="24"/>
          <w:highlight w:val="none"/>
          <w:lang w:eastAsia="zh-CN"/>
        </w:rPr>
        <w:t>六</w:t>
      </w:r>
      <w:r>
        <w:rPr>
          <w:rFonts w:hint="eastAsia" w:ascii="宋体" w:hAnsi="宋体" w:cs="宋体"/>
          <w:b/>
          <w:bCs/>
          <w:sz w:val="24"/>
          <w:szCs w:val="24"/>
          <w:highlight w:val="none"/>
          <w:lang w:eastAsia="zh-CN"/>
        </w:rPr>
        <w:t>、争议</w:t>
      </w:r>
    </w:p>
    <w:p w14:paraId="32CC52C0">
      <w:pPr>
        <w:wordWrap w:val="0"/>
        <w:spacing w:line="600" w:lineRule="exact"/>
        <w:ind w:firstLine="480" w:firstLineChars="200"/>
        <w:rPr>
          <w:rFonts w:ascii="宋体" w:hAnsi="宋体" w:cs="宋体"/>
          <w:sz w:val="24"/>
          <w:szCs w:val="24"/>
          <w:highlight w:val="none"/>
          <w:lang w:eastAsia="zh-CN"/>
        </w:rPr>
      </w:pPr>
      <w:r>
        <w:rPr>
          <w:rFonts w:hint="eastAsia" w:ascii="宋体" w:hAnsi="宋体" w:cs="宋体"/>
          <w:sz w:val="24"/>
          <w:szCs w:val="24"/>
          <w:highlight w:val="none"/>
          <w:lang w:eastAsia="zh-CN"/>
        </w:rPr>
        <w:t>双方本着友好合作的态度，对合同履行过程中发生的违约行为进行及时的协商解决，如不能协商解决可向甲方所在地人民法院提起诉讼。</w:t>
      </w:r>
    </w:p>
    <w:p w14:paraId="71949929">
      <w:pPr>
        <w:wordWrap w:val="0"/>
        <w:spacing w:line="600" w:lineRule="exact"/>
        <w:ind w:firstLine="482" w:firstLineChars="200"/>
        <w:rPr>
          <w:rFonts w:ascii="宋体" w:hAnsi="宋体" w:cs="宋体"/>
          <w:b/>
          <w:bCs/>
          <w:sz w:val="24"/>
          <w:szCs w:val="24"/>
          <w:highlight w:val="none"/>
          <w:lang w:eastAsia="zh-CN"/>
        </w:rPr>
      </w:pPr>
      <w:r>
        <w:rPr>
          <w:rFonts w:hint="eastAsia" w:ascii="宋体" w:hAnsi="宋体" w:eastAsia="宋体" w:cs="宋体"/>
          <w:b/>
          <w:bCs/>
          <w:sz w:val="24"/>
          <w:szCs w:val="24"/>
          <w:highlight w:val="none"/>
          <w:lang w:eastAsia="zh-CN"/>
        </w:rPr>
        <w:t>七</w:t>
      </w:r>
      <w:r>
        <w:rPr>
          <w:rFonts w:hint="eastAsia" w:ascii="宋体" w:hAnsi="宋体" w:cs="宋体"/>
          <w:b/>
          <w:bCs/>
          <w:sz w:val="24"/>
          <w:szCs w:val="24"/>
          <w:highlight w:val="none"/>
          <w:lang w:eastAsia="zh-CN"/>
        </w:rPr>
        <w:t>、其它</w:t>
      </w:r>
    </w:p>
    <w:p w14:paraId="294EA194">
      <w:pPr>
        <w:wordWrap w:val="0"/>
        <w:spacing w:line="600" w:lineRule="exact"/>
        <w:ind w:firstLine="480" w:firstLineChars="200"/>
        <w:rPr>
          <w:rFonts w:ascii="宋体" w:hAnsi="宋体" w:cs="宋体"/>
          <w:sz w:val="24"/>
          <w:szCs w:val="24"/>
          <w:highlight w:val="none"/>
          <w:lang w:eastAsia="zh-CN"/>
        </w:rPr>
      </w:pPr>
      <w:r>
        <w:rPr>
          <w:rFonts w:hint="eastAsia" w:ascii="宋体" w:hAnsi="宋体" w:cs="宋体"/>
          <w:sz w:val="24"/>
          <w:szCs w:val="24"/>
          <w:highlight w:val="none"/>
          <w:lang w:eastAsia="zh-CN"/>
        </w:rPr>
        <w:t>1.本合同一式陆份，甲方叁份，乙方叁份。</w:t>
      </w:r>
    </w:p>
    <w:p w14:paraId="5ACE3D5D">
      <w:pPr>
        <w:wordWrap w:val="0"/>
        <w:spacing w:line="600" w:lineRule="exact"/>
        <w:ind w:firstLine="480" w:firstLineChars="200"/>
        <w:rPr>
          <w:rFonts w:ascii="宋体" w:hAnsi="宋体" w:cs="宋体"/>
          <w:sz w:val="24"/>
          <w:szCs w:val="24"/>
          <w:highlight w:val="none"/>
          <w:lang w:eastAsia="zh-CN"/>
        </w:rPr>
      </w:pPr>
      <w:r>
        <w:rPr>
          <w:rFonts w:hint="eastAsia" w:ascii="宋体" w:hAnsi="宋体" w:cs="宋体"/>
          <w:sz w:val="24"/>
          <w:szCs w:val="24"/>
          <w:highlight w:val="none"/>
          <w:lang w:eastAsia="zh-CN"/>
        </w:rPr>
        <w:t>2.本合同自双方签订之日起生效。</w:t>
      </w:r>
    </w:p>
    <w:p w14:paraId="74BD34A1">
      <w:pPr>
        <w:wordWrap w:val="0"/>
        <w:spacing w:line="600" w:lineRule="exact"/>
        <w:ind w:firstLine="480" w:firstLineChars="200"/>
        <w:rPr>
          <w:rFonts w:ascii="宋体" w:hAnsi="宋体" w:cs="宋体"/>
          <w:sz w:val="24"/>
          <w:szCs w:val="24"/>
          <w:highlight w:val="none"/>
          <w:lang w:eastAsia="zh-CN"/>
        </w:rPr>
      </w:pPr>
      <w:r>
        <w:rPr>
          <w:rFonts w:hint="eastAsia" w:ascii="宋体" w:hAnsi="宋体" w:cs="宋体"/>
          <w:sz w:val="24"/>
          <w:szCs w:val="24"/>
          <w:highlight w:val="none"/>
          <w:lang w:eastAsia="zh-CN"/>
        </w:rPr>
        <w:t>3.本项目招标文件、响应文件等是本合同的附件，与合同具有同等的法律效力。</w:t>
      </w:r>
    </w:p>
    <w:p w14:paraId="17461C45">
      <w:pPr>
        <w:wordWrap w:val="0"/>
        <w:spacing w:line="600" w:lineRule="exact"/>
        <w:ind w:firstLine="480" w:firstLineChars="200"/>
        <w:rPr>
          <w:rFonts w:ascii="宋体" w:hAnsi="宋体" w:cs="宋体"/>
          <w:sz w:val="24"/>
          <w:szCs w:val="24"/>
          <w:highlight w:val="none"/>
          <w:lang w:eastAsia="zh-CN"/>
        </w:rPr>
      </w:pPr>
      <w:r>
        <w:rPr>
          <w:rFonts w:hint="eastAsia" w:ascii="宋体" w:hAnsi="宋体" w:cs="宋体"/>
          <w:sz w:val="24"/>
          <w:szCs w:val="24"/>
          <w:highlight w:val="none"/>
          <w:lang w:eastAsia="zh-CN"/>
        </w:rPr>
        <w:t>4.其它未尽事宜，由甲乙双方友好协商解决，并参照《中华人民共和国合同法》有关条款执行。</w:t>
      </w:r>
    </w:p>
    <w:p w14:paraId="3A83DA62">
      <w:pPr>
        <w:wordWrap w:val="0"/>
        <w:spacing w:line="600" w:lineRule="exact"/>
        <w:ind w:firstLine="480" w:firstLineChars="200"/>
        <w:rPr>
          <w:rFonts w:ascii="宋体" w:hAnsi="宋体" w:cs="宋体"/>
          <w:sz w:val="24"/>
          <w:szCs w:val="24"/>
          <w:highlight w:val="none"/>
          <w:lang w:eastAsia="zh-CN"/>
        </w:rPr>
      </w:pPr>
      <w:r>
        <w:rPr>
          <w:rFonts w:hint="eastAsia" w:ascii="宋体" w:hAnsi="宋体" w:cs="宋体"/>
          <w:sz w:val="24"/>
          <w:szCs w:val="24"/>
          <w:highlight w:val="none"/>
          <w:lang w:eastAsia="zh-CN"/>
        </w:rPr>
        <w:t>委托人（盖章）：                    受托人（盖章）：</w:t>
      </w:r>
    </w:p>
    <w:p w14:paraId="33F243C6">
      <w:pPr>
        <w:wordWrap w:val="0"/>
        <w:spacing w:line="600" w:lineRule="exact"/>
        <w:ind w:firstLine="480" w:firstLineChars="200"/>
        <w:rPr>
          <w:rFonts w:ascii="宋体" w:hAnsi="宋体" w:cs="宋体"/>
          <w:sz w:val="24"/>
          <w:szCs w:val="24"/>
          <w:highlight w:val="none"/>
          <w:lang w:eastAsia="zh-CN"/>
        </w:rPr>
      </w:pPr>
      <w:r>
        <w:rPr>
          <w:rFonts w:hint="eastAsia" w:ascii="宋体" w:hAnsi="宋体" w:cs="宋体"/>
          <w:sz w:val="24"/>
          <w:szCs w:val="24"/>
          <w:highlight w:val="none"/>
          <w:lang w:eastAsia="zh-CN"/>
        </w:rPr>
        <w:t>法定代表人（签字或盖章）：          法定代表人（签字或盖章）：</w:t>
      </w:r>
    </w:p>
    <w:p w14:paraId="250141F1">
      <w:pPr>
        <w:wordWrap w:val="0"/>
        <w:spacing w:line="600" w:lineRule="exact"/>
        <w:ind w:firstLine="480" w:firstLineChars="200"/>
        <w:rPr>
          <w:rFonts w:ascii="宋体" w:hAnsi="宋体" w:cs="宋体"/>
          <w:sz w:val="24"/>
          <w:szCs w:val="24"/>
          <w:highlight w:val="none"/>
          <w:lang w:eastAsia="zh-CN"/>
        </w:rPr>
      </w:pPr>
      <w:r>
        <w:rPr>
          <w:rFonts w:hint="eastAsia" w:ascii="宋体" w:hAnsi="宋体" w:cs="宋体"/>
          <w:sz w:val="24"/>
          <w:szCs w:val="24"/>
          <w:highlight w:val="none"/>
          <w:lang w:eastAsia="zh-CN"/>
        </w:rPr>
        <w:t>或授权委托人（签字或盖章）：        或授权委托人（签字或盖章）：</w:t>
      </w:r>
    </w:p>
    <w:p w14:paraId="6898EA47">
      <w:pPr>
        <w:wordWrap w:val="0"/>
        <w:spacing w:line="600" w:lineRule="exact"/>
        <w:ind w:firstLine="480" w:firstLineChars="200"/>
        <w:rPr>
          <w:rFonts w:ascii="宋体" w:hAnsi="宋体" w:cs="宋体"/>
          <w:sz w:val="24"/>
          <w:szCs w:val="24"/>
          <w:highlight w:val="none"/>
          <w:lang w:eastAsia="zh-CN"/>
        </w:rPr>
      </w:pPr>
      <w:r>
        <w:rPr>
          <w:rFonts w:hint="eastAsia" w:ascii="宋体" w:hAnsi="宋体" w:cs="宋体"/>
          <w:sz w:val="24"/>
          <w:szCs w:val="24"/>
          <w:highlight w:val="none"/>
          <w:lang w:eastAsia="zh-CN"/>
        </w:rPr>
        <w:t>单位地址：                          单位地址：</w:t>
      </w:r>
    </w:p>
    <w:p w14:paraId="3367D014">
      <w:pPr>
        <w:wordWrap w:val="0"/>
        <w:spacing w:line="600" w:lineRule="exact"/>
        <w:ind w:firstLine="480" w:firstLineChars="200"/>
        <w:rPr>
          <w:rFonts w:ascii="宋体" w:hAnsi="宋体" w:cs="宋体"/>
          <w:sz w:val="24"/>
          <w:szCs w:val="24"/>
          <w:highlight w:val="none"/>
          <w:lang w:eastAsia="zh-CN"/>
        </w:rPr>
      </w:pPr>
      <w:r>
        <w:rPr>
          <w:rFonts w:hint="eastAsia" w:ascii="宋体" w:hAnsi="宋体" w:cs="宋体"/>
          <w:sz w:val="24"/>
          <w:szCs w:val="24"/>
          <w:highlight w:val="none"/>
          <w:lang w:eastAsia="zh-CN"/>
        </w:rPr>
        <w:t>邮政编码：                          邮政编码：</w:t>
      </w:r>
    </w:p>
    <w:p w14:paraId="63119380">
      <w:pPr>
        <w:wordWrap w:val="0"/>
        <w:spacing w:line="600" w:lineRule="exact"/>
        <w:ind w:firstLine="480" w:firstLineChars="200"/>
        <w:rPr>
          <w:rFonts w:ascii="宋体" w:hAnsi="宋体" w:cs="宋体"/>
          <w:sz w:val="24"/>
          <w:szCs w:val="24"/>
          <w:highlight w:val="none"/>
          <w:lang w:eastAsia="zh-CN"/>
        </w:rPr>
      </w:pPr>
      <w:r>
        <w:rPr>
          <w:rFonts w:hint="eastAsia" w:ascii="宋体" w:hAnsi="宋体" w:cs="宋体"/>
          <w:sz w:val="24"/>
          <w:szCs w:val="24"/>
          <w:highlight w:val="none"/>
          <w:lang w:eastAsia="zh-CN"/>
        </w:rPr>
        <w:t>联系电话：                          联系电话：</w:t>
      </w:r>
    </w:p>
    <w:p w14:paraId="14D96E10">
      <w:pPr>
        <w:wordWrap w:val="0"/>
        <w:spacing w:line="600" w:lineRule="exact"/>
        <w:ind w:firstLine="480" w:firstLineChars="200"/>
        <w:rPr>
          <w:rFonts w:ascii="宋体" w:hAnsi="宋体" w:cs="宋体"/>
          <w:sz w:val="24"/>
          <w:szCs w:val="24"/>
          <w:highlight w:val="none"/>
          <w:lang w:eastAsia="zh-CN"/>
        </w:rPr>
      </w:pPr>
      <w:r>
        <w:rPr>
          <w:rFonts w:hint="eastAsia" w:ascii="宋体" w:hAnsi="宋体" w:cs="宋体"/>
          <w:sz w:val="24"/>
          <w:szCs w:val="24"/>
          <w:highlight w:val="none"/>
          <w:lang w:eastAsia="zh-CN"/>
        </w:rPr>
        <w:t>传    真：                          传    真：</w:t>
      </w:r>
    </w:p>
    <w:p w14:paraId="46355E7A">
      <w:pPr>
        <w:wordWrap w:val="0"/>
        <w:spacing w:line="600" w:lineRule="exact"/>
        <w:ind w:firstLine="480" w:firstLineChars="200"/>
        <w:rPr>
          <w:rFonts w:ascii="宋体" w:hAnsi="宋体" w:cs="宋体"/>
          <w:sz w:val="24"/>
          <w:szCs w:val="24"/>
          <w:highlight w:val="none"/>
          <w:lang w:eastAsia="zh-CN"/>
        </w:rPr>
      </w:pPr>
      <w:r>
        <w:rPr>
          <w:rFonts w:hint="eastAsia" w:ascii="宋体" w:hAnsi="宋体" w:cs="宋体"/>
          <w:sz w:val="24"/>
          <w:szCs w:val="24"/>
          <w:highlight w:val="none"/>
          <w:lang w:eastAsia="zh-CN"/>
        </w:rPr>
        <w:t>电子信箱：                          电子信箱：</w:t>
      </w:r>
    </w:p>
    <w:p w14:paraId="77029840">
      <w:pPr>
        <w:wordWrap w:val="0"/>
        <w:spacing w:line="600" w:lineRule="exact"/>
        <w:ind w:firstLine="480" w:firstLineChars="200"/>
        <w:rPr>
          <w:rFonts w:ascii="宋体" w:hAnsi="宋体" w:cs="宋体"/>
          <w:sz w:val="24"/>
          <w:szCs w:val="24"/>
          <w:highlight w:val="none"/>
          <w:lang w:eastAsia="zh-CN"/>
        </w:rPr>
      </w:pPr>
      <w:r>
        <w:rPr>
          <w:rFonts w:hint="eastAsia" w:ascii="宋体" w:hAnsi="宋体" w:cs="宋体"/>
          <w:sz w:val="24"/>
          <w:szCs w:val="24"/>
          <w:highlight w:val="none"/>
          <w:lang w:eastAsia="zh-CN"/>
        </w:rPr>
        <w:t>开户银行：                          开户银行：</w:t>
      </w:r>
    </w:p>
    <w:p w14:paraId="674376A4">
      <w:pPr>
        <w:wordWrap w:val="0"/>
        <w:spacing w:line="480" w:lineRule="atLeast"/>
        <w:ind w:firstLine="567"/>
        <w:rPr>
          <w:rFonts w:ascii="宋体" w:hAnsi="宋体" w:cs="宋体"/>
          <w:sz w:val="24"/>
          <w:szCs w:val="24"/>
          <w:highlight w:val="none"/>
          <w:lang w:eastAsia="zh-CN"/>
        </w:rPr>
      </w:pPr>
      <w:r>
        <w:rPr>
          <w:rFonts w:hint="eastAsia" w:ascii="宋体" w:hAnsi="宋体" w:cs="宋体"/>
          <w:sz w:val="24"/>
          <w:szCs w:val="24"/>
          <w:highlight w:val="none"/>
          <w:lang w:eastAsia="zh-CN"/>
        </w:rPr>
        <w:t>账    号：                          账    号：</w:t>
      </w:r>
    </w:p>
    <w:p w14:paraId="3A2C9ED4">
      <w:pPr>
        <w:kinsoku/>
        <w:autoSpaceDE/>
        <w:autoSpaceDN/>
        <w:adjustRightInd/>
        <w:snapToGrid/>
        <w:textAlignment w:val="auto"/>
        <w:rPr>
          <w:rFonts w:ascii="宋体" w:hAnsi="宋体" w:eastAsiaTheme="minorEastAsia"/>
          <w:sz w:val="36"/>
          <w:szCs w:val="36"/>
          <w:highlight w:val="none"/>
          <w:lang w:eastAsia="zh-CN"/>
        </w:rPr>
      </w:pPr>
      <w:r>
        <w:rPr>
          <w:rFonts w:ascii="宋体" w:hAnsi="宋体" w:eastAsiaTheme="minorEastAsia"/>
          <w:sz w:val="36"/>
          <w:szCs w:val="36"/>
          <w:highlight w:val="none"/>
          <w:lang w:eastAsia="zh-CN"/>
        </w:rPr>
        <w:br w:type="page"/>
      </w:r>
    </w:p>
    <w:p w14:paraId="7156E5AA">
      <w:pPr>
        <w:spacing w:before="140" w:line="223" w:lineRule="auto"/>
        <w:jc w:val="center"/>
        <w:outlineLvl w:val="0"/>
        <w:rPr>
          <w:rFonts w:ascii="宋体" w:hAnsi="宋体" w:eastAsia="宋体" w:cs="宋体"/>
          <w:sz w:val="43"/>
          <w:szCs w:val="43"/>
          <w:highlight w:val="none"/>
          <w:lang w:eastAsia="zh-CN"/>
        </w:rPr>
      </w:pPr>
      <w:bookmarkStart w:id="11" w:name="bookmark7"/>
      <w:bookmarkEnd w:id="11"/>
      <w:bookmarkStart w:id="12" w:name="_Toc4671"/>
      <w:r>
        <w:rPr>
          <w:rFonts w:ascii="宋体" w:hAnsi="宋体" w:eastAsia="宋体" w:cs="宋体"/>
          <w:b/>
          <w:bCs/>
          <w:spacing w:val="-1"/>
          <w:sz w:val="43"/>
          <w:szCs w:val="43"/>
          <w:highlight w:val="none"/>
          <w:lang w:eastAsia="zh-CN"/>
        </w:rPr>
        <w:t>第六章</w:t>
      </w:r>
      <w:r>
        <w:rPr>
          <w:rFonts w:ascii="宋体" w:hAnsi="宋体" w:eastAsia="宋体" w:cs="宋体"/>
          <w:spacing w:val="44"/>
          <w:sz w:val="43"/>
          <w:szCs w:val="43"/>
          <w:highlight w:val="none"/>
          <w:lang w:eastAsia="zh-CN"/>
        </w:rPr>
        <w:t xml:space="preserve">  </w:t>
      </w:r>
      <w:r>
        <w:rPr>
          <w:rFonts w:ascii="宋体" w:hAnsi="宋体" w:eastAsia="宋体" w:cs="宋体"/>
          <w:b/>
          <w:bCs/>
          <w:spacing w:val="-1"/>
          <w:sz w:val="43"/>
          <w:szCs w:val="43"/>
          <w:highlight w:val="none"/>
          <w:lang w:eastAsia="zh-CN"/>
        </w:rPr>
        <w:t>电子化投标文件格式</w:t>
      </w:r>
      <w:bookmarkEnd w:id="12"/>
    </w:p>
    <w:p w14:paraId="50BC99D2">
      <w:pPr>
        <w:pStyle w:val="4"/>
        <w:spacing w:line="262" w:lineRule="auto"/>
        <w:rPr>
          <w:highlight w:val="none"/>
          <w:lang w:eastAsia="zh-CN"/>
        </w:rPr>
      </w:pPr>
    </w:p>
    <w:p w14:paraId="63526422">
      <w:pPr>
        <w:pStyle w:val="4"/>
        <w:spacing w:line="262" w:lineRule="auto"/>
        <w:rPr>
          <w:highlight w:val="none"/>
          <w:lang w:eastAsia="zh-CN"/>
        </w:rPr>
      </w:pPr>
    </w:p>
    <w:p w14:paraId="432C4553">
      <w:pPr>
        <w:pStyle w:val="4"/>
        <w:spacing w:line="262" w:lineRule="auto"/>
        <w:rPr>
          <w:highlight w:val="none"/>
          <w:lang w:eastAsia="zh-CN"/>
        </w:rPr>
      </w:pPr>
    </w:p>
    <w:p w14:paraId="31339348">
      <w:pPr>
        <w:pStyle w:val="4"/>
        <w:spacing w:line="262" w:lineRule="auto"/>
        <w:rPr>
          <w:highlight w:val="none"/>
          <w:lang w:eastAsia="zh-CN"/>
        </w:rPr>
      </w:pPr>
    </w:p>
    <w:p w14:paraId="0C6CE8B6">
      <w:pPr>
        <w:pStyle w:val="4"/>
        <w:spacing w:line="263" w:lineRule="auto"/>
        <w:rPr>
          <w:highlight w:val="none"/>
          <w:lang w:eastAsia="zh-CN"/>
        </w:rPr>
      </w:pPr>
    </w:p>
    <w:p w14:paraId="53030C7A">
      <w:pPr>
        <w:pStyle w:val="4"/>
        <w:spacing w:line="263" w:lineRule="auto"/>
        <w:rPr>
          <w:highlight w:val="none"/>
          <w:lang w:eastAsia="zh-CN"/>
        </w:rPr>
      </w:pPr>
    </w:p>
    <w:p w14:paraId="2656002F">
      <w:pPr>
        <w:pStyle w:val="4"/>
        <w:spacing w:line="263" w:lineRule="auto"/>
        <w:rPr>
          <w:highlight w:val="none"/>
          <w:lang w:eastAsia="zh-CN"/>
        </w:rPr>
      </w:pPr>
    </w:p>
    <w:p w14:paraId="441B3C06">
      <w:pPr>
        <w:tabs>
          <w:tab w:val="left" w:pos="5132"/>
        </w:tabs>
        <w:spacing w:before="156" w:line="220" w:lineRule="auto"/>
        <w:ind w:left="312"/>
        <w:rPr>
          <w:rFonts w:ascii="宋体" w:hAnsi="宋体" w:eastAsia="宋体" w:cs="宋体"/>
          <w:sz w:val="48"/>
          <w:szCs w:val="48"/>
          <w:highlight w:val="none"/>
          <w:lang w:eastAsia="zh-CN"/>
        </w:rPr>
      </w:pPr>
      <w:r>
        <w:rPr>
          <w:rFonts w:ascii="宋体" w:hAnsi="宋体" w:eastAsia="宋体" w:cs="宋体"/>
          <w:sz w:val="48"/>
          <w:szCs w:val="48"/>
          <w:highlight w:val="none"/>
          <w:u w:val="single"/>
          <w:lang w:eastAsia="zh-CN"/>
        </w:rPr>
        <w:tab/>
      </w:r>
      <w:r>
        <w:rPr>
          <w:rFonts w:ascii="宋体" w:hAnsi="宋体" w:eastAsia="宋体" w:cs="宋体"/>
          <w:b/>
          <w:bCs/>
          <w:spacing w:val="-7"/>
          <w:sz w:val="48"/>
          <w:szCs w:val="48"/>
          <w:highlight w:val="none"/>
          <w:lang w:eastAsia="zh-CN"/>
        </w:rPr>
        <w:t>（项目名称）</w:t>
      </w:r>
    </w:p>
    <w:p w14:paraId="2272D86D">
      <w:pPr>
        <w:pStyle w:val="4"/>
        <w:spacing w:line="261" w:lineRule="auto"/>
        <w:rPr>
          <w:highlight w:val="none"/>
          <w:lang w:eastAsia="zh-CN"/>
        </w:rPr>
      </w:pPr>
    </w:p>
    <w:p w14:paraId="08347702">
      <w:pPr>
        <w:pStyle w:val="4"/>
        <w:spacing w:line="261" w:lineRule="auto"/>
        <w:rPr>
          <w:highlight w:val="none"/>
          <w:lang w:eastAsia="zh-CN"/>
        </w:rPr>
      </w:pPr>
    </w:p>
    <w:p w14:paraId="0383281F">
      <w:pPr>
        <w:pStyle w:val="4"/>
        <w:spacing w:line="261" w:lineRule="auto"/>
        <w:rPr>
          <w:highlight w:val="none"/>
          <w:lang w:eastAsia="zh-CN"/>
        </w:rPr>
      </w:pPr>
    </w:p>
    <w:p w14:paraId="36240694">
      <w:pPr>
        <w:spacing w:before="234" w:line="220" w:lineRule="auto"/>
        <w:ind w:left="2216"/>
        <w:rPr>
          <w:rFonts w:ascii="宋体" w:hAnsi="宋体" w:eastAsia="宋体" w:cs="宋体"/>
          <w:sz w:val="72"/>
          <w:szCs w:val="72"/>
          <w:highlight w:val="none"/>
          <w:lang w:eastAsia="zh-CN"/>
        </w:rPr>
      </w:pPr>
      <w:r>
        <w:rPr>
          <w:rFonts w:ascii="宋体" w:hAnsi="宋体" w:eastAsia="宋体" w:cs="宋体"/>
          <w:b/>
          <w:bCs/>
          <w:spacing w:val="-33"/>
          <w:sz w:val="72"/>
          <w:szCs w:val="72"/>
          <w:highlight w:val="none"/>
          <w:lang w:eastAsia="zh-CN"/>
        </w:rPr>
        <w:t>投</w:t>
      </w:r>
      <w:r>
        <w:rPr>
          <w:rFonts w:ascii="宋体" w:hAnsi="宋体" w:eastAsia="宋体" w:cs="宋体"/>
          <w:spacing w:val="33"/>
          <w:sz w:val="72"/>
          <w:szCs w:val="72"/>
          <w:highlight w:val="none"/>
          <w:lang w:eastAsia="zh-CN"/>
        </w:rPr>
        <w:t xml:space="preserve"> </w:t>
      </w:r>
      <w:r>
        <w:rPr>
          <w:rFonts w:ascii="宋体" w:hAnsi="宋体" w:eastAsia="宋体" w:cs="宋体"/>
          <w:b/>
          <w:bCs/>
          <w:spacing w:val="-33"/>
          <w:sz w:val="72"/>
          <w:szCs w:val="72"/>
          <w:highlight w:val="none"/>
          <w:lang w:eastAsia="zh-CN"/>
        </w:rPr>
        <w:t>标</w:t>
      </w:r>
      <w:r>
        <w:rPr>
          <w:rFonts w:ascii="宋体" w:hAnsi="宋体" w:eastAsia="宋体" w:cs="宋体"/>
          <w:spacing w:val="41"/>
          <w:sz w:val="72"/>
          <w:szCs w:val="72"/>
          <w:highlight w:val="none"/>
          <w:lang w:eastAsia="zh-CN"/>
        </w:rPr>
        <w:t xml:space="preserve"> </w:t>
      </w:r>
      <w:r>
        <w:rPr>
          <w:rFonts w:ascii="宋体" w:hAnsi="宋体" w:eastAsia="宋体" w:cs="宋体"/>
          <w:b/>
          <w:bCs/>
          <w:spacing w:val="-33"/>
          <w:sz w:val="72"/>
          <w:szCs w:val="72"/>
          <w:highlight w:val="none"/>
          <w:lang w:eastAsia="zh-CN"/>
        </w:rPr>
        <w:t>文</w:t>
      </w:r>
      <w:r>
        <w:rPr>
          <w:rFonts w:ascii="宋体" w:hAnsi="宋体" w:eastAsia="宋体" w:cs="宋体"/>
          <w:spacing w:val="27"/>
          <w:sz w:val="72"/>
          <w:szCs w:val="72"/>
          <w:highlight w:val="none"/>
          <w:lang w:eastAsia="zh-CN"/>
        </w:rPr>
        <w:t xml:space="preserve"> </w:t>
      </w:r>
      <w:r>
        <w:rPr>
          <w:rFonts w:ascii="宋体" w:hAnsi="宋体" w:eastAsia="宋体" w:cs="宋体"/>
          <w:b/>
          <w:bCs/>
          <w:spacing w:val="-33"/>
          <w:sz w:val="72"/>
          <w:szCs w:val="72"/>
          <w:highlight w:val="none"/>
          <w:lang w:eastAsia="zh-CN"/>
        </w:rPr>
        <w:t>件</w:t>
      </w:r>
    </w:p>
    <w:p w14:paraId="74EBD402">
      <w:pPr>
        <w:pStyle w:val="4"/>
        <w:spacing w:line="270" w:lineRule="auto"/>
        <w:rPr>
          <w:highlight w:val="none"/>
          <w:lang w:eastAsia="zh-CN"/>
        </w:rPr>
      </w:pPr>
    </w:p>
    <w:p w14:paraId="168A3AF5">
      <w:pPr>
        <w:pStyle w:val="4"/>
        <w:spacing w:line="271" w:lineRule="auto"/>
        <w:rPr>
          <w:highlight w:val="none"/>
          <w:lang w:eastAsia="zh-CN"/>
        </w:rPr>
      </w:pPr>
    </w:p>
    <w:p w14:paraId="494A9119">
      <w:pPr>
        <w:pStyle w:val="4"/>
        <w:spacing w:line="271" w:lineRule="auto"/>
        <w:rPr>
          <w:highlight w:val="none"/>
          <w:lang w:eastAsia="zh-CN"/>
        </w:rPr>
      </w:pPr>
    </w:p>
    <w:p w14:paraId="1CA6FA6F">
      <w:pPr>
        <w:pStyle w:val="4"/>
        <w:spacing w:line="271" w:lineRule="auto"/>
        <w:rPr>
          <w:highlight w:val="none"/>
          <w:lang w:eastAsia="zh-CN"/>
        </w:rPr>
      </w:pPr>
    </w:p>
    <w:p w14:paraId="71D4399B">
      <w:pPr>
        <w:pStyle w:val="4"/>
        <w:spacing w:line="271" w:lineRule="auto"/>
        <w:rPr>
          <w:highlight w:val="none"/>
          <w:lang w:eastAsia="zh-CN"/>
        </w:rPr>
      </w:pPr>
    </w:p>
    <w:p w14:paraId="5257FDCD">
      <w:pPr>
        <w:pStyle w:val="4"/>
        <w:spacing w:line="271" w:lineRule="auto"/>
        <w:rPr>
          <w:highlight w:val="none"/>
          <w:lang w:eastAsia="zh-CN"/>
        </w:rPr>
      </w:pPr>
    </w:p>
    <w:p w14:paraId="467F00FA">
      <w:pPr>
        <w:spacing w:before="98" w:line="220" w:lineRule="auto"/>
        <w:ind w:left="2743"/>
        <w:rPr>
          <w:rFonts w:ascii="宋体" w:hAnsi="宋体" w:eastAsia="宋体" w:cs="宋体"/>
          <w:sz w:val="30"/>
          <w:szCs w:val="30"/>
          <w:highlight w:val="none"/>
          <w:lang w:eastAsia="zh-CN"/>
        </w:rPr>
      </w:pPr>
      <w:r>
        <w:rPr>
          <w:rFonts w:ascii="宋体" w:hAnsi="宋体" w:eastAsia="宋体" w:cs="宋体"/>
          <w:b/>
          <w:bCs/>
          <w:spacing w:val="-6"/>
          <w:sz w:val="30"/>
          <w:szCs w:val="30"/>
          <w:highlight w:val="none"/>
          <w:lang w:eastAsia="zh-CN"/>
        </w:rPr>
        <w:t>项目编号:</w:t>
      </w:r>
      <w:r>
        <w:rPr>
          <w:rFonts w:ascii="宋体" w:hAnsi="宋体" w:eastAsia="宋体" w:cs="宋体"/>
          <w:sz w:val="30"/>
          <w:szCs w:val="30"/>
          <w:highlight w:val="none"/>
          <w:u w:val="single"/>
          <w:lang w:eastAsia="zh-CN"/>
        </w:rPr>
        <w:t xml:space="preserve">                     </w:t>
      </w:r>
    </w:p>
    <w:p w14:paraId="15019A9F">
      <w:pPr>
        <w:pStyle w:val="4"/>
        <w:rPr>
          <w:highlight w:val="none"/>
          <w:lang w:eastAsia="zh-CN"/>
        </w:rPr>
      </w:pPr>
    </w:p>
    <w:p w14:paraId="7FF97127">
      <w:pPr>
        <w:pStyle w:val="4"/>
        <w:rPr>
          <w:highlight w:val="none"/>
          <w:lang w:eastAsia="zh-CN"/>
        </w:rPr>
      </w:pPr>
    </w:p>
    <w:p w14:paraId="60D7C390">
      <w:pPr>
        <w:pStyle w:val="4"/>
        <w:spacing w:line="241" w:lineRule="auto"/>
        <w:rPr>
          <w:highlight w:val="none"/>
          <w:lang w:eastAsia="zh-CN"/>
        </w:rPr>
      </w:pPr>
    </w:p>
    <w:p w14:paraId="4AE54C20">
      <w:pPr>
        <w:pStyle w:val="4"/>
        <w:spacing w:line="241" w:lineRule="auto"/>
        <w:rPr>
          <w:highlight w:val="none"/>
          <w:lang w:eastAsia="zh-CN"/>
        </w:rPr>
      </w:pPr>
    </w:p>
    <w:p w14:paraId="6B9479F8">
      <w:pPr>
        <w:pStyle w:val="4"/>
        <w:spacing w:line="241" w:lineRule="auto"/>
        <w:rPr>
          <w:highlight w:val="none"/>
          <w:lang w:eastAsia="zh-CN"/>
        </w:rPr>
      </w:pPr>
    </w:p>
    <w:p w14:paraId="6CC7463F">
      <w:pPr>
        <w:spacing w:before="92" w:line="219" w:lineRule="auto"/>
        <w:ind w:left="2209"/>
        <w:rPr>
          <w:rFonts w:ascii="宋体" w:hAnsi="宋体" w:eastAsia="宋体" w:cs="宋体"/>
          <w:sz w:val="28"/>
          <w:szCs w:val="28"/>
          <w:highlight w:val="none"/>
          <w:lang w:eastAsia="zh-CN"/>
        </w:rPr>
      </w:pPr>
      <w:r>
        <w:rPr>
          <w:rFonts w:ascii="宋体" w:hAnsi="宋体" w:eastAsia="宋体" w:cs="宋体"/>
          <w:b/>
          <w:bCs/>
          <w:spacing w:val="-5"/>
          <w:sz w:val="28"/>
          <w:szCs w:val="28"/>
          <w:highlight w:val="none"/>
          <w:lang w:eastAsia="zh-CN"/>
        </w:rPr>
        <w:t>供应商名称（单位电子签章</w:t>
      </w:r>
      <w:r>
        <w:rPr>
          <w:rFonts w:ascii="宋体" w:hAnsi="宋体" w:eastAsia="宋体" w:cs="宋体"/>
          <w:b/>
          <w:bCs/>
          <w:spacing w:val="-12"/>
          <w:sz w:val="28"/>
          <w:szCs w:val="28"/>
          <w:highlight w:val="none"/>
          <w:lang w:eastAsia="zh-CN"/>
        </w:rPr>
        <w:t>）：</w:t>
      </w:r>
    </w:p>
    <w:p w14:paraId="08D20597">
      <w:pPr>
        <w:spacing w:before="291" w:line="219" w:lineRule="auto"/>
        <w:ind w:left="2211"/>
        <w:rPr>
          <w:rFonts w:ascii="宋体" w:hAnsi="宋体" w:eastAsia="宋体" w:cs="宋体"/>
          <w:sz w:val="28"/>
          <w:szCs w:val="28"/>
          <w:highlight w:val="none"/>
          <w:lang w:eastAsia="zh-CN"/>
        </w:rPr>
      </w:pPr>
      <w:r>
        <w:rPr>
          <w:rFonts w:ascii="宋体" w:hAnsi="宋体" w:eastAsia="宋体" w:cs="宋体"/>
          <w:b/>
          <w:bCs/>
          <w:spacing w:val="-5"/>
          <w:sz w:val="28"/>
          <w:szCs w:val="28"/>
          <w:highlight w:val="none"/>
          <w:lang w:eastAsia="zh-CN"/>
        </w:rPr>
        <w:t>法定代表人（法人电子签章</w:t>
      </w:r>
      <w:r>
        <w:rPr>
          <w:rFonts w:ascii="宋体" w:hAnsi="宋体" w:eastAsia="宋体" w:cs="宋体"/>
          <w:b/>
          <w:bCs/>
          <w:spacing w:val="-12"/>
          <w:sz w:val="28"/>
          <w:szCs w:val="28"/>
          <w:highlight w:val="none"/>
          <w:lang w:eastAsia="zh-CN"/>
        </w:rPr>
        <w:t>）：</w:t>
      </w:r>
    </w:p>
    <w:p w14:paraId="7AEB37AD">
      <w:pPr>
        <w:spacing w:before="292" w:line="220" w:lineRule="auto"/>
        <w:ind w:left="2260"/>
        <w:rPr>
          <w:rFonts w:ascii="宋体" w:hAnsi="宋体" w:eastAsia="宋体" w:cs="宋体"/>
          <w:b/>
          <w:bCs/>
          <w:spacing w:val="-20"/>
          <w:sz w:val="28"/>
          <w:szCs w:val="28"/>
          <w:highlight w:val="none"/>
          <w:lang w:eastAsia="zh-CN"/>
        </w:rPr>
      </w:pPr>
      <w:r>
        <w:rPr>
          <w:rFonts w:ascii="宋体" w:hAnsi="宋体" w:eastAsia="宋体" w:cs="宋体"/>
          <w:b/>
          <w:bCs/>
          <w:spacing w:val="-20"/>
          <w:sz w:val="28"/>
          <w:szCs w:val="28"/>
          <w:highlight w:val="none"/>
          <w:lang w:eastAsia="zh-CN"/>
        </w:rPr>
        <w:t>日</w:t>
      </w:r>
      <w:r>
        <w:rPr>
          <w:rFonts w:ascii="宋体" w:hAnsi="宋体" w:eastAsia="宋体" w:cs="宋体"/>
          <w:spacing w:val="4"/>
          <w:sz w:val="28"/>
          <w:szCs w:val="28"/>
          <w:highlight w:val="none"/>
          <w:lang w:eastAsia="zh-CN"/>
        </w:rPr>
        <w:t xml:space="preserve">     </w:t>
      </w:r>
      <w:r>
        <w:rPr>
          <w:rFonts w:ascii="宋体" w:hAnsi="宋体" w:eastAsia="宋体" w:cs="宋体"/>
          <w:b/>
          <w:bCs/>
          <w:spacing w:val="-20"/>
          <w:sz w:val="28"/>
          <w:szCs w:val="28"/>
          <w:highlight w:val="none"/>
          <w:lang w:eastAsia="zh-CN"/>
        </w:rPr>
        <w:t>期：</w:t>
      </w:r>
      <w:r>
        <w:rPr>
          <w:rFonts w:ascii="宋体" w:hAnsi="宋体" w:eastAsia="宋体" w:cs="宋体"/>
          <w:spacing w:val="3"/>
          <w:sz w:val="28"/>
          <w:szCs w:val="28"/>
          <w:highlight w:val="none"/>
          <w:lang w:eastAsia="zh-CN"/>
        </w:rPr>
        <w:t xml:space="preserve">    </w:t>
      </w:r>
      <w:r>
        <w:rPr>
          <w:rFonts w:ascii="宋体" w:hAnsi="宋体" w:eastAsia="宋体" w:cs="宋体"/>
          <w:b/>
          <w:bCs/>
          <w:spacing w:val="-20"/>
          <w:sz w:val="28"/>
          <w:szCs w:val="28"/>
          <w:highlight w:val="none"/>
          <w:lang w:eastAsia="zh-CN"/>
        </w:rPr>
        <w:t>年</w:t>
      </w:r>
      <w:r>
        <w:rPr>
          <w:rFonts w:ascii="宋体" w:hAnsi="宋体" w:eastAsia="宋体" w:cs="宋体"/>
          <w:spacing w:val="5"/>
          <w:sz w:val="28"/>
          <w:szCs w:val="28"/>
          <w:highlight w:val="none"/>
          <w:lang w:eastAsia="zh-CN"/>
        </w:rPr>
        <w:t xml:space="preserve">    </w:t>
      </w:r>
      <w:r>
        <w:rPr>
          <w:rFonts w:ascii="宋体" w:hAnsi="宋体" w:eastAsia="宋体" w:cs="宋体"/>
          <w:b/>
          <w:bCs/>
          <w:spacing w:val="-20"/>
          <w:sz w:val="28"/>
          <w:szCs w:val="28"/>
          <w:highlight w:val="none"/>
          <w:lang w:eastAsia="zh-CN"/>
        </w:rPr>
        <w:t>月</w:t>
      </w:r>
      <w:r>
        <w:rPr>
          <w:rFonts w:ascii="宋体" w:hAnsi="宋体" w:eastAsia="宋体" w:cs="宋体"/>
          <w:spacing w:val="16"/>
          <w:sz w:val="28"/>
          <w:szCs w:val="28"/>
          <w:highlight w:val="none"/>
          <w:lang w:eastAsia="zh-CN"/>
        </w:rPr>
        <w:t xml:space="preserve">    </w:t>
      </w:r>
      <w:r>
        <w:rPr>
          <w:rFonts w:ascii="宋体" w:hAnsi="宋体" w:eastAsia="宋体" w:cs="宋体"/>
          <w:b/>
          <w:bCs/>
          <w:spacing w:val="-20"/>
          <w:sz w:val="28"/>
          <w:szCs w:val="28"/>
          <w:highlight w:val="none"/>
          <w:lang w:eastAsia="zh-CN"/>
        </w:rPr>
        <w:t>日</w:t>
      </w:r>
    </w:p>
    <w:p w14:paraId="4C99C345">
      <w:pPr>
        <w:pStyle w:val="4"/>
        <w:spacing w:line="262" w:lineRule="auto"/>
        <w:rPr>
          <w:highlight w:val="none"/>
          <w:lang w:eastAsia="zh-CN"/>
        </w:rPr>
      </w:pPr>
    </w:p>
    <w:p w14:paraId="6F7BDB37">
      <w:pPr>
        <w:pStyle w:val="4"/>
        <w:spacing w:line="262" w:lineRule="auto"/>
        <w:rPr>
          <w:highlight w:val="none"/>
          <w:lang w:eastAsia="zh-CN"/>
        </w:rPr>
      </w:pPr>
    </w:p>
    <w:p w14:paraId="1180C3A0">
      <w:pPr>
        <w:pStyle w:val="4"/>
        <w:spacing w:line="262" w:lineRule="auto"/>
        <w:rPr>
          <w:highlight w:val="none"/>
          <w:lang w:eastAsia="zh-CN"/>
        </w:rPr>
      </w:pPr>
    </w:p>
    <w:p w14:paraId="64809240">
      <w:pPr>
        <w:kinsoku/>
        <w:autoSpaceDE/>
        <w:autoSpaceDN/>
        <w:adjustRightInd/>
        <w:snapToGrid/>
        <w:textAlignment w:val="auto"/>
        <w:rPr>
          <w:rFonts w:ascii="宋体" w:hAnsi="宋体" w:eastAsia="宋体" w:cs="宋体"/>
          <w:b/>
          <w:bCs/>
          <w:spacing w:val="-46"/>
          <w:sz w:val="36"/>
          <w:szCs w:val="36"/>
          <w:highlight w:val="none"/>
          <w:lang w:eastAsia="zh-CN"/>
        </w:rPr>
      </w:pPr>
      <w:r>
        <w:rPr>
          <w:rFonts w:ascii="宋体" w:hAnsi="宋体" w:eastAsia="宋体" w:cs="宋体"/>
          <w:b/>
          <w:bCs/>
          <w:spacing w:val="-46"/>
          <w:sz w:val="36"/>
          <w:szCs w:val="36"/>
          <w:highlight w:val="none"/>
          <w:lang w:eastAsia="zh-CN"/>
        </w:rPr>
        <w:br w:type="page"/>
      </w:r>
    </w:p>
    <w:p w14:paraId="2E834AE5">
      <w:pPr>
        <w:spacing w:before="117" w:line="222" w:lineRule="auto"/>
        <w:jc w:val="center"/>
        <w:rPr>
          <w:rFonts w:ascii="宋体" w:hAnsi="宋体" w:eastAsia="宋体" w:cs="宋体"/>
          <w:sz w:val="36"/>
          <w:szCs w:val="36"/>
          <w:highlight w:val="none"/>
          <w:lang w:eastAsia="zh-CN"/>
        </w:rPr>
      </w:pPr>
      <w:r>
        <w:rPr>
          <w:rFonts w:ascii="宋体" w:hAnsi="宋体" w:eastAsia="宋体" w:cs="宋体"/>
          <w:b/>
          <w:bCs/>
          <w:spacing w:val="-46"/>
          <w:sz w:val="36"/>
          <w:szCs w:val="36"/>
          <w:highlight w:val="none"/>
          <w:lang w:eastAsia="zh-CN"/>
        </w:rPr>
        <w:t>目</w:t>
      </w:r>
      <w:r>
        <w:rPr>
          <w:rFonts w:ascii="宋体" w:hAnsi="宋体" w:eastAsia="宋体" w:cs="宋体"/>
          <w:spacing w:val="5"/>
          <w:sz w:val="36"/>
          <w:szCs w:val="36"/>
          <w:highlight w:val="none"/>
          <w:lang w:eastAsia="zh-CN"/>
        </w:rPr>
        <w:t xml:space="preserve">    </w:t>
      </w:r>
      <w:r>
        <w:rPr>
          <w:rFonts w:ascii="宋体" w:hAnsi="宋体" w:eastAsia="宋体" w:cs="宋体"/>
          <w:b/>
          <w:bCs/>
          <w:spacing w:val="-46"/>
          <w:sz w:val="36"/>
          <w:szCs w:val="36"/>
          <w:highlight w:val="none"/>
          <w:lang w:eastAsia="zh-CN"/>
        </w:rPr>
        <w:t>录</w:t>
      </w:r>
    </w:p>
    <w:p w14:paraId="4FF3ED69">
      <w:pPr>
        <w:jc w:val="center"/>
        <w:rPr>
          <w:rFonts w:ascii="宋体" w:hAnsi="宋体" w:eastAsia="宋体" w:cs="宋体"/>
          <w:b/>
          <w:sz w:val="28"/>
          <w:szCs w:val="28"/>
          <w:highlight w:val="none"/>
          <w:lang w:eastAsia="zh-CN"/>
        </w:rPr>
      </w:pPr>
    </w:p>
    <w:p w14:paraId="03721A5D">
      <w:pPr>
        <w:jc w:val="center"/>
        <w:rPr>
          <w:rFonts w:ascii="宋体" w:hAnsi="宋体" w:eastAsia="宋体" w:cs="宋体"/>
          <w:b/>
          <w:sz w:val="28"/>
          <w:szCs w:val="28"/>
          <w:highlight w:val="none"/>
          <w:lang w:eastAsia="zh-CN"/>
        </w:rPr>
      </w:pPr>
    </w:p>
    <w:p w14:paraId="0FA0791E">
      <w:pPr>
        <w:jc w:val="center"/>
        <w:rPr>
          <w:b/>
          <w:sz w:val="28"/>
          <w:szCs w:val="28"/>
          <w:highlight w:val="none"/>
          <w:lang w:eastAsia="zh-CN"/>
        </w:rPr>
      </w:pPr>
      <w:r>
        <w:rPr>
          <w:rFonts w:hint="eastAsia" w:ascii="宋体" w:hAnsi="宋体" w:eastAsia="宋体" w:cs="宋体"/>
          <w:b/>
          <w:sz w:val="28"/>
          <w:szCs w:val="28"/>
          <w:highlight w:val="none"/>
          <w:lang w:eastAsia="zh-CN"/>
        </w:rPr>
        <w:t>（格式自拟）</w:t>
      </w:r>
    </w:p>
    <w:p w14:paraId="0698D0DE">
      <w:pPr>
        <w:pStyle w:val="4"/>
        <w:spacing w:line="253" w:lineRule="auto"/>
        <w:rPr>
          <w:highlight w:val="none"/>
          <w:lang w:eastAsia="zh-CN"/>
        </w:rPr>
      </w:pPr>
    </w:p>
    <w:p w14:paraId="2951C77A">
      <w:pPr>
        <w:pStyle w:val="4"/>
        <w:spacing w:line="253" w:lineRule="auto"/>
        <w:rPr>
          <w:highlight w:val="none"/>
          <w:lang w:eastAsia="zh-CN"/>
        </w:rPr>
      </w:pPr>
    </w:p>
    <w:p w14:paraId="183DBECB">
      <w:pPr>
        <w:pStyle w:val="4"/>
        <w:spacing w:line="253" w:lineRule="auto"/>
        <w:rPr>
          <w:highlight w:val="none"/>
          <w:lang w:eastAsia="zh-CN"/>
        </w:rPr>
      </w:pPr>
    </w:p>
    <w:p w14:paraId="334AEB37">
      <w:pPr>
        <w:kinsoku/>
        <w:autoSpaceDE/>
        <w:autoSpaceDN/>
        <w:adjustRightInd/>
        <w:snapToGrid/>
        <w:textAlignment w:val="auto"/>
        <w:rPr>
          <w:rFonts w:ascii="宋体" w:hAnsi="宋体" w:eastAsia="宋体" w:cs="宋体"/>
          <w:b/>
          <w:bCs/>
          <w:spacing w:val="-14"/>
          <w:sz w:val="31"/>
          <w:szCs w:val="31"/>
          <w:highlight w:val="none"/>
          <w:lang w:eastAsia="zh-CN"/>
        </w:rPr>
      </w:pPr>
      <w:r>
        <w:rPr>
          <w:rFonts w:ascii="宋体" w:hAnsi="宋体" w:eastAsia="宋体" w:cs="宋体"/>
          <w:b/>
          <w:bCs/>
          <w:spacing w:val="-14"/>
          <w:sz w:val="31"/>
          <w:szCs w:val="31"/>
          <w:highlight w:val="none"/>
          <w:lang w:eastAsia="zh-CN"/>
        </w:rPr>
        <w:br w:type="page"/>
      </w:r>
    </w:p>
    <w:p w14:paraId="5FCE9D06">
      <w:pPr>
        <w:spacing w:before="101" w:line="224" w:lineRule="auto"/>
        <w:jc w:val="center"/>
        <w:rPr>
          <w:rFonts w:ascii="宋体" w:hAnsi="宋体" w:eastAsia="宋体" w:cs="宋体"/>
          <w:b/>
          <w:bCs/>
          <w:spacing w:val="5"/>
          <w:sz w:val="31"/>
          <w:szCs w:val="31"/>
          <w:highlight w:val="none"/>
          <w:lang w:eastAsia="zh-CN"/>
        </w:rPr>
      </w:pPr>
      <w:r>
        <w:rPr>
          <w:rFonts w:ascii="宋体" w:hAnsi="宋体" w:eastAsia="宋体" w:cs="宋体"/>
          <w:b/>
          <w:bCs/>
          <w:spacing w:val="5"/>
          <w:sz w:val="31"/>
          <w:szCs w:val="31"/>
          <w:highlight w:val="none"/>
          <w:lang w:eastAsia="zh-CN"/>
        </w:rPr>
        <w:t>一、 投 标 函</w:t>
      </w:r>
    </w:p>
    <w:p w14:paraId="462C8465">
      <w:pPr>
        <w:pStyle w:val="4"/>
        <w:spacing w:line="311" w:lineRule="auto"/>
        <w:rPr>
          <w:highlight w:val="none"/>
          <w:lang w:eastAsia="zh-CN"/>
        </w:rPr>
      </w:pPr>
    </w:p>
    <w:p w14:paraId="40CD4C82">
      <w:pPr>
        <w:pStyle w:val="4"/>
        <w:spacing w:line="311" w:lineRule="auto"/>
        <w:rPr>
          <w:highlight w:val="none"/>
          <w:lang w:eastAsia="zh-CN"/>
        </w:rPr>
      </w:pPr>
    </w:p>
    <w:p w14:paraId="32ACA812">
      <w:pPr>
        <w:spacing w:before="91" w:line="219" w:lineRule="auto"/>
        <w:ind w:left="25"/>
        <w:rPr>
          <w:rFonts w:ascii="宋体" w:hAnsi="宋体" w:eastAsia="宋体" w:cs="宋体"/>
          <w:sz w:val="28"/>
          <w:szCs w:val="28"/>
          <w:highlight w:val="none"/>
          <w:lang w:eastAsia="zh-CN"/>
        </w:rPr>
      </w:pPr>
      <w:r>
        <w:rPr>
          <w:rFonts w:ascii="宋体" w:hAnsi="宋体" w:eastAsia="宋体" w:cs="宋体"/>
          <w:spacing w:val="-8"/>
          <w:sz w:val="28"/>
          <w:szCs w:val="28"/>
          <w:highlight w:val="none"/>
          <w:lang w:eastAsia="zh-CN"/>
        </w:rPr>
        <w:t>致：</w:t>
      </w:r>
      <w:r>
        <w:rPr>
          <w:rFonts w:ascii="宋体" w:hAnsi="宋体" w:eastAsia="宋体" w:cs="宋体"/>
          <w:spacing w:val="15"/>
          <w:sz w:val="28"/>
          <w:szCs w:val="28"/>
          <w:highlight w:val="none"/>
          <w:u w:val="single"/>
          <w:lang w:eastAsia="zh-CN"/>
        </w:rPr>
        <w:t xml:space="preserve">    </w:t>
      </w:r>
      <w:r>
        <w:rPr>
          <w:rFonts w:ascii="宋体" w:hAnsi="宋体" w:eastAsia="宋体" w:cs="宋体"/>
          <w:spacing w:val="-8"/>
          <w:sz w:val="28"/>
          <w:szCs w:val="28"/>
          <w:highlight w:val="none"/>
          <w:u w:val="single"/>
          <w:lang w:eastAsia="zh-CN"/>
        </w:rPr>
        <w:t>(采购人名称）</w:t>
      </w:r>
      <w:r>
        <w:rPr>
          <w:rFonts w:ascii="宋体" w:hAnsi="宋体" w:eastAsia="宋体" w:cs="宋体"/>
          <w:sz w:val="28"/>
          <w:szCs w:val="28"/>
          <w:highlight w:val="none"/>
          <w:u w:val="single"/>
          <w:lang w:eastAsia="zh-CN"/>
        </w:rPr>
        <w:t xml:space="preserve">    </w:t>
      </w:r>
    </w:p>
    <w:p w14:paraId="45602221">
      <w:pPr>
        <w:spacing w:before="91" w:line="277" w:lineRule="auto"/>
        <w:ind w:left="27" w:right="74" w:firstLine="559"/>
        <w:jc w:val="both"/>
        <w:rPr>
          <w:rFonts w:ascii="宋体" w:hAnsi="宋体" w:eastAsia="宋体" w:cs="宋体"/>
          <w:sz w:val="28"/>
          <w:szCs w:val="28"/>
          <w:highlight w:val="none"/>
          <w:lang w:eastAsia="zh-CN"/>
        </w:rPr>
      </w:pPr>
      <w:r>
        <w:rPr>
          <w:rFonts w:ascii="宋体" w:hAnsi="宋体" w:eastAsia="宋体" w:cs="宋体"/>
          <w:spacing w:val="-4"/>
          <w:sz w:val="28"/>
          <w:szCs w:val="28"/>
          <w:highlight w:val="none"/>
          <w:lang w:eastAsia="zh-CN"/>
        </w:rPr>
        <w:t>我们收到了</w:t>
      </w:r>
      <w:r>
        <w:rPr>
          <w:rFonts w:ascii="宋体" w:hAnsi="宋体" w:eastAsia="宋体" w:cs="宋体"/>
          <w:spacing w:val="13"/>
          <w:sz w:val="28"/>
          <w:szCs w:val="28"/>
          <w:highlight w:val="none"/>
          <w:u w:val="single"/>
          <w:lang w:eastAsia="zh-CN"/>
        </w:rPr>
        <w:t xml:space="preserve">         </w:t>
      </w:r>
      <w:r>
        <w:rPr>
          <w:rFonts w:ascii="宋体" w:hAnsi="宋体" w:eastAsia="宋体" w:cs="宋体"/>
          <w:spacing w:val="-4"/>
          <w:sz w:val="28"/>
          <w:szCs w:val="28"/>
          <w:highlight w:val="none"/>
          <w:u w:val="none"/>
          <w:lang w:eastAsia="zh-CN"/>
        </w:rPr>
        <w:t>（</w:t>
      </w:r>
      <w:r>
        <w:rPr>
          <w:rFonts w:ascii="宋体" w:hAnsi="宋体" w:eastAsia="宋体" w:cs="宋体"/>
          <w:spacing w:val="-82"/>
          <w:sz w:val="28"/>
          <w:szCs w:val="28"/>
          <w:highlight w:val="none"/>
          <w:u w:val="none"/>
          <w:lang w:eastAsia="zh-CN"/>
        </w:rPr>
        <w:t xml:space="preserve"> </w:t>
      </w:r>
      <w:r>
        <w:rPr>
          <w:rFonts w:ascii="宋体" w:hAnsi="宋体" w:eastAsia="宋体" w:cs="宋体"/>
          <w:spacing w:val="-4"/>
          <w:sz w:val="28"/>
          <w:szCs w:val="28"/>
          <w:highlight w:val="none"/>
          <w:u w:val="none"/>
          <w:lang w:eastAsia="zh-CN"/>
        </w:rPr>
        <w:t>项目名称</w:t>
      </w:r>
      <w:r>
        <w:rPr>
          <w:rFonts w:ascii="宋体" w:hAnsi="宋体" w:eastAsia="宋体" w:cs="宋体"/>
          <w:spacing w:val="-38"/>
          <w:sz w:val="28"/>
          <w:szCs w:val="28"/>
          <w:highlight w:val="none"/>
          <w:u w:val="none"/>
          <w:lang w:eastAsia="zh-CN"/>
        </w:rPr>
        <w:t>）</w:t>
      </w:r>
      <w:r>
        <w:rPr>
          <w:rFonts w:ascii="宋体" w:hAnsi="宋体" w:eastAsia="宋体" w:cs="宋体"/>
          <w:spacing w:val="18"/>
          <w:sz w:val="28"/>
          <w:szCs w:val="28"/>
          <w:highlight w:val="none"/>
          <w:u w:val="single"/>
          <w:lang w:eastAsia="zh-CN"/>
        </w:rPr>
        <w:t xml:space="preserve">     </w:t>
      </w:r>
      <w:r>
        <w:rPr>
          <w:rFonts w:ascii="宋体" w:hAnsi="宋体" w:eastAsia="宋体" w:cs="宋体"/>
          <w:spacing w:val="-38"/>
          <w:sz w:val="28"/>
          <w:szCs w:val="28"/>
          <w:highlight w:val="none"/>
          <w:u w:val="none"/>
          <w:lang w:eastAsia="zh-CN"/>
        </w:rPr>
        <w:t>（</w:t>
      </w:r>
      <w:r>
        <w:rPr>
          <w:rFonts w:ascii="宋体" w:hAnsi="宋体" w:eastAsia="宋体" w:cs="宋体"/>
          <w:spacing w:val="-81"/>
          <w:sz w:val="28"/>
          <w:szCs w:val="28"/>
          <w:highlight w:val="none"/>
          <w:u w:val="single"/>
          <w:lang w:eastAsia="zh-CN"/>
        </w:rPr>
        <w:t xml:space="preserve"> </w:t>
      </w:r>
      <w:r>
        <w:rPr>
          <w:rFonts w:ascii="宋体" w:hAnsi="宋体" w:eastAsia="宋体" w:cs="宋体"/>
          <w:spacing w:val="-4"/>
          <w:sz w:val="28"/>
          <w:szCs w:val="28"/>
          <w:highlight w:val="none"/>
          <w:lang w:eastAsia="zh-CN"/>
        </w:rPr>
        <w:t>项目编号）的采购文件，经详细研究，我们决定参加该项目的招标采购活动并按要求提</w:t>
      </w:r>
      <w:r>
        <w:rPr>
          <w:rFonts w:ascii="宋体" w:hAnsi="宋体" w:eastAsia="宋体" w:cs="宋体"/>
          <w:spacing w:val="1"/>
          <w:sz w:val="28"/>
          <w:szCs w:val="28"/>
          <w:highlight w:val="none"/>
          <w:lang w:eastAsia="zh-CN"/>
        </w:rPr>
        <w:t>交投标文件。我们郑重声明以下诸点并负法律责任:</w:t>
      </w:r>
    </w:p>
    <w:p w14:paraId="6DC3D436">
      <w:pPr>
        <w:spacing w:before="5" w:line="262" w:lineRule="auto"/>
        <w:ind w:left="21" w:firstLine="571"/>
        <w:rPr>
          <w:rFonts w:ascii="宋体" w:hAnsi="宋体" w:eastAsia="宋体" w:cs="宋体"/>
          <w:sz w:val="28"/>
          <w:szCs w:val="28"/>
          <w:highlight w:val="none"/>
          <w:lang w:eastAsia="zh-CN"/>
        </w:rPr>
      </w:pPr>
      <w:r>
        <w:rPr>
          <w:rFonts w:ascii="宋体" w:hAnsi="宋体" w:eastAsia="宋体" w:cs="宋体"/>
          <w:spacing w:val="1"/>
          <w:sz w:val="28"/>
          <w:szCs w:val="28"/>
          <w:highlight w:val="none"/>
          <w:lang w:eastAsia="zh-CN"/>
        </w:rPr>
        <w:t>（1）愿按照招标文件中规定的条款和要求，提供完成招</w:t>
      </w:r>
      <w:r>
        <w:rPr>
          <w:rFonts w:ascii="宋体" w:hAnsi="宋体" w:eastAsia="宋体" w:cs="宋体"/>
          <w:sz w:val="28"/>
          <w:szCs w:val="28"/>
          <w:highlight w:val="none"/>
          <w:lang w:eastAsia="zh-CN"/>
        </w:rPr>
        <w:t>标文件</w:t>
      </w:r>
      <w:r>
        <w:rPr>
          <w:rFonts w:ascii="宋体" w:hAnsi="宋体" w:eastAsia="宋体" w:cs="宋体"/>
          <w:spacing w:val="-3"/>
          <w:sz w:val="28"/>
          <w:szCs w:val="28"/>
          <w:highlight w:val="none"/>
          <w:lang w:eastAsia="zh-CN"/>
        </w:rPr>
        <w:t>规定的全部工作，此次投标报价为人民币：大写</w:t>
      </w:r>
      <w:r>
        <w:rPr>
          <w:rFonts w:ascii="宋体" w:hAnsi="宋体" w:eastAsia="宋体" w:cs="宋体"/>
          <w:spacing w:val="-1"/>
          <w:sz w:val="28"/>
          <w:szCs w:val="28"/>
          <w:highlight w:val="none"/>
          <w:lang w:eastAsia="zh-CN"/>
        </w:rPr>
        <w:t>：</w:t>
      </w:r>
      <w:r>
        <w:rPr>
          <w:rFonts w:ascii="宋体" w:hAnsi="宋体" w:eastAsia="宋体" w:cs="宋体"/>
          <w:spacing w:val="6"/>
          <w:sz w:val="28"/>
          <w:szCs w:val="28"/>
          <w:highlight w:val="none"/>
          <w:lang w:eastAsia="zh-CN"/>
        </w:rPr>
        <w:t xml:space="preserve"> </w:t>
      </w:r>
      <w:r>
        <w:rPr>
          <w:rFonts w:ascii="宋体" w:hAnsi="宋体" w:eastAsia="宋体" w:cs="宋体"/>
          <w:spacing w:val="1"/>
          <w:sz w:val="28"/>
          <w:szCs w:val="28"/>
          <w:highlight w:val="none"/>
          <w:u w:val="single"/>
          <w:lang w:eastAsia="zh-CN"/>
        </w:rPr>
        <w:t xml:space="preserve">       </w:t>
      </w:r>
      <w:r>
        <w:rPr>
          <w:rFonts w:ascii="宋体" w:hAnsi="宋体" w:eastAsia="宋体" w:cs="宋体"/>
          <w:spacing w:val="-103"/>
          <w:sz w:val="28"/>
          <w:szCs w:val="28"/>
          <w:highlight w:val="none"/>
          <w:lang w:eastAsia="zh-CN"/>
        </w:rPr>
        <w:t xml:space="preserve"> </w:t>
      </w:r>
      <w:r>
        <w:rPr>
          <w:rFonts w:ascii="宋体" w:hAnsi="宋体" w:eastAsia="宋体" w:cs="宋体"/>
          <w:spacing w:val="-1"/>
          <w:sz w:val="28"/>
          <w:szCs w:val="28"/>
          <w:highlight w:val="none"/>
          <w:lang w:eastAsia="zh-CN"/>
        </w:rPr>
        <w:t>，</w:t>
      </w:r>
      <w:r>
        <w:rPr>
          <w:rFonts w:ascii="宋体" w:hAnsi="宋体" w:eastAsia="宋体" w:cs="宋体"/>
          <w:spacing w:val="-3"/>
          <w:sz w:val="28"/>
          <w:szCs w:val="28"/>
          <w:highlight w:val="none"/>
          <w:lang w:eastAsia="zh-CN"/>
        </w:rPr>
        <w:t>小写：</w:t>
      </w:r>
      <w:r>
        <w:rPr>
          <w:rFonts w:ascii="宋体" w:hAnsi="宋体" w:eastAsia="宋体" w:cs="宋体"/>
          <w:sz w:val="28"/>
          <w:szCs w:val="28"/>
          <w:highlight w:val="none"/>
          <w:lang w:eastAsia="zh-CN"/>
        </w:rPr>
        <w:t xml:space="preserve"> </w:t>
      </w:r>
      <w:r>
        <w:rPr>
          <w:rFonts w:ascii="Calibri" w:hAnsi="Calibri" w:eastAsia="Calibri" w:cs="Calibri"/>
          <w:spacing w:val="-7"/>
          <w:sz w:val="28"/>
          <w:szCs w:val="28"/>
          <w:highlight w:val="none"/>
          <w:lang w:eastAsia="zh-CN"/>
        </w:rPr>
        <w:t>¥</w:t>
      </w:r>
      <w:r>
        <w:rPr>
          <w:rFonts w:ascii="Calibri" w:hAnsi="Calibri" w:eastAsia="Calibri" w:cs="Calibri"/>
          <w:spacing w:val="2"/>
          <w:sz w:val="28"/>
          <w:szCs w:val="28"/>
          <w:highlight w:val="none"/>
          <w:u w:val="single"/>
          <w:lang w:eastAsia="zh-CN"/>
        </w:rPr>
        <w:t xml:space="preserve">               </w:t>
      </w:r>
      <w:r>
        <w:rPr>
          <w:rFonts w:ascii="Calibri" w:hAnsi="Calibri" w:eastAsia="Calibri" w:cs="Calibri"/>
          <w:spacing w:val="-46"/>
          <w:sz w:val="28"/>
          <w:szCs w:val="28"/>
          <w:highlight w:val="none"/>
          <w:lang w:eastAsia="zh-CN"/>
        </w:rPr>
        <w:t xml:space="preserve"> </w:t>
      </w:r>
      <w:r>
        <w:rPr>
          <w:rFonts w:ascii="宋体" w:hAnsi="宋体" w:eastAsia="宋体" w:cs="宋体"/>
          <w:spacing w:val="-7"/>
          <w:sz w:val="28"/>
          <w:szCs w:val="28"/>
          <w:highlight w:val="none"/>
          <w:lang w:eastAsia="zh-CN"/>
        </w:rPr>
        <w:t>元，</w:t>
      </w:r>
      <w:r>
        <w:rPr>
          <w:rFonts w:hint="eastAsia" w:ascii="宋体" w:hAnsi="宋体" w:eastAsia="宋体" w:cs="宋体"/>
          <w:spacing w:val="-7"/>
          <w:sz w:val="28"/>
          <w:szCs w:val="28"/>
          <w:highlight w:val="none"/>
          <w:lang w:eastAsia="zh-CN"/>
        </w:rPr>
        <w:t>实施周期</w:t>
      </w:r>
      <w:r>
        <w:rPr>
          <w:rFonts w:ascii="宋体" w:hAnsi="宋体" w:eastAsia="宋体" w:cs="宋体"/>
          <w:spacing w:val="-18"/>
          <w:sz w:val="28"/>
          <w:szCs w:val="28"/>
          <w:highlight w:val="none"/>
          <w:lang w:eastAsia="zh-CN"/>
        </w:rPr>
        <w:t>：</w:t>
      </w:r>
      <w:r>
        <w:rPr>
          <w:rFonts w:ascii="宋体" w:hAnsi="宋体" w:eastAsia="宋体" w:cs="宋体"/>
          <w:sz w:val="28"/>
          <w:szCs w:val="28"/>
          <w:highlight w:val="none"/>
          <w:u w:val="single"/>
          <w:lang w:eastAsia="zh-CN"/>
        </w:rPr>
        <w:t xml:space="preserve">           </w:t>
      </w:r>
      <w:r>
        <w:rPr>
          <w:rFonts w:ascii="宋体" w:hAnsi="宋体" w:eastAsia="宋体" w:cs="宋体"/>
          <w:spacing w:val="-105"/>
          <w:sz w:val="28"/>
          <w:szCs w:val="28"/>
          <w:highlight w:val="none"/>
          <w:lang w:eastAsia="zh-CN"/>
        </w:rPr>
        <w:t xml:space="preserve"> </w:t>
      </w:r>
      <w:r>
        <w:rPr>
          <w:rFonts w:ascii="宋体" w:hAnsi="宋体" w:eastAsia="宋体" w:cs="宋体"/>
          <w:spacing w:val="-18"/>
          <w:sz w:val="28"/>
          <w:szCs w:val="28"/>
          <w:highlight w:val="none"/>
          <w:lang w:eastAsia="zh-CN"/>
        </w:rPr>
        <w:t>，</w:t>
      </w:r>
      <w:r>
        <w:rPr>
          <w:rFonts w:ascii="宋体" w:hAnsi="宋体" w:eastAsia="宋体" w:cs="宋体"/>
          <w:spacing w:val="-7"/>
          <w:sz w:val="28"/>
          <w:szCs w:val="28"/>
          <w:highlight w:val="none"/>
          <w:lang w:eastAsia="zh-CN"/>
        </w:rPr>
        <w:t>服务地点</w:t>
      </w:r>
      <w:r>
        <w:rPr>
          <w:rFonts w:ascii="宋体" w:hAnsi="宋体" w:eastAsia="宋体" w:cs="宋体"/>
          <w:spacing w:val="-18"/>
          <w:sz w:val="28"/>
          <w:szCs w:val="28"/>
          <w:highlight w:val="none"/>
          <w:lang w:eastAsia="zh-CN"/>
        </w:rPr>
        <w:t>：</w:t>
      </w:r>
      <w:r>
        <w:rPr>
          <w:rFonts w:ascii="宋体" w:hAnsi="宋体" w:eastAsia="宋体" w:cs="宋体"/>
          <w:sz w:val="28"/>
          <w:szCs w:val="28"/>
          <w:highlight w:val="none"/>
          <w:u w:val="single"/>
          <w:lang w:eastAsia="zh-CN"/>
        </w:rPr>
        <w:t xml:space="preserve">           </w:t>
      </w:r>
      <w:r>
        <w:rPr>
          <w:rFonts w:ascii="宋体" w:hAnsi="宋体" w:eastAsia="宋体" w:cs="宋体"/>
          <w:spacing w:val="-18"/>
          <w:sz w:val="28"/>
          <w:szCs w:val="28"/>
          <w:highlight w:val="none"/>
          <w:lang w:eastAsia="zh-CN"/>
        </w:rPr>
        <w:t>，</w:t>
      </w:r>
      <w:r>
        <w:rPr>
          <w:rFonts w:hint="eastAsia" w:ascii="宋体" w:hAnsi="宋体" w:eastAsia="宋体" w:cs="宋体"/>
          <w:spacing w:val="-7"/>
          <w:sz w:val="28"/>
          <w:szCs w:val="28"/>
          <w:highlight w:val="none"/>
          <w:lang w:eastAsia="zh-CN"/>
        </w:rPr>
        <w:t>服务要求</w:t>
      </w:r>
      <w:r>
        <w:rPr>
          <w:rFonts w:ascii="宋体" w:hAnsi="宋体" w:eastAsia="宋体" w:cs="宋体"/>
          <w:spacing w:val="-9"/>
          <w:sz w:val="28"/>
          <w:szCs w:val="28"/>
          <w:highlight w:val="none"/>
          <w:lang w:eastAsia="zh-CN"/>
        </w:rPr>
        <w:t>：</w:t>
      </w:r>
      <w:r>
        <w:rPr>
          <w:rFonts w:ascii="宋体" w:hAnsi="宋体" w:eastAsia="宋体" w:cs="宋体"/>
          <w:sz w:val="28"/>
          <w:szCs w:val="28"/>
          <w:highlight w:val="none"/>
          <w:u w:val="single"/>
          <w:lang w:eastAsia="zh-CN"/>
        </w:rPr>
        <w:t xml:space="preserve">      </w:t>
      </w:r>
      <w:r>
        <w:rPr>
          <w:rFonts w:ascii="宋体" w:hAnsi="宋体" w:eastAsia="宋体" w:cs="宋体"/>
          <w:spacing w:val="-106"/>
          <w:sz w:val="28"/>
          <w:szCs w:val="28"/>
          <w:highlight w:val="none"/>
          <w:lang w:eastAsia="zh-CN"/>
        </w:rPr>
        <w:t xml:space="preserve"> </w:t>
      </w:r>
      <w:r>
        <w:rPr>
          <w:rFonts w:ascii="宋体" w:hAnsi="宋体" w:eastAsia="宋体" w:cs="宋体"/>
          <w:spacing w:val="-9"/>
          <w:sz w:val="28"/>
          <w:szCs w:val="28"/>
          <w:highlight w:val="none"/>
          <w:lang w:eastAsia="zh-CN"/>
        </w:rPr>
        <w:t>，</w:t>
      </w:r>
      <w:r>
        <w:rPr>
          <w:rFonts w:ascii="宋体" w:hAnsi="宋体" w:eastAsia="宋体" w:cs="宋体"/>
          <w:spacing w:val="-1"/>
          <w:sz w:val="28"/>
          <w:szCs w:val="28"/>
          <w:highlight w:val="none"/>
          <w:lang w:eastAsia="zh-CN"/>
        </w:rPr>
        <w:t>投标有效期：</w:t>
      </w:r>
      <w:r>
        <w:rPr>
          <w:rFonts w:ascii="宋体" w:hAnsi="宋体" w:eastAsia="宋体" w:cs="宋体"/>
          <w:spacing w:val="-1"/>
          <w:sz w:val="28"/>
          <w:szCs w:val="28"/>
          <w:highlight w:val="none"/>
          <w:u w:val="single"/>
          <w:lang w:eastAsia="zh-CN"/>
        </w:rPr>
        <w:t xml:space="preserve">           </w:t>
      </w:r>
      <w:r>
        <w:rPr>
          <w:rFonts w:ascii="宋体" w:hAnsi="宋体" w:eastAsia="宋体" w:cs="宋体"/>
          <w:spacing w:val="-1"/>
          <w:sz w:val="28"/>
          <w:szCs w:val="28"/>
          <w:highlight w:val="none"/>
          <w:lang w:eastAsia="zh-CN"/>
        </w:rPr>
        <w:t>。</w:t>
      </w:r>
    </w:p>
    <w:p w14:paraId="26612784">
      <w:pPr>
        <w:spacing w:before="85" w:line="249" w:lineRule="auto"/>
        <w:ind w:left="48" w:right="143" w:firstLine="544"/>
        <w:rPr>
          <w:rFonts w:ascii="宋体" w:hAnsi="宋体" w:eastAsia="宋体" w:cs="宋体"/>
          <w:sz w:val="28"/>
          <w:szCs w:val="28"/>
          <w:highlight w:val="none"/>
          <w:lang w:eastAsia="zh-CN"/>
        </w:rPr>
      </w:pPr>
      <w:r>
        <w:rPr>
          <w:rFonts w:ascii="宋体" w:hAnsi="宋体" w:eastAsia="宋体" w:cs="宋体"/>
          <w:spacing w:val="-2"/>
          <w:sz w:val="28"/>
          <w:szCs w:val="28"/>
          <w:highlight w:val="none"/>
          <w:lang w:eastAsia="zh-CN"/>
        </w:rPr>
        <w:t>（2）如果我们的投标文件被接受，我们将履行招标文件中规定</w:t>
      </w:r>
      <w:r>
        <w:rPr>
          <w:rFonts w:ascii="宋体" w:hAnsi="宋体" w:eastAsia="宋体" w:cs="宋体"/>
          <w:spacing w:val="-9"/>
          <w:sz w:val="28"/>
          <w:szCs w:val="28"/>
          <w:highlight w:val="none"/>
          <w:lang w:eastAsia="zh-CN"/>
        </w:rPr>
        <w:t>的各项要求。</w:t>
      </w:r>
    </w:p>
    <w:p w14:paraId="2118F7E2">
      <w:pPr>
        <w:spacing w:before="85" w:line="249" w:lineRule="auto"/>
        <w:ind w:left="32" w:right="139" w:firstLine="560"/>
        <w:rPr>
          <w:rFonts w:ascii="宋体" w:hAnsi="宋体" w:eastAsia="宋体" w:cs="宋体"/>
          <w:sz w:val="28"/>
          <w:szCs w:val="28"/>
          <w:highlight w:val="none"/>
          <w:lang w:eastAsia="zh-CN"/>
        </w:rPr>
      </w:pPr>
      <w:r>
        <w:rPr>
          <w:rFonts w:ascii="宋体" w:hAnsi="宋体" w:eastAsia="宋体" w:cs="宋体"/>
          <w:spacing w:val="-1"/>
          <w:sz w:val="28"/>
          <w:szCs w:val="28"/>
          <w:highlight w:val="none"/>
          <w:lang w:eastAsia="zh-CN"/>
        </w:rPr>
        <w:t>（3）我们同意本招标文件中有关有效期的规定。</w:t>
      </w:r>
      <w:r>
        <w:rPr>
          <w:rFonts w:ascii="宋体" w:hAnsi="宋体" w:eastAsia="宋体" w:cs="宋体"/>
          <w:spacing w:val="-2"/>
          <w:sz w:val="28"/>
          <w:szCs w:val="28"/>
          <w:highlight w:val="none"/>
          <w:lang w:eastAsia="zh-CN"/>
        </w:rPr>
        <w:t>如果中标，有</w:t>
      </w:r>
      <w:r>
        <w:rPr>
          <w:rFonts w:ascii="宋体" w:hAnsi="宋体" w:eastAsia="宋体" w:cs="宋体"/>
          <w:spacing w:val="-4"/>
          <w:sz w:val="28"/>
          <w:szCs w:val="28"/>
          <w:highlight w:val="none"/>
          <w:lang w:eastAsia="zh-CN"/>
        </w:rPr>
        <w:t>效期延长至合同终止日止。</w:t>
      </w:r>
    </w:p>
    <w:p w14:paraId="50A1FB83">
      <w:pPr>
        <w:spacing w:before="85" w:line="219" w:lineRule="auto"/>
        <w:ind w:left="592"/>
        <w:rPr>
          <w:rFonts w:ascii="宋体" w:hAnsi="宋体" w:eastAsia="宋体" w:cs="宋体"/>
          <w:sz w:val="28"/>
          <w:szCs w:val="28"/>
          <w:highlight w:val="none"/>
          <w:lang w:eastAsia="zh-CN"/>
        </w:rPr>
      </w:pPr>
      <w:r>
        <w:rPr>
          <w:rFonts w:ascii="宋体" w:hAnsi="宋体" w:eastAsia="宋体" w:cs="宋体"/>
          <w:spacing w:val="-2"/>
          <w:sz w:val="28"/>
          <w:szCs w:val="28"/>
          <w:highlight w:val="none"/>
          <w:lang w:eastAsia="zh-CN"/>
        </w:rPr>
        <w:t>（4）我们愿提供招标文件中要求的所有文件资料。</w:t>
      </w:r>
    </w:p>
    <w:p w14:paraId="116D3828">
      <w:pPr>
        <w:spacing w:before="88" w:line="258" w:lineRule="auto"/>
        <w:ind w:left="27" w:right="78" w:firstLine="564"/>
        <w:rPr>
          <w:rFonts w:ascii="宋体" w:hAnsi="宋体" w:eastAsia="宋体" w:cs="宋体"/>
          <w:sz w:val="28"/>
          <w:szCs w:val="28"/>
          <w:highlight w:val="none"/>
          <w:lang w:eastAsia="zh-CN"/>
        </w:rPr>
      </w:pPr>
      <w:r>
        <w:rPr>
          <w:rFonts w:ascii="宋体" w:hAnsi="宋体" w:eastAsia="宋体" w:cs="宋体"/>
          <w:spacing w:val="-9"/>
          <w:sz w:val="28"/>
          <w:szCs w:val="28"/>
          <w:highlight w:val="none"/>
          <w:lang w:eastAsia="zh-CN"/>
        </w:rPr>
        <w:t>（5）我们已经详细审核了全部招标文件，如有需要澄清的问题，</w:t>
      </w:r>
      <w:r>
        <w:rPr>
          <w:rFonts w:ascii="宋体" w:hAnsi="宋体" w:eastAsia="宋体" w:cs="宋体"/>
          <w:spacing w:val="-4"/>
          <w:sz w:val="28"/>
          <w:szCs w:val="28"/>
          <w:highlight w:val="none"/>
          <w:lang w:eastAsia="zh-CN"/>
        </w:rPr>
        <w:t>我们同意按招标文件规定的时间向采购人提出。逾期不提，我公司同</w:t>
      </w:r>
      <w:r>
        <w:rPr>
          <w:rFonts w:ascii="宋体" w:hAnsi="宋体" w:eastAsia="宋体" w:cs="宋体"/>
          <w:spacing w:val="-1"/>
          <w:sz w:val="28"/>
          <w:szCs w:val="28"/>
          <w:highlight w:val="none"/>
          <w:lang w:eastAsia="zh-CN"/>
        </w:rPr>
        <w:t>意放弃对这方面有不明及误解的权利。</w:t>
      </w:r>
    </w:p>
    <w:p w14:paraId="0FAB14E0">
      <w:pPr>
        <w:spacing w:before="86" w:line="220" w:lineRule="auto"/>
        <w:ind w:left="592"/>
        <w:rPr>
          <w:rFonts w:ascii="宋体" w:hAnsi="宋体" w:eastAsia="宋体" w:cs="宋体"/>
          <w:sz w:val="28"/>
          <w:szCs w:val="28"/>
          <w:highlight w:val="none"/>
          <w:lang w:eastAsia="zh-CN"/>
        </w:rPr>
      </w:pPr>
      <w:r>
        <w:rPr>
          <w:rFonts w:ascii="宋体" w:hAnsi="宋体" w:eastAsia="宋体" w:cs="宋体"/>
          <w:spacing w:val="-10"/>
          <w:sz w:val="28"/>
          <w:szCs w:val="28"/>
          <w:highlight w:val="none"/>
          <w:lang w:eastAsia="zh-CN"/>
        </w:rPr>
        <w:t>（6）我们愿按《中华人民共和国民法典》履行自己的全部责任。</w:t>
      </w:r>
    </w:p>
    <w:p w14:paraId="7816508B">
      <w:pPr>
        <w:pStyle w:val="4"/>
        <w:spacing w:line="346" w:lineRule="auto"/>
        <w:rPr>
          <w:highlight w:val="none"/>
          <w:lang w:eastAsia="zh-CN"/>
        </w:rPr>
      </w:pPr>
    </w:p>
    <w:p w14:paraId="65DE3594">
      <w:pPr>
        <w:pStyle w:val="4"/>
        <w:spacing w:line="346" w:lineRule="auto"/>
        <w:rPr>
          <w:highlight w:val="none"/>
          <w:lang w:eastAsia="zh-CN"/>
        </w:rPr>
      </w:pPr>
    </w:p>
    <w:p w14:paraId="70EFD085">
      <w:pPr>
        <w:spacing w:before="92" w:line="219" w:lineRule="auto"/>
        <w:ind w:left="3105"/>
        <w:rPr>
          <w:rFonts w:ascii="宋体" w:hAnsi="宋体" w:eastAsia="宋体" w:cs="宋体"/>
          <w:sz w:val="28"/>
          <w:szCs w:val="28"/>
          <w:highlight w:val="none"/>
          <w:lang w:eastAsia="zh-CN"/>
        </w:rPr>
      </w:pPr>
      <w:r>
        <w:rPr>
          <w:rFonts w:ascii="宋体" w:hAnsi="宋体" w:eastAsia="宋体" w:cs="宋体"/>
          <w:spacing w:val="-1"/>
          <w:sz w:val="28"/>
          <w:szCs w:val="28"/>
          <w:highlight w:val="none"/>
          <w:lang w:eastAsia="zh-CN"/>
        </w:rPr>
        <w:t>供应商(单位电子签章)：</w:t>
      </w:r>
    </w:p>
    <w:p w14:paraId="39DDAF85">
      <w:pPr>
        <w:spacing w:before="292" w:line="219" w:lineRule="auto"/>
        <w:ind w:left="3106"/>
        <w:rPr>
          <w:rFonts w:ascii="宋体" w:hAnsi="宋体" w:eastAsia="宋体" w:cs="宋体"/>
          <w:sz w:val="28"/>
          <w:szCs w:val="28"/>
          <w:highlight w:val="none"/>
          <w:lang w:eastAsia="zh-CN"/>
        </w:rPr>
      </w:pPr>
      <w:r>
        <w:rPr>
          <w:rFonts w:ascii="宋体" w:hAnsi="宋体" w:eastAsia="宋体" w:cs="宋体"/>
          <w:spacing w:val="-1"/>
          <w:sz w:val="28"/>
          <w:szCs w:val="28"/>
          <w:highlight w:val="none"/>
          <w:lang w:eastAsia="zh-CN"/>
        </w:rPr>
        <w:t>法定代表人(法人电子签章)：</w:t>
      </w:r>
    </w:p>
    <w:p w14:paraId="7B7F4560">
      <w:pPr>
        <w:spacing w:before="291" w:line="220" w:lineRule="auto"/>
        <w:ind w:left="3153"/>
        <w:rPr>
          <w:rFonts w:ascii="宋体" w:hAnsi="宋体" w:eastAsia="宋体" w:cs="宋体"/>
          <w:sz w:val="28"/>
          <w:szCs w:val="28"/>
          <w:highlight w:val="none"/>
          <w:lang w:eastAsia="zh-CN"/>
        </w:rPr>
      </w:pPr>
      <w:r>
        <w:rPr>
          <w:rFonts w:ascii="宋体" w:hAnsi="宋体" w:eastAsia="宋体" w:cs="宋体"/>
          <w:spacing w:val="-15"/>
          <w:sz w:val="28"/>
          <w:szCs w:val="28"/>
          <w:highlight w:val="none"/>
          <w:lang w:eastAsia="zh-CN"/>
        </w:rPr>
        <w:t>日期：</w:t>
      </w:r>
      <w:r>
        <w:rPr>
          <w:rFonts w:ascii="宋体" w:hAnsi="宋体" w:eastAsia="宋体" w:cs="宋体"/>
          <w:spacing w:val="5"/>
          <w:sz w:val="28"/>
          <w:szCs w:val="28"/>
          <w:highlight w:val="none"/>
          <w:lang w:eastAsia="zh-CN"/>
        </w:rPr>
        <w:t xml:space="preserve">   </w:t>
      </w:r>
      <w:r>
        <w:rPr>
          <w:rFonts w:ascii="宋体" w:hAnsi="宋体" w:eastAsia="宋体" w:cs="宋体"/>
          <w:spacing w:val="-15"/>
          <w:sz w:val="28"/>
          <w:szCs w:val="28"/>
          <w:highlight w:val="none"/>
          <w:lang w:eastAsia="zh-CN"/>
        </w:rPr>
        <w:t>年</w:t>
      </w:r>
      <w:r>
        <w:rPr>
          <w:rFonts w:ascii="宋体" w:hAnsi="宋体" w:eastAsia="宋体" w:cs="宋体"/>
          <w:spacing w:val="5"/>
          <w:sz w:val="28"/>
          <w:szCs w:val="28"/>
          <w:highlight w:val="none"/>
          <w:lang w:eastAsia="zh-CN"/>
        </w:rPr>
        <w:t xml:space="preserve">   </w:t>
      </w:r>
      <w:r>
        <w:rPr>
          <w:rFonts w:ascii="宋体" w:hAnsi="宋体" w:eastAsia="宋体" w:cs="宋体"/>
          <w:spacing w:val="-15"/>
          <w:sz w:val="28"/>
          <w:szCs w:val="28"/>
          <w:highlight w:val="none"/>
          <w:lang w:eastAsia="zh-CN"/>
        </w:rPr>
        <w:t>月</w:t>
      </w:r>
      <w:r>
        <w:rPr>
          <w:rFonts w:ascii="宋体" w:hAnsi="宋体" w:eastAsia="宋体" w:cs="宋体"/>
          <w:spacing w:val="30"/>
          <w:sz w:val="28"/>
          <w:szCs w:val="28"/>
          <w:highlight w:val="none"/>
          <w:lang w:eastAsia="zh-CN"/>
        </w:rPr>
        <w:t xml:space="preserve">  </w:t>
      </w:r>
      <w:r>
        <w:rPr>
          <w:rFonts w:ascii="宋体" w:hAnsi="宋体" w:eastAsia="宋体" w:cs="宋体"/>
          <w:spacing w:val="-15"/>
          <w:sz w:val="28"/>
          <w:szCs w:val="28"/>
          <w:highlight w:val="none"/>
          <w:lang w:eastAsia="zh-CN"/>
        </w:rPr>
        <w:t>日</w:t>
      </w:r>
    </w:p>
    <w:p w14:paraId="7A968881">
      <w:pPr>
        <w:pStyle w:val="4"/>
        <w:spacing w:line="271" w:lineRule="auto"/>
        <w:rPr>
          <w:highlight w:val="none"/>
          <w:lang w:eastAsia="zh-CN"/>
        </w:rPr>
      </w:pPr>
    </w:p>
    <w:p w14:paraId="365F5D6D">
      <w:pPr>
        <w:pStyle w:val="4"/>
        <w:spacing w:line="271" w:lineRule="auto"/>
        <w:rPr>
          <w:highlight w:val="none"/>
          <w:lang w:eastAsia="zh-CN"/>
        </w:rPr>
      </w:pPr>
    </w:p>
    <w:p w14:paraId="40044F5D">
      <w:pPr>
        <w:kinsoku/>
        <w:autoSpaceDE/>
        <w:autoSpaceDN/>
        <w:adjustRightInd/>
        <w:snapToGrid/>
        <w:textAlignment w:val="auto"/>
        <w:rPr>
          <w:rFonts w:ascii="宋体" w:hAnsi="宋体" w:eastAsia="宋体" w:cs="宋体"/>
          <w:b/>
          <w:bCs/>
          <w:spacing w:val="5"/>
          <w:sz w:val="31"/>
          <w:szCs w:val="31"/>
          <w:highlight w:val="none"/>
          <w:lang w:eastAsia="zh-CN"/>
        </w:rPr>
      </w:pPr>
      <w:r>
        <w:rPr>
          <w:rFonts w:ascii="宋体" w:hAnsi="宋体" w:eastAsia="宋体" w:cs="宋体"/>
          <w:b/>
          <w:bCs/>
          <w:spacing w:val="5"/>
          <w:sz w:val="31"/>
          <w:szCs w:val="31"/>
          <w:highlight w:val="none"/>
          <w:lang w:eastAsia="zh-CN"/>
        </w:rPr>
        <w:br w:type="page"/>
      </w:r>
    </w:p>
    <w:p w14:paraId="49202C50">
      <w:pPr>
        <w:spacing w:before="101" w:line="224" w:lineRule="auto"/>
        <w:jc w:val="center"/>
        <w:rPr>
          <w:rFonts w:ascii="宋体" w:hAnsi="宋体" w:eastAsia="宋体" w:cs="宋体"/>
          <w:b/>
          <w:bCs/>
          <w:spacing w:val="5"/>
          <w:sz w:val="31"/>
          <w:szCs w:val="31"/>
          <w:highlight w:val="none"/>
          <w:lang w:eastAsia="zh-CN"/>
        </w:rPr>
      </w:pPr>
      <w:r>
        <w:rPr>
          <w:rFonts w:ascii="宋体" w:hAnsi="宋体" w:eastAsia="宋体" w:cs="宋体"/>
          <w:b/>
          <w:bCs/>
          <w:spacing w:val="5"/>
          <w:sz w:val="31"/>
          <w:szCs w:val="31"/>
          <w:highlight w:val="none"/>
          <w:lang w:eastAsia="zh-CN"/>
        </w:rPr>
        <w:t>二、投标报价</w:t>
      </w:r>
    </w:p>
    <w:p w14:paraId="70AC38D5">
      <w:pPr>
        <w:spacing w:before="101" w:line="224" w:lineRule="auto"/>
        <w:jc w:val="center"/>
        <w:rPr>
          <w:rFonts w:ascii="宋体" w:hAnsi="宋体" w:eastAsia="宋体" w:cs="宋体"/>
          <w:sz w:val="31"/>
          <w:szCs w:val="31"/>
          <w:highlight w:val="none"/>
          <w:lang w:eastAsia="zh-CN"/>
        </w:rPr>
      </w:pPr>
      <w:r>
        <w:rPr>
          <w:rFonts w:hint="eastAsia" w:ascii="宋体" w:hAnsi="宋体" w:eastAsia="宋体" w:cs="宋体"/>
          <w:b/>
          <w:bCs/>
          <w:spacing w:val="5"/>
          <w:sz w:val="31"/>
          <w:szCs w:val="31"/>
          <w:highlight w:val="none"/>
          <w:lang w:eastAsia="zh-CN"/>
        </w:rPr>
        <w:t>（一）投标报价</w:t>
      </w:r>
      <w:r>
        <w:rPr>
          <w:rFonts w:ascii="宋体" w:hAnsi="宋体" w:eastAsia="宋体" w:cs="宋体"/>
          <w:b/>
          <w:bCs/>
          <w:spacing w:val="5"/>
          <w:sz w:val="31"/>
          <w:szCs w:val="31"/>
          <w:highlight w:val="none"/>
          <w:lang w:eastAsia="zh-CN"/>
        </w:rPr>
        <w:t>一览表</w:t>
      </w:r>
    </w:p>
    <w:p w14:paraId="288B73F2">
      <w:pPr>
        <w:spacing w:before="120"/>
        <w:rPr>
          <w:highlight w:val="none"/>
          <w:lang w:eastAsia="zh-CN"/>
        </w:rPr>
      </w:pPr>
    </w:p>
    <w:p w14:paraId="0D492C5C">
      <w:pPr>
        <w:spacing w:before="119"/>
        <w:rPr>
          <w:highlight w:val="none"/>
          <w:lang w:eastAsia="zh-CN"/>
        </w:rPr>
      </w:pPr>
    </w:p>
    <w:tbl>
      <w:tblPr>
        <w:tblStyle w:val="32"/>
        <w:tblW w:w="92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93"/>
        <w:gridCol w:w="2634"/>
        <w:gridCol w:w="1499"/>
        <w:gridCol w:w="2668"/>
      </w:tblGrid>
      <w:tr w14:paraId="675B8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2493" w:type="dxa"/>
          </w:tcPr>
          <w:p w14:paraId="25D47FB3">
            <w:pPr>
              <w:pStyle w:val="33"/>
              <w:spacing w:before="219" w:line="221" w:lineRule="auto"/>
              <w:ind w:left="682"/>
              <w:rPr>
                <w:sz w:val="28"/>
                <w:szCs w:val="28"/>
                <w:highlight w:val="none"/>
              </w:rPr>
            </w:pPr>
            <w:r>
              <w:rPr>
                <w:spacing w:val="-3"/>
                <w:sz w:val="28"/>
                <w:szCs w:val="28"/>
                <w:highlight w:val="none"/>
              </w:rPr>
              <w:t>项目名称</w:t>
            </w:r>
          </w:p>
        </w:tc>
        <w:tc>
          <w:tcPr>
            <w:tcW w:w="6801" w:type="dxa"/>
            <w:gridSpan w:val="3"/>
          </w:tcPr>
          <w:p w14:paraId="5A25755F">
            <w:pPr>
              <w:rPr>
                <w:highlight w:val="none"/>
              </w:rPr>
            </w:pPr>
          </w:p>
        </w:tc>
      </w:tr>
      <w:tr w14:paraId="7933A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2493" w:type="dxa"/>
          </w:tcPr>
          <w:p w14:paraId="5CB956FC">
            <w:pPr>
              <w:pStyle w:val="33"/>
              <w:spacing w:before="210" w:line="220" w:lineRule="auto"/>
              <w:ind w:left="699"/>
              <w:rPr>
                <w:sz w:val="28"/>
                <w:szCs w:val="28"/>
                <w:highlight w:val="none"/>
              </w:rPr>
            </w:pPr>
            <w:r>
              <w:rPr>
                <w:spacing w:val="-3"/>
                <w:sz w:val="28"/>
                <w:szCs w:val="28"/>
                <w:highlight w:val="none"/>
              </w:rPr>
              <w:t>项目编号</w:t>
            </w:r>
          </w:p>
        </w:tc>
        <w:tc>
          <w:tcPr>
            <w:tcW w:w="6801" w:type="dxa"/>
            <w:gridSpan w:val="3"/>
          </w:tcPr>
          <w:p w14:paraId="5B3B2A1A">
            <w:pPr>
              <w:rPr>
                <w:highlight w:val="none"/>
              </w:rPr>
            </w:pPr>
          </w:p>
        </w:tc>
      </w:tr>
      <w:tr w14:paraId="2E189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2493" w:type="dxa"/>
          </w:tcPr>
          <w:p w14:paraId="21FCF57B">
            <w:pPr>
              <w:pStyle w:val="33"/>
              <w:spacing w:before="236" w:line="221" w:lineRule="auto"/>
              <w:ind w:left="558"/>
              <w:rPr>
                <w:sz w:val="28"/>
                <w:szCs w:val="28"/>
                <w:highlight w:val="none"/>
              </w:rPr>
            </w:pPr>
            <w:r>
              <w:rPr>
                <w:spacing w:val="-3"/>
                <w:sz w:val="28"/>
                <w:szCs w:val="28"/>
                <w:highlight w:val="none"/>
              </w:rPr>
              <w:t>投标人名称</w:t>
            </w:r>
          </w:p>
        </w:tc>
        <w:tc>
          <w:tcPr>
            <w:tcW w:w="6801" w:type="dxa"/>
            <w:gridSpan w:val="3"/>
          </w:tcPr>
          <w:p w14:paraId="2366B5BF">
            <w:pPr>
              <w:rPr>
                <w:highlight w:val="none"/>
              </w:rPr>
            </w:pPr>
          </w:p>
        </w:tc>
      </w:tr>
      <w:tr w14:paraId="37909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1" w:hRule="atLeast"/>
        </w:trPr>
        <w:tc>
          <w:tcPr>
            <w:tcW w:w="2493" w:type="dxa"/>
            <w:vAlign w:val="center"/>
          </w:tcPr>
          <w:p w14:paraId="0E1A2CEC">
            <w:pPr>
              <w:pStyle w:val="33"/>
              <w:spacing w:before="91" w:line="220" w:lineRule="auto"/>
              <w:jc w:val="center"/>
              <w:rPr>
                <w:sz w:val="28"/>
                <w:szCs w:val="28"/>
                <w:highlight w:val="none"/>
                <w:lang w:eastAsia="zh-CN"/>
              </w:rPr>
            </w:pPr>
            <w:r>
              <w:rPr>
                <w:rFonts w:hint="eastAsia"/>
                <w:spacing w:val="-2"/>
                <w:sz w:val="28"/>
                <w:szCs w:val="28"/>
                <w:highlight w:val="none"/>
                <w:lang w:eastAsia="zh-CN"/>
              </w:rPr>
              <w:t>企业统一社会信用代码</w:t>
            </w:r>
          </w:p>
        </w:tc>
        <w:tc>
          <w:tcPr>
            <w:tcW w:w="6801" w:type="dxa"/>
            <w:gridSpan w:val="3"/>
          </w:tcPr>
          <w:p w14:paraId="672268C2">
            <w:pPr>
              <w:rPr>
                <w:highlight w:val="none"/>
                <w:lang w:eastAsia="zh-CN"/>
              </w:rPr>
            </w:pPr>
          </w:p>
        </w:tc>
      </w:tr>
      <w:tr w14:paraId="7138C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7" w:hRule="atLeast"/>
        </w:trPr>
        <w:tc>
          <w:tcPr>
            <w:tcW w:w="2493" w:type="dxa"/>
            <w:vAlign w:val="center"/>
          </w:tcPr>
          <w:p w14:paraId="133E4B10">
            <w:pPr>
              <w:pStyle w:val="33"/>
              <w:spacing w:before="91" w:line="219" w:lineRule="auto"/>
              <w:jc w:val="center"/>
              <w:rPr>
                <w:sz w:val="28"/>
                <w:szCs w:val="28"/>
                <w:highlight w:val="none"/>
              </w:rPr>
            </w:pPr>
            <w:r>
              <w:rPr>
                <w:spacing w:val="-3"/>
                <w:sz w:val="28"/>
                <w:szCs w:val="28"/>
                <w:highlight w:val="none"/>
              </w:rPr>
              <w:t>投标总报价</w:t>
            </w:r>
          </w:p>
        </w:tc>
        <w:tc>
          <w:tcPr>
            <w:tcW w:w="6801" w:type="dxa"/>
            <w:gridSpan w:val="3"/>
          </w:tcPr>
          <w:p w14:paraId="7C41EB8F">
            <w:pPr>
              <w:pStyle w:val="33"/>
              <w:spacing w:before="113" w:line="221" w:lineRule="auto"/>
              <w:ind w:left="118"/>
              <w:rPr>
                <w:sz w:val="28"/>
                <w:szCs w:val="28"/>
                <w:highlight w:val="none"/>
              </w:rPr>
            </w:pPr>
            <w:r>
              <w:rPr>
                <w:spacing w:val="-18"/>
                <w:sz w:val="28"/>
                <w:szCs w:val="28"/>
                <w:highlight w:val="none"/>
              </w:rPr>
              <w:t>大写：</w:t>
            </w:r>
          </w:p>
          <w:p w14:paraId="5F696612">
            <w:pPr>
              <w:pStyle w:val="33"/>
              <w:spacing w:before="164" w:line="222" w:lineRule="auto"/>
              <w:ind w:left="122"/>
              <w:rPr>
                <w:sz w:val="28"/>
                <w:szCs w:val="28"/>
                <w:highlight w:val="none"/>
              </w:rPr>
            </w:pPr>
            <w:r>
              <w:rPr>
                <w:spacing w:val="-19"/>
                <w:sz w:val="28"/>
                <w:szCs w:val="28"/>
                <w:highlight w:val="none"/>
              </w:rPr>
              <w:t>小写：</w:t>
            </w:r>
          </w:p>
        </w:tc>
      </w:tr>
      <w:tr w14:paraId="3D4B2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2493" w:type="dxa"/>
          </w:tcPr>
          <w:p w14:paraId="1C641A18">
            <w:pPr>
              <w:pStyle w:val="33"/>
              <w:spacing w:before="246" w:line="221" w:lineRule="auto"/>
              <w:ind w:left="694"/>
              <w:rPr>
                <w:sz w:val="28"/>
                <w:szCs w:val="28"/>
                <w:highlight w:val="none"/>
                <w:lang w:eastAsia="zh-CN"/>
              </w:rPr>
            </w:pPr>
            <w:r>
              <w:rPr>
                <w:rFonts w:hint="eastAsia"/>
                <w:spacing w:val="-2"/>
                <w:sz w:val="28"/>
                <w:szCs w:val="28"/>
                <w:highlight w:val="none"/>
                <w:lang w:eastAsia="zh-CN"/>
              </w:rPr>
              <w:t>实施周期</w:t>
            </w:r>
          </w:p>
        </w:tc>
        <w:tc>
          <w:tcPr>
            <w:tcW w:w="6801" w:type="dxa"/>
            <w:gridSpan w:val="3"/>
          </w:tcPr>
          <w:p w14:paraId="32910B07">
            <w:pPr>
              <w:rPr>
                <w:highlight w:val="none"/>
              </w:rPr>
            </w:pPr>
          </w:p>
        </w:tc>
      </w:tr>
      <w:tr w14:paraId="0F9DA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2493" w:type="dxa"/>
          </w:tcPr>
          <w:p w14:paraId="45D5D931">
            <w:pPr>
              <w:pStyle w:val="33"/>
              <w:spacing w:before="220" w:line="220" w:lineRule="auto"/>
              <w:ind w:left="694"/>
              <w:rPr>
                <w:sz w:val="28"/>
                <w:szCs w:val="28"/>
                <w:highlight w:val="none"/>
              </w:rPr>
            </w:pPr>
            <w:r>
              <w:rPr>
                <w:spacing w:val="-2"/>
                <w:sz w:val="28"/>
                <w:szCs w:val="28"/>
                <w:highlight w:val="none"/>
              </w:rPr>
              <w:t>服务地点</w:t>
            </w:r>
          </w:p>
        </w:tc>
        <w:tc>
          <w:tcPr>
            <w:tcW w:w="6801" w:type="dxa"/>
            <w:gridSpan w:val="3"/>
          </w:tcPr>
          <w:p w14:paraId="58AA5F0A">
            <w:pPr>
              <w:rPr>
                <w:highlight w:val="none"/>
              </w:rPr>
            </w:pPr>
          </w:p>
        </w:tc>
      </w:tr>
      <w:tr w14:paraId="4358D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2493" w:type="dxa"/>
          </w:tcPr>
          <w:p w14:paraId="08D06DB9">
            <w:pPr>
              <w:pStyle w:val="33"/>
              <w:spacing w:before="251" w:line="221" w:lineRule="auto"/>
              <w:ind w:left="695"/>
              <w:rPr>
                <w:sz w:val="28"/>
                <w:szCs w:val="28"/>
                <w:highlight w:val="none"/>
                <w:lang w:eastAsia="zh-CN"/>
              </w:rPr>
            </w:pPr>
            <w:r>
              <w:rPr>
                <w:rFonts w:hint="eastAsia"/>
                <w:spacing w:val="-2"/>
                <w:sz w:val="28"/>
                <w:szCs w:val="28"/>
                <w:highlight w:val="none"/>
                <w:lang w:eastAsia="zh-CN"/>
              </w:rPr>
              <w:t>服务要求</w:t>
            </w:r>
          </w:p>
        </w:tc>
        <w:tc>
          <w:tcPr>
            <w:tcW w:w="6801" w:type="dxa"/>
            <w:gridSpan w:val="3"/>
          </w:tcPr>
          <w:p w14:paraId="750CB8D0">
            <w:pPr>
              <w:rPr>
                <w:highlight w:val="none"/>
              </w:rPr>
            </w:pPr>
          </w:p>
        </w:tc>
      </w:tr>
      <w:tr w14:paraId="1ECB6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2493" w:type="dxa"/>
          </w:tcPr>
          <w:p w14:paraId="6ED711DD">
            <w:pPr>
              <w:pStyle w:val="33"/>
              <w:spacing w:before="160" w:line="221" w:lineRule="auto"/>
              <w:ind w:left="558"/>
              <w:rPr>
                <w:sz w:val="28"/>
                <w:szCs w:val="28"/>
                <w:highlight w:val="none"/>
              </w:rPr>
            </w:pPr>
            <w:r>
              <w:rPr>
                <w:spacing w:val="-3"/>
                <w:sz w:val="28"/>
                <w:szCs w:val="28"/>
                <w:highlight w:val="none"/>
              </w:rPr>
              <w:t>投标有效期</w:t>
            </w:r>
          </w:p>
        </w:tc>
        <w:tc>
          <w:tcPr>
            <w:tcW w:w="6801" w:type="dxa"/>
            <w:gridSpan w:val="3"/>
          </w:tcPr>
          <w:p w14:paraId="74A16A0A">
            <w:pPr>
              <w:rPr>
                <w:highlight w:val="none"/>
              </w:rPr>
            </w:pPr>
          </w:p>
        </w:tc>
      </w:tr>
      <w:tr w14:paraId="7DC9C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2493" w:type="dxa"/>
          </w:tcPr>
          <w:p w14:paraId="0C59D2C5">
            <w:pPr>
              <w:pStyle w:val="33"/>
              <w:spacing w:before="262" w:line="220" w:lineRule="auto"/>
              <w:ind w:left="560"/>
              <w:rPr>
                <w:sz w:val="28"/>
                <w:szCs w:val="28"/>
                <w:highlight w:val="none"/>
              </w:rPr>
            </w:pPr>
            <w:r>
              <w:rPr>
                <w:spacing w:val="-3"/>
                <w:sz w:val="28"/>
                <w:szCs w:val="28"/>
                <w:highlight w:val="none"/>
              </w:rPr>
              <w:t>项目负责人</w:t>
            </w:r>
          </w:p>
        </w:tc>
        <w:tc>
          <w:tcPr>
            <w:tcW w:w="2634" w:type="dxa"/>
          </w:tcPr>
          <w:p w14:paraId="571E988C">
            <w:pPr>
              <w:rPr>
                <w:highlight w:val="none"/>
              </w:rPr>
            </w:pPr>
          </w:p>
        </w:tc>
        <w:tc>
          <w:tcPr>
            <w:tcW w:w="1499" w:type="dxa"/>
          </w:tcPr>
          <w:p w14:paraId="1363EB59">
            <w:pPr>
              <w:pStyle w:val="33"/>
              <w:spacing w:before="262" w:line="222" w:lineRule="auto"/>
              <w:ind w:left="199"/>
              <w:rPr>
                <w:sz w:val="28"/>
                <w:szCs w:val="28"/>
                <w:highlight w:val="none"/>
              </w:rPr>
            </w:pPr>
            <w:r>
              <w:rPr>
                <w:spacing w:val="-2"/>
                <w:sz w:val="28"/>
                <w:szCs w:val="28"/>
                <w:highlight w:val="none"/>
              </w:rPr>
              <w:t>联系电话</w:t>
            </w:r>
          </w:p>
        </w:tc>
        <w:tc>
          <w:tcPr>
            <w:tcW w:w="2668" w:type="dxa"/>
          </w:tcPr>
          <w:p w14:paraId="5B625786">
            <w:pPr>
              <w:rPr>
                <w:highlight w:val="none"/>
              </w:rPr>
            </w:pPr>
          </w:p>
        </w:tc>
      </w:tr>
      <w:tr w14:paraId="17A34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2493" w:type="dxa"/>
          </w:tcPr>
          <w:p w14:paraId="47E67018">
            <w:pPr>
              <w:pStyle w:val="33"/>
              <w:spacing w:before="299" w:line="221" w:lineRule="auto"/>
              <w:ind w:left="978"/>
              <w:rPr>
                <w:sz w:val="28"/>
                <w:szCs w:val="28"/>
                <w:highlight w:val="none"/>
              </w:rPr>
            </w:pPr>
            <w:r>
              <w:rPr>
                <w:spacing w:val="-4"/>
                <w:sz w:val="28"/>
                <w:szCs w:val="28"/>
                <w:highlight w:val="none"/>
              </w:rPr>
              <w:t>备注</w:t>
            </w:r>
          </w:p>
        </w:tc>
        <w:tc>
          <w:tcPr>
            <w:tcW w:w="6801" w:type="dxa"/>
            <w:gridSpan w:val="3"/>
          </w:tcPr>
          <w:p w14:paraId="41A467F1">
            <w:pPr>
              <w:rPr>
                <w:highlight w:val="none"/>
              </w:rPr>
            </w:pPr>
          </w:p>
        </w:tc>
      </w:tr>
    </w:tbl>
    <w:p w14:paraId="76221B93">
      <w:pPr>
        <w:spacing w:before="146" w:line="345" w:lineRule="auto"/>
        <w:ind w:left="508" w:right="495" w:hanging="2"/>
        <w:rPr>
          <w:rFonts w:ascii="宋体" w:hAnsi="宋体" w:eastAsia="宋体" w:cs="宋体"/>
          <w:sz w:val="24"/>
          <w:szCs w:val="24"/>
          <w:highlight w:val="none"/>
          <w:lang w:eastAsia="zh-CN"/>
        </w:rPr>
      </w:pPr>
      <w:r>
        <w:rPr>
          <w:rFonts w:ascii="宋体" w:hAnsi="宋体" w:eastAsia="宋体" w:cs="宋体"/>
          <w:spacing w:val="-3"/>
          <w:sz w:val="24"/>
          <w:szCs w:val="24"/>
          <w:highlight w:val="none"/>
          <w:lang w:eastAsia="zh-CN"/>
        </w:rPr>
        <w:t>注：投标报价仅且只有一个有效报价，不得出现两个及以上报价，否则作废标处</w:t>
      </w:r>
      <w:r>
        <w:rPr>
          <w:rFonts w:ascii="宋体" w:hAnsi="宋体" w:eastAsia="宋体" w:cs="宋体"/>
          <w:spacing w:val="-12"/>
          <w:sz w:val="24"/>
          <w:szCs w:val="24"/>
          <w:highlight w:val="none"/>
          <w:lang w:eastAsia="zh-CN"/>
        </w:rPr>
        <w:t>理。</w:t>
      </w:r>
    </w:p>
    <w:p w14:paraId="2B8008D5">
      <w:pPr>
        <w:pStyle w:val="4"/>
        <w:spacing w:line="269" w:lineRule="auto"/>
        <w:rPr>
          <w:highlight w:val="none"/>
          <w:lang w:eastAsia="zh-CN"/>
        </w:rPr>
      </w:pPr>
    </w:p>
    <w:p w14:paraId="3F4B5B6E">
      <w:pPr>
        <w:pStyle w:val="4"/>
        <w:spacing w:line="270" w:lineRule="auto"/>
        <w:rPr>
          <w:highlight w:val="none"/>
          <w:lang w:eastAsia="zh-CN"/>
        </w:rPr>
      </w:pPr>
    </w:p>
    <w:p w14:paraId="1BB70B58">
      <w:pPr>
        <w:spacing w:before="91" w:line="219" w:lineRule="auto"/>
        <w:ind w:left="3587"/>
        <w:rPr>
          <w:rFonts w:ascii="宋体" w:hAnsi="宋体" w:eastAsia="宋体" w:cs="宋体"/>
          <w:sz w:val="28"/>
          <w:szCs w:val="28"/>
          <w:highlight w:val="none"/>
          <w:lang w:eastAsia="zh-CN"/>
        </w:rPr>
      </w:pPr>
      <w:r>
        <w:rPr>
          <w:rFonts w:ascii="宋体" w:hAnsi="宋体" w:eastAsia="宋体" w:cs="宋体"/>
          <w:spacing w:val="-2"/>
          <w:sz w:val="28"/>
          <w:szCs w:val="28"/>
          <w:highlight w:val="none"/>
          <w:lang w:eastAsia="zh-CN"/>
        </w:rPr>
        <w:t>供应商</w:t>
      </w:r>
      <w:r>
        <w:rPr>
          <w:rFonts w:ascii="宋体" w:hAnsi="宋体" w:eastAsia="宋体" w:cs="宋体"/>
          <w:spacing w:val="-3"/>
          <w:sz w:val="28"/>
          <w:szCs w:val="28"/>
          <w:highlight w:val="none"/>
          <w:lang w:eastAsia="zh-CN"/>
        </w:rPr>
        <w:t>：（</w:t>
      </w:r>
      <w:r>
        <w:rPr>
          <w:rFonts w:ascii="宋体" w:hAnsi="宋体" w:eastAsia="宋体" w:cs="宋体"/>
          <w:spacing w:val="-2"/>
          <w:sz w:val="28"/>
          <w:szCs w:val="28"/>
          <w:highlight w:val="none"/>
          <w:lang w:eastAsia="zh-CN"/>
        </w:rPr>
        <w:t>单位电子签章）</w:t>
      </w:r>
    </w:p>
    <w:p w14:paraId="5BF5FF60">
      <w:pPr>
        <w:spacing w:before="291" w:line="219" w:lineRule="auto"/>
        <w:ind w:left="3588"/>
        <w:rPr>
          <w:rFonts w:ascii="宋体" w:hAnsi="宋体" w:eastAsia="宋体" w:cs="宋体"/>
          <w:sz w:val="28"/>
          <w:szCs w:val="28"/>
          <w:highlight w:val="none"/>
          <w:lang w:eastAsia="zh-CN"/>
        </w:rPr>
      </w:pPr>
      <w:r>
        <w:rPr>
          <w:rFonts w:ascii="宋体" w:hAnsi="宋体" w:eastAsia="宋体" w:cs="宋体"/>
          <w:sz w:val="28"/>
          <w:szCs w:val="28"/>
          <w:highlight w:val="none"/>
          <w:lang w:eastAsia="zh-CN"/>
        </w:rPr>
        <w:t>法定代表人</w:t>
      </w:r>
      <w:r>
        <w:rPr>
          <w:rFonts w:ascii="宋体" w:hAnsi="宋体" w:eastAsia="宋体" w:cs="宋体"/>
          <w:spacing w:val="-11"/>
          <w:sz w:val="28"/>
          <w:szCs w:val="28"/>
          <w:highlight w:val="none"/>
          <w:lang w:eastAsia="zh-CN"/>
        </w:rPr>
        <w:t>：（</w:t>
      </w:r>
      <w:r>
        <w:rPr>
          <w:rFonts w:ascii="宋体" w:hAnsi="宋体" w:eastAsia="宋体" w:cs="宋体"/>
          <w:sz w:val="28"/>
          <w:szCs w:val="28"/>
          <w:highlight w:val="none"/>
          <w:lang w:eastAsia="zh-CN"/>
        </w:rPr>
        <w:t>法人电子签章）</w:t>
      </w:r>
    </w:p>
    <w:p w14:paraId="19C37F14">
      <w:pPr>
        <w:spacing w:before="292" w:line="220" w:lineRule="auto"/>
        <w:ind w:left="3635"/>
        <w:rPr>
          <w:rFonts w:ascii="宋体" w:hAnsi="宋体" w:eastAsia="宋体" w:cs="宋体"/>
          <w:b/>
          <w:bCs/>
          <w:spacing w:val="6"/>
          <w:sz w:val="31"/>
          <w:szCs w:val="31"/>
          <w:highlight w:val="none"/>
          <w:lang w:eastAsia="zh-CN"/>
        </w:rPr>
      </w:pPr>
      <w:r>
        <w:rPr>
          <w:rFonts w:ascii="宋体" w:hAnsi="宋体" w:eastAsia="宋体" w:cs="宋体"/>
          <w:spacing w:val="-15"/>
          <w:sz w:val="28"/>
          <w:szCs w:val="28"/>
          <w:highlight w:val="none"/>
          <w:lang w:eastAsia="zh-CN"/>
        </w:rPr>
        <w:t>日期：</w:t>
      </w:r>
      <w:r>
        <w:rPr>
          <w:rFonts w:ascii="宋体" w:hAnsi="宋体" w:eastAsia="宋体" w:cs="宋体"/>
          <w:spacing w:val="7"/>
          <w:sz w:val="28"/>
          <w:szCs w:val="28"/>
          <w:highlight w:val="none"/>
          <w:lang w:eastAsia="zh-CN"/>
        </w:rPr>
        <w:t xml:space="preserve">  </w:t>
      </w:r>
      <w:r>
        <w:rPr>
          <w:rFonts w:ascii="宋体" w:hAnsi="宋体" w:eastAsia="宋体" w:cs="宋体"/>
          <w:spacing w:val="-15"/>
          <w:sz w:val="28"/>
          <w:szCs w:val="28"/>
          <w:highlight w:val="none"/>
          <w:lang w:eastAsia="zh-CN"/>
        </w:rPr>
        <w:t>年</w:t>
      </w:r>
      <w:r>
        <w:rPr>
          <w:rFonts w:ascii="宋体" w:hAnsi="宋体" w:eastAsia="宋体" w:cs="宋体"/>
          <w:spacing w:val="9"/>
          <w:sz w:val="28"/>
          <w:szCs w:val="28"/>
          <w:highlight w:val="none"/>
          <w:lang w:eastAsia="zh-CN"/>
        </w:rPr>
        <w:t xml:space="preserve">  </w:t>
      </w:r>
      <w:r>
        <w:rPr>
          <w:rFonts w:ascii="宋体" w:hAnsi="宋体" w:eastAsia="宋体" w:cs="宋体"/>
          <w:spacing w:val="-15"/>
          <w:sz w:val="28"/>
          <w:szCs w:val="28"/>
          <w:highlight w:val="none"/>
          <w:lang w:eastAsia="zh-CN"/>
        </w:rPr>
        <w:t>月</w:t>
      </w:r>
      <w:r>
        <w:rPr>
          <w:rFonts w:ascii="宋体" w:hAnsi="宋体" w:eastAsia="宋体" w:cs="宋体"/>
          <w:spacing w:val="28"/>
          <w:sz w:val="28"/>
          <w:szCs w:val="28"/>
          <w:highlight w:val="none"/>
          <w:lang w:eastAsia="zh-CN"/>
        </w:rPr>
        <w:t xml:space="preserve">  </w:t>
      </w:r>
      <w:r>
        <w:rPr>
          <w:rFonts w:ascii="宋体" w:hAnsi="宋体" w:eastAsia="宋体" w:cs="宋体"/>
          <w:spacing w:val="-15"/>
          <w:sz w:val="28"/>
          <w:szCs w:val="28"/>
          <w:highlight w:val="none"/>
          <w:lang w:eastAsia="zh-CN"/>
        </w:rPr>
        <w:t>日</w:t>
      </w:r>
    </w:p>
    <w:p w14:paraId="78D18870">
      <w:pPr>
        <w:spacing w:before="100" w:line="224" w:lineRule="auto"/>
        <w:jc w:val="center"/>
        <w:rPr>
          <w:rFonts w:ascii="宋体" w:hAnsi="宋体" w:eastAsia="宋体" w:cs="宋体"/>
          <w:b/>
          <w:bCs/>
          <w:spacing w:val="6"/>
          <w:sz w:val="31"/>
          <w:szCs w:val="31"/>
          <w:highlight w:val="none"/>
          <w:lang w:eastAsia="zh-CN"/>
        </w:rPr>
      </w:pPr>
    </w:p>
    <w:p w14:paraId="3903B344">
      <w:pPr>
        <w:spacing w:before="100" w:line="224" w:lineRule="auto"/>
        <w:jc w:val="center"/>
        <w:rPr>
          <w:rFonts w:ascii="宋体" w:hAnsi="宋体" w:eastAsia="宋体" w:cs="宋体"/>
          <w:b/>
          <w:bCs/>
          <w:spacing w:val="6"/>
          <w:sz w:val="31"/>
          <w:szCs w:val="31"/>
          <w:highlight w:val="none"/>
          <w:lang w:eastAsia="zh-CN"/>
        </w:rPr>
      </w:pPr>
    </w:p>
    <w:p w14:paraId="0129A0C9">
      <w:pPr>
        <w:kinsoku/>
        <w:autoSpaceDE/>
        <w:autoSpaceDN/>
        <w:adjustRightInd/>
        <w:snapToGrid/>
        <w:textAlignment w:val="auto"/>
        <w:rPr>
          <w:rFonts w:ascii="宋体" w:hAnsi="宋体" w:eastAsia="宋体" w:cs="宋体"/>
          <w:b/>
          <w:bCs/>
          <w:spacing w:val="6"/>
          <w:sz w:val="31"/>
          <w:szCs w:val="31"/>
          <w:highlight w:val="none"/>
          <w:lang w:eastAsia="zh-CN"/>
        </w:rPr>
      </w:pPr>
      <w:r>
        <w:rPr>
          <w:rFonts w:ascii="宋体" w:hAnsi="宋体" w:eastAsia="宋体" w:cs="宋体"/>
          <w:b/>
          <w:bCs/>
          <w:spacing w:val="6"/>
          <w:sz w:val="31"/>
          <w:szCs w:val="31"/>
          <w:highlight w:val="none"/>
          <w:lang w:eastAsia="zh-CN"/>
        </w:rPr>
        <w:br w:type="page"/>
      </w:r>
    </w:p>
    <w:p w14:paraId="2F4973D3">
      <w:pPr>
        <w:spacing w:before="100" w:line="480" w:lineRule="auto"/>
        <w:jc w:val="center"/>
        <w:rPr>
          <w:rFonts w:ascii="宋体" w:hAnsi="宋体" w:eastAsia="宋体" w:cs="宋体"/>
          <w:b/>
          <w:bCs/>
          <w:spacing w:val="6"/>
          <w:sz w:val="31"/>
          <w:szCs w:val="31"/>
          <w:highlight w:val="none"/>
          <w:lang w:eastAsia="zh-CN"/>
        </w:rPr>
      </w:pPr>
      <w:r>
        <w:rPr>
          <w:rFonts w:hint="eastAsia" w:ascii="宋体" w:hAnsi="宋体" w:eastAsia="宋体" w:cs="宋体"/>
          <w:b/>
          <w:bCs/>
          <w:spacing w:val="6"/>
          <w:sz w:val="31"/>
          <w:szCs w:val="31"/>
          <w:highlight w:val="none"/>
          <w:lang w:eastAsia="zh-CN"/>
        </w:rPr>
        <w:t>（二）报价一览表</w:t>
      </w:r>
    </w:p>
    <w:tbl>
      <w:tblPr>
        <w:tblStyle w:val="18"/>
        <w:tblW w:w="49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3"/>
        <w:gridCol w:w="1395"/>
        <w:gridCol w:w="1396"/>
        <w:gridCol w:w="1396"/>
        <w:gridCol w:w="1394"/>
        <w:gridCol w:w="1394"/>
        <w:gridCol w:w="1390"/>
      </w:tblGrid>
      <w:tr w14:paraId="22BD8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14" w:type="pct"/>
            <w:vAlign w:val="center"/>
          </w:tcPr>
          <w:p w14:paraId="3F6D84AA">
            <w:pPr>
              <w:jc w:val="center"/>
              <w:rPr>
                <w:rFonts w:ascii="宋体" w:hAnsi="宋体" w:eastAsia="宋体"/>
                <w:highlight w:val="none"/>
              </w:rPr>
            </w:pPr>
            <w:r>
              <w:rPr>
                <w:rFonts w:hint="eastAsia" w:ascii="宋体" w:hAnsi="宋体" w:eastAsia="宋体" w:cs="宋体"/>
                <w:highlight w:val="none"/>
              </w:rPr>
              <w:t>序号</w:t>
            </w:r>
          </w:p>
        </w:tc>
        <w:tc>
          <w:tcPr>
            <w:tcW w:w="715" w:type="pct"/>
            <w:vAlign w:val="center"/>
          </w:tcPr>
          <w:p w14:paraId="164E6FBE">
            <w:pPr>
              <w:jc w:val="center"/>
              <w:rPr>
                <w:rFonts w:ascii="宋体" w:hAnsi="宋体" w:eastAsia="宋体"/>
                <w:highlight w:val="none"/>
              </w:rPr>
            </w:pPr>
            <w:r>
              <w:rPr>
                <w:rFonts w:hint="eastAsia" w:ascii="宋体" w:hAnsi="宋体" w:eastAsia="宋体"/>
                <w:highlight w:val="none"/>
              </w:rPr>
              <w:t>项目名称</w:t>
            </w:r>
          </w:p>
        </w:tc>
        <w:tc>
          <w:tcPr>
            <w:tcW w:w="715" w:type="pct"/>
            <w:vAlign w:val="center"/>
          </w:tcPr>
          <w:p w14:paraId="60C5C646">
            <w:pPr>
              <w:jc w:val="center"/>
              <w:rPr>
                <w:rFonts w:ascii="宋体" w:hAnsi="宋体" w:eastAsia="宋体"/>
                <w:highlight w:val="none"/>
              </w:rPr>
            </w:pPr>
            <w:r>
              <w:rPr>
                <w:rFonts w:hint="eastAsia" w:ascii="宋体" w:hAnsi="宋体" w:eastAsia="宋体"/>
                <w:highlight w:val="none"/>
              </w:rPr>
              <w:t>计量单位</w:t>
            </w:r>
          </w:p>
        </w:tc>
        <w:tc>
          <w:tcPr>
            <w:tcW w:w="715" w:type="pct"/>
            <w:vAlign w:val="center"/>
          </w:tcPr>
          <w:p w14:paraId="10DE94C3">
            <w:pPr>
              <w:jc w:val="center"/>
              <w:rPr>
                <w:rFonts w:ascii="宋体" w:hAnsi="宋体" w:eastAsia="宋体"/>
                <w:highlight w:val="none"/>
              </w:rPr>
            </w:pPr>
            <w:r>
              <w:rPr>
                <w:rFonts w:hint="eastAsia" w:ascii="宋体" w:hAnsi="宋体" w:eastAsia="宋体"/>
                <w:highlight w:val="none"/>
              </w:rPr>
              <w:t>数量</w:t>
            </w:r>
          </w:p>
        </w:tc>
        <w:tc>
          <w:tcPr>
            <w:tcW w:w="714" w:type="pct"/>
            <w:vAlign w:val="center"/>
          </w:tcPr>
          <w:p w14:paraId="5470B6B5">
            <w:pPr>
              <w:jc w:val="center"/>
              <w:rPr>
                <w:rFonts w:ascii="宋体" w:hAnsi="宋体" w:eastAsia="宋体"/>
                <w:highlight w:val="none"/>
              </w:rPr>
            </w:pPr>
            <w:r>
              <w:rPr>
                <w:rFonts w:hint="eastAsia" w:ascii="宋体" w:hAnsi="宋体" w:eastAsia="宋体"/>
                <w:highlight w:val="none"/>
              </w:rPr>
              <w:t>单价（元）</w:t>
            </w:r>
          </w:p>
        </w:tc>
        <w:tc>
          <w:tcPr>
            <w:tcW w:w="714" w:type="pct"/>
            <w:vAlign w:val="center"/>
          </w:tcPr>
          <w:p w14:paraId="1B774F8A">
            <w:pPr>
              <w:jc w:val="center"/>
              <w:rPr>
                <w:rFonts w:ascii="宋体" w:hAnsi="宋体" w:eastAsia="宋体"/>
                <w:highlight w:val="none"/>
              </w:rPr>
            </w:pPr>
            <w:r>
              <w:rPr>
                <w:rFonts w:hint="eastAsia" w:ascii="宋体" w:hAnsi="宋体" w:eastAsia="宋体"/>
                <w:highlight w:val="none"/>
              </w:rPr>
              <w:t>合计（元）</w:t>
            </w:r>
          </w:p>
        </w:tc>
        <w:tc>
          <w:tcPr>
            <w:tcW w:w="712" w:type="pct"/>
            <w:vAlign w:val="center"/>
          </w:tcPr>
          <w:p w14:paraId="6DB9776D">
            <w:pPr>
              <w:jc w:val="center"/>
              <w:rPr>
                <w:rFonts w:ascii="宋体" w:hAnsi="宋体" w:eastAsia="宋体"/>
                <w:highlight w:val="none"/>
              </w:rPr>
            </w:pPr>
            <w:r>
              <w:rPr>
                <w:rFonts w:hint="eastAsia" w:ascii="宋体" w:hAnsi="宋体" w:eastAsia="宋体"/>
                <w:highlight w:val="none"/>
              </w:rPr>
              <w:t>备注</w:t>
            </w:r>
          </w:p>
        </w:tc>
      </w:tr>
      <w:tr w14:paraId="570AD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14" w:type="pct"/>
            <w:vAlign w:val="center"/>
          </w:tcPr>
          <w:p w14:paraId="5EC38A0F">
            <w:pPr>
              <w:jc w:val="center"/>
              <w:rPr>
                <w:rFonts w:ascii="宋体" w:hAnsi="宋体" w:eastAsia="宋体"/>
                <w:highlight w:val="none"/>
                <w:lang w:eastAsia="zh-CN"/>
              </w:rPr>
            </w:pPr>
            <w:r>
              <w:rPr>
                <w:rFonts w:hint="eastAsia" w:ascii="宋体" w:hAnsi="宋体" w:eastAsia="宋体"/>
                <w:highlight w:val="none"/>
                <w:lang w:eastAsia="zh-CN"/>
              </w:rPr>
              <w:t>1</w:t>
            </w:r>
          </w:p>
        </w:tc>
        <w:tc>
          <w:tcPr>
            <w:tcW w:w="715" w:type="pct"/>
            <w:vAlign w:val="center"/>
          </w:tcPr>
          <w:p w14:paraId="12904331">
            <w:pPr>
              <w:jc w:val="center"/>
              <w:rPr>
                <w:rFonts w:ascii="宋体" w:hAnsi="宋体" w:eastAsia="宋体"/>
                <w:highlight w:val="none"/>
              </w:rPr>
            </w:pPr>
          </w:p>
        </w:tc>
        <w:tc>
          <w:tcPr>
            <w:tcW w:w="715" w:type="pct"/>
            <w:vAlign w:val="center"/>
          </w:tcPr>
          <w:p w14:paraId="4DA9BCC3">
            <w:pPr>
              <w:jc w:val="center"/>
              <w:rPr>
                <w:rFonts w:ascii="宋体" w:hAnsi="宋体" w:eastAsia="宋体"/>
                <w:highlight w:val="none"/>
              </w:rPr>
            </w:pPr>
          </w:p>
        </w:tc>
        <w:tc>
          <w:tcPr>
            <w:tcW w:w="715" w:type="pct"/>
            <w:vAlign w:val="center"/>
          </w:tcPr>
          <w:p w14:paraId="6081EF24">
            <w:pPr>
              <w:jc w:val="center"/>
              <w:rPr>
                <w:rFonts w:ascii="宋体" w:hAnsi="宋体" w:eastAsia="宋体"/>
                <w:highlight w:val="none"/>
              </w:rPr>
            </w:pPr>
          </w:p>
        </w:tc>
        <w:tc>
          <w:tcPr>
            <w:tcW w:w="714" w:type="pct"/>
            <w:vAlign w:val="center"/>
          </w:tcPr>
          <w:p w14:paraId="47ECAAC0">
            <w:pPr>
              <w:jc w:val="center"/>
              <w:rPr>
                <w:rFonts w:ascii="宋体" w:hAnsi="宋体" w:eastAsia="宋体"/>
                <w:highlight w:val="none"/>
              </w:rPr>
            </w:pPr>
          </w:p>
        </w:tc>
        <w:tc>
          <w:tcPr>
            <w:tcW w:w="714" w:type="pct"/>
            <w:vAlign w:val="center"/>
          </w:tcPr>
          <w:p w14:paraId="2D86968C">
            <w:pPr>
              <w:jc w:val="center"/>
              <w:rPr>
                <w:rFonts w:ascii="宋体" w:hAnsi="宋体" w:eastAsia="宋体"/>
                <w:highlight w:val="none"/>
              </w:rPr>
            </w:pPr>
          </w:p>
        </w:tc>
        <w:tc>
          <w:tcPr>
            <w:tcW w:w="712" w:type="pct"/>
            <w:vAlign w:val="center"/>
          </w:tcPr>
          <w:p w14:paraId="6E7674BE">
            <w:pPr>
              <w:jc w:val="center"/>
              <w:rPr>
                <w:rFonts w:ascii="宋体" w:hAnsi="宋体" w:eastAsia="宋体"/>
                <w:highlight w:val="none"/>
              </w:rPr>
            </w:pPr>
          </w:p>
        </w:tc>
      </w:tr>
      <w:tr w14:paraId="62C16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14" w:type="pct"/>
            <w:vAlign w:val="center"/>
          </w:tcPr>
          <w:p w14:paraId="677034CE">
            <w:pPr>
              <w:jc w:val="center"/>
              <w:rPr>
                <w:rFonts w:ascii="宋体" w:hAnsi="宋体" w:eastAsia="宋体"/>
                <w:highlight w:val="none"/>
                <w:lang w:eastAsia="zh-CN"/>
              </w:rPr>
            </w:pPr>
            <w:r>
              <w:rPr>
                <w:rFonts w:hint="eastAsia" w:ascii="宋体" w:hAnsi="宋体" w:eastAsia="宋体"/>
                <w:highlight w:val="none"/>
                <w:lang w:eastAsia="zh-CN"/>
              </w:rPr>
              <w:t>2</w:t>
            </w:r>
          </w:p>
        </w:tc>
        <w:tc>
          <w:tcPr>
            <w:tcW w:w="715" w:type="pct"/>
            <w:vAlign w:val="center"/>
          </w:tcPr>
          <w:p w14:paraId="6779AE87">
            <w:pPr>
              <w:jc w:val="center"/>
              <w:rPr>
                <w:rFonts w:ascii="宋体" w:hAnsi="宋体" w:eastAsia="宋体"/>
                <w:highlight w:val="none"/>
              </w:rPr>
            </w:pPr>
          </w:p>
        </w:tc>
        <w:tc>
          <w:tcPr>
            <w:tcW w:w="715" w:type="pct"/>
            <w:vAlign w:val="center"/>
          </w:tcPr>
          <w:p w14:paraId="07B96256">
            <w:pPr>
              <w:jc w:val="center"/>
              <w:rPr>
                <w:rFonts w:ascii="宋体" w:hAnsi="宋体" w:eastAsia="宋体"/>
                <w:highlight w:val="none"/>
              </w:rPr>
            </w:pPr>
          </w:p>
        </w:tc>
        <w:tc>
          <w:tcPr>
            <w:tcW w:w="715" w:type="pct"/>
            <w:vAlign w:val="center"/>
          </w:tcPr>
          <w:p w14:paraId="7F1FB553">
            <w:pPr>
              <w:jc w:val="center"/>
              <w:rPr>
                <w:rFonts w:ascii="宋体" w:hAnsi="宋体" w:eastAsia="宋体"/>
                <w:highlight w:val="none"/>
              </w:rPr>
            </w:pPr>
          </w:p>
        </w:tc>
        <w:tc>
          <w:tcPr>
            <w:tcW w:w="714" w:type="pct"/>
            <w:vAlign w:val="center"/>
          </w:tcPr>
          <w:p w14:paraId="6E468CEA">
            <w:pPr>
              <w:jc w:val="center"/>
              <w:rPr>
                <w:rFonts w:ascii="宋体" w:hAnsi="宋体" w:eastAsia="宋体"/>
                <w:highlight w:val="none"/>
              </w:rPr>
            </w:pPr>
          </w:p>
        </w:tc>
        <w:tc>
          <w:tcPr>
            <w:tcW w:w="714" w:type="pct"/>
            <w:vAlign w:val="center"/>
          </w:tcPr>
          <w:p w14:paraId="366D49EF">
            <w:pPr>
              <w:jc w:val="center"/>
              <w:rPr>
                <w:rFonts w:ascii="宋体" w:hAnsi="宋体" w:eastAsia="宋体"/>
                <w:highlight w:val="none"/>
              </w:rPr>
            </w:pPr>
          </w:p>
        </w:tc>
        <w:tc>
          <w:tcPr>
            <w:tcW w:w="712" w:type="pct"/>
            <w:vAlign w:val="center"/>
          </w:tcPr>
          <w:p w14:paraId="3DDE9EDD">
            <w:pPr>
              <w:jc w:val="center"/>
              <w:rPr>
                <w:rFonts w:ascii="宋体" w:hAnsi="宋体" w:eastAsia="宋体"/>
                <w:highlight w:val="none"/>
              </w:rPr>
            </w:pPr>
          </w:p>
        </w:tc>
      </w:tr>
      <w:tr w14:paraId="5FD66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14" w:type="pct"/>
            <w:vAlign w:val="center"/>
          </w:tcPr>
          <w:p w14:paraId="69A08161">
            <w:pPr>
              <w:jc w:val="center"/>
              <w:rPr>
                <w:rFonts w:ascii="宋体" w:hAnsi="宋体" w:eastAsia="宋体"/>
                <w:highlight w:val="none"/>
                <w:lang w:eastAsia="zh-CN"/>
              </w:rPr>
            </w:pPr>
            <w:r>
              <w:rPr>
                <w:rFonts w:hint="eastAsia" w:ascii="宋体" w:hAnsi="宋体" w:eastAsia="宋体"/>
                <w:highlight w:val="none"/>
                <w:lang w:eastAsia="zh-CN"/>
              </w:rPr>
              <w:t>3</w:t>
            </w:r>
          </w:p>
        </w:tc>
        <w:tc>
          <w:tcPr>
            <w:tcW w:w="715" w:type="pct"/>
            <w:vAlign w:val="center"/>
          </w:tcPr>
          <w:p w14:paraId="6C7FCAC2">
            <w:pPr>
              <w:jc w:val="center"/>
              <w:rPr>
                <w:rFonts w:ascii="宋体" w:hAnsi="宋体" w:eastAsia="宋体"/>
                <w:highlight w:val="none"/>
              </w:rPr>
            </w:pPr>
          </w:p>
        </w:tc>
        <w:tc>
          <w:tcPr>
            <w:tcW w:w="715" w:type="pct"/>
            <w:vAlign w:val="center"/>
          </w:tcPr>
          <w:p w14:paraId="0E05DD23">
            <w:pPr>
              <w:jc w:val="center"/>
              <w:rPr>
                <w:rFonts w:ascii="宋体" w:hAnsi="宋体" w:eastAsia="宋体"/>
                <w:highlight w:val="none"/>
              </w:rPr>
            </w:pPr>
          </w:p>
        </w:tc>
        <w:tc>
          <w:tcPr>
            <w:tcW w:w="715" w:type="pct"/>
            <w:vAlign w:val="center"/>
          </w:tcPr>
          <w:p w14:paraId="75F08C93">
            <w:pPr>
              <w:jc w:val="center"/>
              <w:rPr>
                <w:rFonts w:ascii="宋体" w:hAnsi="宋体" w:eastAsia="宋体"/>
                <w:highlight w:val="none"/>
              </w:rPr>
            </w:pPr>
          </w:p>
        </w:tc>
        <w:tc>
          <w:tcPr>
            <w:tcW w:w="714" w:type="pct"/>
            <w:vAlign w:val="center"/>
          </w:tcPr>
          <w:p w14:paraId="42799FD9">
            <w:pPr>
              <w:jc w:val="center"/>
              <w:rPr>
                <w:rFonts w:ascii="宋体" w:hAnsi="宋体" w:eastAsia="宋体"/>
                <w:highlight w:val="none"/>
              </w:rPr>
            </w:pPr>
          </w:p>
        </w:tc>
        <w:tc>
          <w:tcPr>
            <w:tcW w:w="714" w:type="pct"/>
            <w:vAlign w:val="center"/>
          </w:tcPr>
          <w:p w14:paraId="7BDDFFBC">
            <w:pPr>
              <w:jc w:val="center"/>
              <w:rPr>
                <w:rFonts w:ascii="宋体" w:hAnsi="宋体" w:eastAsia="宋体"/>
                <w:highlight w:val="none"/>
              </w:rPr>
            </w:pPr>
          </w:p>
        </w:tc>
        <w:tc>
          <w:tcPr>
            <w:tcW w:w="712" w:type="pct"/>
            <w:vAlign w:val="center"/>
          </w:tcPr>
          <w:p w14:paraId="28D0976B">
            <w:pPr>
              <w:jc w:val="center"/>
              <w:rPr>
                <w:rFonts w:ascii="宋体" w:hAnsi="宋体" w:eastAsia="宋体"/>
                <w:highlight w:val="none"/>
              </w:rPr>
            </w:pPr>
          </w:p>
        </w:tc>
      </w:tr>
      <w:tr w14:paraId="1CD95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14" w:type="pct"/>
            <w:vAlign w:val="center"/>
          </w:tcPr>
          <w:p w14:paraId="5112B729">
            <w:pPr>
              <w:jc w:val="center"/>
              <w:rPr>
                <w:rFonts w:ascii="宋体" w:hAnsi="宋体" w:eastAsia="宋体"/>
                <w:highlight w:val="none"/>
                <w:lang w:eastAsia="zh-CN"/>
              </w:rPr>
            </w:pPr>
            <w:r>
              <w:rPr>
                <w:rFonts w:ascii="宋体" w:hAnsi="宋体" w:eastAsia="宋体"/>
                <w:highlight w:val="none"/>
                <w:lang w:eastAsia="zh-CN"/>
              </w:rPr>
              <w:t>…</w:t>
            </w:r>
          </w:p>
        </w:tc>
        <w:tc>
          <w:tcPr>
            <w:tcW w:w="715" w:type="pct"/>
            <w:vAlign w:val="center"/>
          </w:tcPr>
          <w:p w14:paraId="3FB485C5">
            <w:pPr>
              <w:jc w:val="center"/>
              <w:rPr>
                <w:rFonts w:ascii="宋体" w:hAnsi="宋体" w:eastAsia="宋体"/>
                <w:highlight w:val="none"/>
              </w:rPr>
            </w:pPr>
          </w:p>
        </w:tc>
        <w:tc>
          <w:tcPr>
            <w:tcW w:w="715" w:type="pct"/>
            <w:vAlign w:val="center"/>
          </w:tcPr>
          <w:p w14:paraId="5C6685A9">
            <w:pPr>
              <w:jc w:val="center"/>
              <w:rPr>
                <w:rFonts w:ascii="宋体" w:hAnsi="宋体" w:eastAsia="宋体"/>
                <w:highlight w:val="none"/>
              </w:rPr>
            </w:pPr>
          </w:p>
        </w:tc>
        <w:tc>
          <w:tcPr>
            <w:tcW w:w="715" w:type="pct"/>
            <w:vAlign w:val="center"/>
          </w:tcPr>
          <w:p w14:paraId="1DA7391D">
            <w:pPr>
              <w:jc w:val="center"/>
              <w:rPr>
                <w:rFonts w:ascii="宋体" w:hAnsi="宋体" w:eastAsia="宋体"/>
                <w:highlight w:val="none"/>
              </w:rPr>
            </w:pPr>
          </w:p>
        </w:tc>
        <w:tc>
          <w:tcPr>
            <w:tcW w:w="714" w:type="pct"/>
            <w:vAlign w:val="center"/>
          </w:tcPr>
          <w:p w14:paraId="1C4EE509">
            <w:pPr>
              <w:jc w:val="center"/>
              <w:rPr>
                <w:rFonts w:ascii="宋体" w:hAnsi="宋体" w:eastAsia="宋体"/>
                <w:highlight w:val="none"/>
              </w:rPr>
            </w:pPr>
          </w:p>
        </w:tc>
        <w:tc>
          <w:tcPr>
            <w:tcW w:w="714" w:type="pct"/>
            <w:vAlign w:val="center"/>
          </w:tcPr>
          <w:p w14:paraId="1A888183">
            <w:pPr>
              <w:jc w:val="center"/>
              <w:rPr>
                <w:rFonts w:ascii="宋体" w:hAnsi="宋体" w:eastAsia="宋体"/>
                <w:highlight w:val="none"/>
              </w:rPr>
            </w:pPr>
          </w:p>
        </w:tc>
        <w:tc>
          <w:tcPr>
            <w:tcW w:w="712" w:type="pct"/>
            <w:vAlign w:val="center"/>
          </w:tcPr>
          <w:p w14:paraId="2A632ED0">
            <w:pPr>
              <w:jc w:val="center"/>
              <w:rPr>
                <w:rFonts w:ascii="宋体" w:hAnsi="宋体" w:eastAsia="宋体"/>
                <w:highlight w:val="none"/>
              </w:rPr>
            </w:pPr>
          </w:p>
        </w:tc>
      </w:tr>
      <w:tr w14:paraId="06307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14" w:type="pct"/>
            <w:vAlign w:val="center"/>
          </w:tcPr>
          <w:p w14:paraId="2F8E1F3A">
            <w:pPr>
              <w:jc w:val="center"/>
              <w:rPr>
                <w:rFonts w:ascii="宋体" w:hAnsi="宋体" w:eastAsia="宋体"/>
                <w:highlight w:val="none"/>
              </w:rPr>
            </w:pPr>
          </w:p>
        </w:tc>
        <w:tc>
          <w:tcPr>
            <w:tcW w:w="715" w:type="pct"/>
            <w:vAlign w:val="center"/>
          </w:tcPr>
          <w:p w14:paraId="6FCC8C3C">
            <w:pPr>
              <w:jc w:val="center"/>
              <w:rPr>
                <w:rFonts w:ascii="宋体" w:hAnsi="宋体" w:eastAsia="宋体"/>
                <w:highlight w:val="none"/>
              </w:rPr>
            </w:pPr>
          </w:p>
        </w:tc>
        <w:tc>
          <w:tcPr>
            <w:tcW w:w="715" w:type="pct"/>
            <w:vAlign w:val="center"/>
          </w:tcPr>
          <w:p w14:paraId="4EFC2757">
            <w:pPr>
              <w:jc w:val="center"/>
              <w:rPr>
                <w:rFonts w:ascii="宋体" w:hAnsi="宋体" w:eastAsia="宋体"/>
                <w:highlight w:val="none"/>
              </w:rPr>
            </w:pPr>
          </w:p>
        </w:tc>
        <w:tc>
          <w:tcPr>
            <w:tcW w:w="715" w:type="pct"/>
            <w:vAlign w:val="center"/>
          </w:tcPr>
          <w:p w14:paraId="496C72EA">
            <w:pPr>
              <w:jc w:val="center"/>
              <w:rPr>
                <w:rFonts w:ascii="宋体" w:hAnsi="宋体" w:eastAsia="宋体"/>
                <w:highlight w:val="none"/>
              </w:rPr>
            </w:pPr>
          </w:p>
        </w:tc>
        <w:tc>
          <w:tcPr>
            <w:tcW w:w="714" w:type="pct"/>
            <w:vAlign w:val="center"/>
          </w:tcPr>
          <w:p w14:paraId="34F60A1E">
            <w:pPr>
              <w:jc w:val="center"/>
              <w:rPr>
                <w:rFonts w:ascii="宋体" w:hAnsi="宋体" w:eastAsia="宋体"/>
                <w:highlight w:val="none"/>
              </w:rPr>
            </w:pPr>
          </w:p>
        </w:tc>
        <w:tc>
          <w:tcPr>
            <w:tcW w:w="714" w:type="pct"/>
            <w:vAlign w:val="center"/>
          </w:tcPr>
          <w:p w14:paraId="22AA031D">
            <w:pPr>
              <w:jc w:val="center"/>
              <w:rPr>
                <w:rFonts w:ascii="宋体" w:hAnsi="宋体" w:eastAsia="宋体"/>
                <w:highlight w:val="none"/>
              </w:rPr>
            </w:pPr>
          </w:p>
        </w:tc>
        <w:tc>
          <w:tcPr>
            <w:tcW w:w="712" w:type="pct"/>
            <w:vAlign w:val="center"/>
          </w:tcPr>
          <w:p w14:paraId="32A9B3EE">
            <w:pPr>
              <w:jc w:val="center"/>
              <w:rPr>
                <w:rFonts w:ascii="宋体" w:hAnsi="宋体" w:eastAsia="宋体"/>
                <w:highlight w:val="none"/>
              </w:rPr>
            </w:pPr>
          </w:p>
        </w:tc>
      </w:tr>
      <w:tr w14:paraId="14CB6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14" w:type="pct"/>
            <w:vAlign w:val="center"/>
          </w:tcPr>
          <w:p w14:paraId="5B194AD7">
            <w:pPr>
              <w:jc w:val="center"/>
              <w:rPr>
                <w:rFonts w:ascii="宋体" w:hAnsi="宋体" w:eastAsia="宋体"/>
                <w:highlight w:val="none"/>
              </w:rPr>
            </w:pPr>
          </w:p>
        </w:tc>
        <w:tc>
          <w:tcPr>
            <w:tcW w:w="715" w:type="pct"/>
            <w:vAlign w:val="center"/>
          </w:tcPr>
          <w:p w14:paraId="40DB6DB8">
            <w:pPr>
              <w:jc w:val="center"/>
              <w:rPr>
                <w:rFonts w:ascii="宋体" w:hAnsi="宋体" w:eastAsia="宋体"/>
                <w:highlight w:val="none"/>
              </w:rPr>
            </w:pPr>
          </w:p>
        </w:tc>
        <w:tc>
          <w:tcPr>
            <w:tcW w:w="715" w:type="pct"/>
            <w:vAlign w:val="center"/>
          </w:tcPr>
          <w:p w14:paraId="0AC30A3B">
            <w:pPr>
              <w:jc w:val="center"/>
              <w:rPr>
                <w:rFonts w:ascii="宋体" w:hAnsi="宋体" w:eastAsia="宋体"/>
                <w:highlight w:val="none"/>
              </w:rPr>
            </w:pPr>
          </w:p>
        </w:tc>
        <w:tc>
          <w:tcPr>
            <w:tcW w:w="715" w:type="pct"/>
            <w:vAlign w:val="center"/>
          </w:tcPr>
          <w:p w14:paraId="4E711689">
            <w:pPr>
              <w:jc w:val="center"/>
              <w:rPr>
                <w:rFonts w:ascii="宋体" w:hAnsi="宋体" w:eastAsia="宋体"/>
                <w:highlight w:val="none"/>
              </w:rPr>
            </w:pPr>
          </w:p>
        </w:tc>
        <w:tc>
          <w:tcPr>
            <w:tcW w:w="714" w:type="pct"/>
            <w:vAlign w:val="center"/>
          </w:tcPr>
          <w:p w14:paraId="648B6653">
            <w:pPr>
              <w:jc w:val="center"/>
              <w:rPr>
                <w:rFonts w:ascii="宋体" w:hAnsi="宋体" w:eastAsia="宋体"/>
                <w:highlight w:val="none"/>
              </w:rPr>
            </w:pPr>
          </w:p>
        </w:tc>
        <w:tc>
          <w:tcPr>
            <w:tcW w:w="714" w:type="pct"/>
            <w:vAlign w:val="center"/>
          </w:tcPr>
          <w:p w14:paraId="6B5DB5AC">
            <w:pPr>
              <w:jc w:val="center"/>
              <w:rPr>
                <w:rFonts w:ascii="宋体" w:hAnsi="宋体" w:eastAsia="宋体"/>
                <w:highlight w:val="none"/>
              </w:rPr>
            </w:pPr>
          </w:p>
        </w:tc>
        <w:tc>
          <w:tcPr>
            <w:tcW w:w="712" w:type="pct"/>
            <w:vAlign w:val="center"/>
          </w:tcPr>
          <w:p w14:paraId="5EB463FE">
            <w:pPr>
              <w:jc w:val="center"/>
              <w:rPr>
                <w:rFonts w:ascii="宋体" w:hAnsi="宋体" w:eastAsia="宋体"/>
                <w:highlight w:val="none"/>
              </w:rPr>
            </w:pPr>
          </w:p>
        </w:tc>
      </w:tr>
      <w:tr w14:paraId="7CB44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14" w:type="pct"/>
            <w:vAlign w:val="center"/>
          </w:tcPr>
          <w:p w14:paraId="574B9F03">
            <w:pPr>
              <w:jc w:val="center"/>
              <w:rPr>
                <w:rFonts w:ascii="宋体" w:hAnsi="宋体" w:eastAsia="宋体"/>
                <w:highlight w:val="none"/>
              </w:rPr>
            </w:pPr>
          </w:p>
        </w:tc>
        <w:tc>
          <w:tcPr>
            <w:tcW w:w="715" w:type="pct"/>
            <w:vAlign w:val="center"/>
          </w:tcPr>
          <w:p w14:paraId="40307C30">
            <w:pPr>
              <w:jc w:val="center"/>
              <w:rPr>
                <w:rFonts w:ascii="宋体" w:hAnsi="宋体" w:eastAsia="宋体"/>
                <w:highlight w:val="none"/>
              </w:rPr>
            </w:pPr>
          </w:p>
        </w:tc>
        <w:tc>
          <w:tcPr>
            <w:tcW w:w="715" w:type="pct"/>
            <w:vAlign w:val="center"/>
          </w:tcPr>
          <w:p w14:paraId="3BA068D9">
            <w:pPr>
              <w:jc w:val="center"/>
              <w:rPr>
                <w:rFonts w:ascii="宋体" w:hAnsi="宋体" w:eastAsia="宋体"/>
                <w:highlight w:val="none"/>
              </w:rPr>
            </w:pPr>
          </w:p>
        </w:tc>
        <w:tc>
          <w:tcPr>
            <w:tcW w:w="715" w:type="pct"/>
            <w:vAlign w:val="center"/>
          </w:tcPr>
          <w:p w14:paraId="58225009">
            <w:pPr>
              <w:jc w:val="center"/>
              <w:rPr>
                <w:rFonts w:ascii="宋体" w:hAnsi="宋体" w:eastAsia="宋体"/>
                <w:highlight w:val="none"/>
              </w:rPr>
            </w:pPr>
          </w:p>
        </w:tc>
        <w:tc>
          <w:tcPr>
            <w:tcW w:w="714" w:type="pct"/>
            <w:vAlign w:val="center"/>
          </w:tcPr>
          <w:p w14:paraId="401857F8">
            <w:pPr>
              <w:jc w:val="center"/>
              <w:rPr>
                <w:rFonts w:ascii="宋体" w:hAnsi="宋体" w:eastAsia="宋体"/>
                <w:highlight w:val="none"/>
              </w:rPr>
            </w:pPr>
          </w:p>
        </w:tc>
        <w:tc>
          <w:tcPr>
            <w:tcW w:w="714" w:type="pct"/>
            <w:vAlign w:val="center"/>
          </w:tcPr>
          <w:p w14:paraId="03733F92">
            <w:pPr>
              <w:jc w:val="center"/>
              <w:rPr>
                <w:rFonts w:ascii="宋体" w:hAnsi="宋体" w:eastAsia="宋体"/>
                <w:highlight w:val="none"/>
              </w:rPr>
            </w:pPr>
          </w:p>
        </w:tc>
        <w:tc>
          <w:tcPr>
            <w:tcW w:w="712" w:type="pct"/>
            <w:vAlign w:val="center"/>
          </w:tcPr>
          <w:p w14:paraId="6B05659D">
            <w:pPr>
              <w:jc w:val="center"/>
              <w:rPr>
                <w:rFonts w:ascii="宋体" w:hAnsi="宋体" w:eastAsia="宋体"/>
                <w:highlight w:val="none"/>
              </w:rPr>
            </w:pPr>
          </w:p>
        </w:tc>
      </w:tr>
      <w:tr w14:paraId="67B0A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14" w:type="pct"/>
            <w:vAlign w:val="center"/>
          </w:tcPr>
          <w:p w14:paraId="28F09969">
            <w:pPr>
              <w:jc w:val="center"/>
              <w:rPr>
                <w:rFonts w:ascii="宋体" w:hAnsi="宋体" w:eastAsia="宋体"/>
                <w:highlight w:val="none"/>
              </w:rPr>
            </w:pPr>
          </w:p>
        </w:tc>
        <w:tc>
          <w:tcPr>
            <w:tcW w:w="715" w:type="pct"/>
            <w:vAlign w:val="center"/>
          </w:tcPr>
          <w:p w14:paraId="741A1204">
            <w:pPr>
              <w:jc w:val="center"/>
              <w:rPr>
                <w:rFonts w:ascii="宋体" w:hAnsi="宋体" w:eastAsia="宋体"/>
                <w:highlight w:val="none"/>
              </w:rPr>
            </w:pPr>
          </w:p>
        </w:tc>
        <w:tc>
          <w:tcPr>
            <w:tcW w:w="715" w:type="pct"/>
            <w:vAlign w:val="center"/>
          </w:tcPr>
          <w:p w14:paraId="2D82BCFF">
            <w:pPr>
              <w:jc w:val="center"/>
              <w:rPr>
                <w:rFonts w:ascii="宋体" w:hAnsi="宋体" w:eastAsia="宋体"/>
                <w:highlight w:val="none"/>
              </w:rPr>
            </w:pPr>
          </w:p>
        </w:tc>
        <w:tc>
          <w:tcPr>
            <w:tcW w:w="715" w:type="pct"/>
            <w:vAlign w:val="center"/>
          </w:tcPr>
          <w:p w14:paraId="77C8D08F">
            <w:pPr>
              <w:jc w:val="center"/>
              <w:rPr>
                <w:rFonts w:ascii="宋体" w:hAnsi="宋体" w:eastAsia="宋体"/>
                <w:highlight w:val="none"/>
              </w:rPr>
            </w:pPr>
          </w:p>
        </w:tc>
        <w:tc>
          <w:tcPr>
            <w:tcW w:w="714" w:type="pct"/>
            <w:vAlign w:val="center"/>
          </w:tcPr>
          <w:p w14:paraId="78A8044A">
            <w:pPr>
              <w:jc w:val="center"/>
              <w:rPr>
                <w:rFonts w:ascii="宋体" w:hAnsi="宋体" w:eastAsia="宋体"/>
                <w:highlight w:val="none"/>
              </w:rPr>
            </w:pPr>
          </w:p>
        </w:tc>
        <w:tc>
          <w:tcPr>
            <w:tcW w:w="714" w:type="pct"/>
            <w:vAlign w:val="center"/>
          </w:tcPr>
          <w:p w14:paraId="355CF892">
            <w:pPr>
              <w:jc w:val="center"/>
              <w:rPr>
                <w:rFonts w:ascii="宋体" w:hAnsi="宋体" w:eastAsia="宋体"/>
                <w:highlight w:val="none"/>
              </w:rPr>
            </w:pPr>
          </w:p>
        </w:tc>
        <w:tc>
          <w:tcPr>
            <w:tcW w:w="712" w:type="pct"/>
            <w:vAlign w:val="center"/>
          </w:tcPr>
          <w:p w14:paraId="5E1888C1">
            <w:pPr>
              <w:jc w:val="center"/>
              <w:rPr>
                <w:rFonts w:ascii="宋体" w:hAnsi="宋体" w:eastAsia="宋体"/>
                <w:highlight w:val="none"/>
              </w:rPr>
            </w:pPr>
          </w:p>
        </w:tc>
      </w:tr>
      <w:tr w14:paraId="55821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14" w:type="pct"/>
            <w:vAlign w:val="center"/>
          </w:tcPr>
          <w:p w14:paraId="7A6EEC10">
            <w:pPr>
              <w:jc w:val="center"/>
              <w:rPr>
                <w:rFonts w:ascii="宋体" w:hAnsi="宋体" w:eastAsia="宋体"/>
                <w:highlight w:val="none"/>
              </w:rPr>
            </w:pPr>
            <w:r>
              <w:rPr>
                <w:rFonts w:hint="eastAsia" w:ascii="宋体" w:hAnsi="宋体" w:eastAsia="宋体"/>
                <w:highlight w:val="none"/>
              </w:rPr>
              <w:t>总计（元）</w:t>
            </w:r>
          </w:p>
        </w:tc>
        <w:tc>
          <w:tcPr>
            <w:tcW w:w="715" w:type="pct"/>
            <w:vAlign w:val="center"/>
          </w:tcPr>
          <w:p w14:paraId="0E15550E">
            <w:pPr>
              <w:jc w:val="center"/>
              <w:rPr>
                <w:rFonts w:ascii="宋体" w:hAnsi="宋体" w:eastAsia="宋体"/>
                <w:highlight w:val="none"/>
              </w:rPr>
            </w:pPr>
          </w:p>
        </w:tc>
        <w:tc>
          <w:tcPr>
            <w:tcW w:w="715" w:type="pct"/>
            <w:vAlign w:val="center"/>
          </w:tcPr>
          <w:p w14:paraId="06AE03CD">
            <w:pPr>
              <w:jc w:val="center"/>
              <w:rPr>
                <w:rFonts w:ascii="宋体" w:hAnsi="宋体" w:eastAsia="宋体"/>
                <w:highlight w:val="none"/>
              </w:rPr>
            </w:pPr>
          </w:p>
        </w:tc>
        <w:tc>
          <w:tcPr>
            <w:tcW w:w="715" w:type="pct"/>
            <w:vAlign w:val="center"/>
          </w:tcPr>
          <w:p w14:paraId="16B51BF0">
            <w:pPr>
              <w:jc w:val="center"/>
              <w:rPr>
                <w:rFonts w:ascii="宋体" w:hAnsi="宋体" w:eastAsia="宋体"/>
                <w:highlight w:val="none"/>
              </w:rPr>
            </w:pPr>
          </w:p>
        </w:tc>
        <w:tc>
          <w:tcPr>
            <w:tcW w:w="714" w:type="pct"/>
            <w:vAlign w:val="center"/>
          </w:tcPr>
          <w:p w14:paraId="48C118F4">
            <w:pPr>
              <w:jc w:val="center"/>
              <w:rPr>
                <w:rFonts w:ascii="宋体" w:hAnsi="宋体" w:eastAsia="宋体"/>
                <w:highlight w:val="none"/>
              </w:rPr>
            </w:pPr>
          </w:p>
        </w:tc>
        <w:tc>
          <w:tcPr>
            <w:tcW w:w="714" w:type="pct"/>
            <w:vAlign w:val="center"/>
          </w:tcPr>
          <w:p w14:paraId="56D98F4F">
            <w:pPr>
              <w:jc w:val="center"/>
              <w:rPr>
                <w:rFonts w:ascii="宋体" w:hAnsi="宋体" w:eastAsia="宋体"/>
                <w:highlight w:val="none"/>
              </w:rPr>
            </w:pPr>
          </w:p>
        </w:tc>
        <w:tc>
          <w:tcPr>
            <w:tcW w:w="712" w:type="pct"/>
            <w:vAlign w:val="center"/>
          </w:tcPr>
          <w:p w14:paraId="78B22FA8">
            <w:pPr>
              <w:jc w:val="center"/>
              <w:rPr>
                <w:rFonts w:ascii="宋体" w:hAnsi="宋体" w:eastAsia="宋体"/>
                <w:highlight w:val="none"/>
              </w:rPr>
            </w:pPr>
          </w:p>
        </w:tc>
      </w:tr>
    </w:tbl>
    <w:p w14:paraId="0C55443F">
      <w:pPr>
        <w:kinsoku/>
        <w:autoSpaceDE/>
        <w:autoSpaceDN/>
        <w:adjustRightInd/>
        <w:snapToGrid/>
        <w:textAlignment w:val="auto"/>
        <w:rPr>
          <w:rFonts w:ascii="宋体" w:hAnsi="宋体" w:eastAsia="宋体" w:cs="宋体"/>
          <w:b/>
          <w:bCs/>
          <w:spacing w:val="6"/>
          <w:sz w:val="31"/>
          <w:szCs w:val="31"/>
          <w:highlight w:val="none"/>
          <w:lang w:eastAsia="zh-CN"/>
        </w:rPr>
      </w:pPr>
    </w:p>
    <w:p w14:paraId="53AD5F6C">
      <w:pPr>
        <w:kinsoku/>
        <w:autoSpaceDE/>
        <w:autoSpaceDN/>
        <w:adjustRightInd/>
        <w:snapToGrid/>
        <w:textAlignment w:val="auto"/>
        <w:rPr>
          <w:rFonts w:ascii="宋体" w:hAnsi="宋体" w:eastAsia="宋体" w:cs="宋体"/>
          <w:b/>
          <w:bCs/>
          <w:spacing w:val="6"/>
          <w:sz w:val="24"/>
          <w:szCs w:val="24"/>
          <w:highlight w:val="none"/>
          <w:lang w:eastAsia="zh-CN"/>
        </w:rPr>
      </w:pPr>
      <w:r>
        <w:rPr>
          <w:rFonts w:hint="eastAsia" w:ascii="宋体" w:hAnsi="宋体" w:eastAsia="宋体" w:cs="宋体"/>
          <w:b/>
          <w:bCs/>
          <w:spacing w:val="6"/>
          <w:sz w:val="24"/>
          <w:szCs w:val="24"/>
          <w:highlight w:val="none"/>
          <w:lang w:eastAsia="zh-CN"/>
        </w:rPr>
        <w:t>注</w:t>
      </w:r>
      <w:r>
        <w:rPr>
          <w:rFonts w:ascii="宋体" w:hAnsi="宋体" w:eastAsia="宋体" w:cs="宋体"/>
          <w:b/>
          <w:bCs/>
          <w:spacing w:val="6"/>
          <w:sz w:val="24"/>
          <w:szCs w:val="24"/>
          <w:highlight w:val="none"/>
          <w:lang w:eastAsia="zh-CN"/>
        </w:rPr>
        <w:t>:1</w:t>
      </w:r>
      <w:r>
        <w:rPr>
          <w:rFonts w:hint="eastAsia" w:ascii="宋体" w:hAnsi="宋体" w:eastAsia="宋体" w:cs="宋体"/>
          <w:b/>
          <w:bCs/>
          <w:spacing w:val="6"/>
          <w:sz w:val="24"/>
          <w:szCs w:val="24"/>
          <w:highlight w:val="none"/>
          <w:lang w:eastAsia="zh-CN"/>
        </w:rPr>
        <w:t>、投标费用包括项目实施所需的货物、服务、装卸费、运输费、税金</w:t>
      </w:r>
      <w:r>
        <w:rPr>
          <w:rFonts w:ascii="宋体" w:hAnsi="宋体" w:eastAsia="宋体" w:cs="宋体"/>
          <w:b/>
          <w:bCs/>
          <w:spacing w:val="6"/>
          <w:sz w:val="24"/>
          <w:szCs w:val="24"/>
          <w:highlight w:val="none"/>
          <w:lang w:eastAsia="zh-CN"/>
        </w:rPr>
        <w:t>(</w:t>
      </w:r>
      <w:r>
        <w:rPr>
          <w:rFonts w:hint="eastAsia" w:ascii="宋体" w:hAnsi="宋体" w:eastAsia="宋体" w:cs="宋体"/>
          <w:b/>
          <w:bCs/>
          <w:spacing w:val="6"/>
          <w:sz w:val="24"/>
          <w:szCs w:val="24"/>
          <w:highlight w:val="none"/>
          <w:lang w:eastAsia="zh-CN"/>
        </w:rPr>
        <w:t>含关税、增值税</w:t>
      </w:r>
      <w:r>
        <w:rPr>
          <w:rFonts w:ascii="宋体" w:hAnsi="宋体" w:eastAsia="宋体" w:cs="宋体"/>
          <w:b/>
          <w:bCs/>
          <w:spacing w:val="6"/>
          <w:sz w:val="24"/>
          <w:szCs w:val="24"/>
          <w:highlight w:val="none"/>
          <w:lang w:eastAsia="zh-CN"/>
        </w:rPr>
        <w:t>)</w:t>
      </w:r>
      <w:r>
        <w:rPr>
          <w:rFonts w:hint="eastAsia" w:ascii="宋体" w:hAnsi="宋体" w:eastAsia="宋体" w:cs="宋体"/>
          <w:b/>
          <w:bCs/>
          <w:spacing w:val="6"/>
          <w:sz w:val="24"/>
          <w:szCs w:val="24"/>
          <w:highlight w:val="none"/>
          <w:lang w:eastAsia="zh-CN"/>
        </w:rPr>
        <w:t>等其他一切费用；</w:t>
      </w:r>
    </w:p>
    <w:p w14:paraId="2C4CA86D">
      <w:pPr>
        <w:kinsoku/>
        <w:autoSpaceDE/>
        <w:autoSpaceDN/>
        <w:adjustRightInd/>
        <w:snapToGrid/>
        <w:textAlignment w:val="auto"/>
        <w:rPr>
          <w:rFonts w:ascii="宋体" w:hAnsi="宋体" w:eastAsia="宋体" w:cs="宋体"/>
          <w:b/>
          <w:bCs/>
          <w:spacing w:val="6"/>
          <w:sz w:val="24"/>
          <w:szCs w:val="24"/>
          <w:highlight w:val="none"/>
          <w:lang w:eastAsia="zh-CN"/>
        </w:rPr>
      </w:pPr>
      <w:r>
        <w:rPr>
          <w:rFonts w:ascii="宋体" w:hAnsi="宋体" w:eastAsia="宋体" w:cs="宋体"/>
          <w:b/>
          <w:bCs/>
          <w:spacing w:val="6"/>
          <w:sz w:val="24"/>
          <w:szCs w:val="24"/>
          <w:highlight w:val="none"/>
          <w:lang w:eastAsia="zh-CN"/>
        </w:rPr>
        <w:t>2</w:t>
      </w:r>
      <w:r>
        <w:rPr>
          <w:rFonts w:hint="eastAsia" w:ascii="宋体" w:hAnsi="宋体" w:eastAsia="宋体" w:cs="宋体"/>
          <w:b/>
          <w:bCs/>
          <w:spacing w:val="6"/>
          <w:sz w:val="24"/>
          <w:szCs w:val="24"/>
          <w:highlight w:val="none"/>
          <w:lang w:eastAsia="zh-CN"/>
        </w:rPr>
        <w:t>、此表格若不够用。可根据实际自行扩展表格；</w:t>
      </w:r>
    </w:p>
    <w:p w14:paraId="6ED06ED1">
      <w:pPr>
        <w:kinsoku/>
        <w:autoSpaceDE/>
        <w:autoSpaceDN/>
        <w:adjustRightInd/>
        <w:snapToGrid/>
        <w:textAlignment w:val="auto"/>
        <w:rPr>
          <w:rFonts w:ascii="宋体" w:hAnsi="宋体" w:eastAsia="宋体" w:cs="宋体"/>
          <w:b/>
          <w:bCs/>
          <w:spacing w:val="6"/>
          <w:sz w:val="24"/>
          <w:szCs w:val="24"/>
          <w:highlight w:val="none"/>
          <w:lang w:eastAsia="zh-CN"/>
        </w:rPr>
      </w:pPr>
      <w:r>
        <w:rPr>
          <w:rFonts w:ascii="宋体" w:hAnsi="宋体" w:eastAsia="宋体" w:cs="宋体"/>
          <w:b/>
          <w:bCs/>
          <w:spacing w:val="6"/>
          <w:sz w:val="24"/>
          <w:szCs w:val="24"/>
          <w:highlight w:val="none"/>
          <w:lang w:eastAsia="zh-CN"/>
        </w:rPr>
        <w:t>3</w:t>
      </w:r>
      <w:r>
        <w:rPr>
          <w:rFonts w:hint="eastAsia" w:ascii="宋体" w:hAnsi="宋体" w:eastAsia="宋体" w:cs="宋体"/>
          <w:b/>
          <w:bCs/>
          <w:spacing w:val="6"/>
          <w:sz w:val="24"/>
          <w:szCs w:val="24"/>
          <w:highlight w:val="none"/>
          <w:lang w:eastAsia="zh-CN"/>
        </w:rPr>
        <w:t>、总合计金额不得高于预算金额，否则作为无效标处理。</w:t>
      </w:r>
    </w:p>
    <w:p w14:paraId="42C7B984">
      <w:pPr>
        <w:spacing w:before="91" w:line="219" w:lineRule="auto"/>
        <w:ind w:left="3587"/>
        <w:rPr>
          <w:rFonts w:ascii="宋体" w:hAnsi="宋体" w:eastAsia="宋体" w:cs="宋体"/>
          <w:spacing w:val="-2"/>
          <w:sz w:val="28"/>
          <w:szCs w:val="28"/>
          <w:highlight w:val="none"/>
          <w:lang w:eastAsia="zh-CN"/>
        </w:rPr>
      </w:pPr>
    </w:p>
    <w:p w14:paraId="54B9C27A">
      <w:pPr>
        <w:spacing w:before="91" w:line="219" w:lineRule="auto"/>
        <w:ind w:left="3587"/>
        <w:rPr>
          <w:rFonts w:ascii="宋体" w:hAnsi="宋体" w:eastAsia="宋体" w:cs="宋体"/>
          <w:sz w:val="28"/>
          <w:szCs w:val="28"/>
          <w:highlight w:val="none"/>
          <w:lang w:eastAsia="zh-CN"/>
        </w:rPr>
      </w:pPr>
      <w:r>
        <w:rPr>
          <w:rFonts w:ascii="宋体" w:hAnsi="宋体" w:eastAsia="宋体" w:cs="宋体"/>
          <w:spacing w:val="-2"/>
          <w:sz w:val="28"/>
          <w:szCs w:val="28"/>
          <w:highlight w:val="none"/>
          <w:lang w:eastAsia="zh-CN"/>
        </w:rPr>
        <w:t>供应商</w:t>
      </w:r>
      <w:r>
        <w:rPr>
          <w:rFonts w:ascii="宋体" w:hAnsi="宋体" w:eastAsia="宋体" w:cs="宋体"/>
          <w:spacing w:val="-3"/>
          <w:sz w:val="28"/>
          <w:szCs w:val="28"/>
          <w:highlight w:val="none"/>
          <w:lang w:eastAsia="zh-CN"/>
        </w:rPr>
        <w:t>：（</w:t>
      </w:r>
      <w:r>
        <w:rPr>
          <w:rFonts w:ascii="宋体" w:hAnsi="宋体" w:eastAsia="宋体" w:cs="宋体"/>
          <w:spacing w:val="-2"/>
          <w:sz w:val="28"/>
          <w:szCs w:val="28"/>
          <w:highlight w:val="none"/>
          <w:lang w:eastAsia="zh-CN"/>
        </w:rPr>
        <w:t>单位电子签章）</w:t>
      </w:r>
    </w:p>
    <w:p w14:paraId="0C58C8CD">
      <w:pPr>
        <w:spacing w:before="291" w:line="219" w:lineRule="auto"/>
        <w:ind w:left="3588"/>
        <w:rPr>
          <w:rFonts w:ascii="宋体" w:hAnsi="宋体" w:eastAsia="宋体" w:cs="宋体"/>
          <w:sz w:val="28"/>
          <w:szCs w:val="28"/>
          <w:highlight w:val="none"/>
          <w:lang w:eastAsia="zh-CN"/>
        </w:rPr>
      </w:pPr>
      <w:r>
        <w:rPr>
          <w:rFonts w:ascii="宋体" w:hAnsi="宋体" w:eastAsia="宋体" w:cs="宋体"/>
          <w:sz w:val="28"/>
          <w:szCs w:val="28"/>
          <w:highlight w:val="none"/>
          <w:lang w:eastAsia="zh-CN"/>
        </w:rPr>
        <w:t>法定代表人</w:t>
      </w:r>
      <w:r>
        <w:rPr>
          <w:rFonts w:ascii="宋体" w:hAnsi="宋体" w:eastAsia="宋体" w:cs="宋体"/>
          <w:spacing w:val="-11"/>
          <w:sz w:val="28"/>
          <w:szCs w:val="28"/>
          <w:highlight w:val="none"/>
          <w:lang w:eastAsia="zh-CN"/>
        </w:rPr>
        <w:t>：（</w:t>
      </w:r>
      <w:r>
        <w:rPr>
          <w:rFonts w:ascii="宋体" w:hAnsi="宋体" w:eastAsia="宋体" w:cs="宋体"/>
          <w:sz w:val="28"/>
          <w:szCs w:val="28"/>
          <w:highlight w:val="none"/>
          <w:lang w:eastAsia="zh-CN"/>
        </w:rPr>
        <w:t>法人电子签章）</w:t>
      </w:r>
    </w:p>
    <w:p w14:paraId="48BA351D">
      <w:pPr>
        <w:spacing w:before="292" w:line="220" w:lineRule="auto"/>
        <w:ind w:left="3635"/>
        <w:rPr>
          <w:rFonts w:ascii="宋体" w:hAnsi="宋体" w:eastAsia="宋体" w:cs="宋体"/>
          <w:b/>
          <w:bCs/>
          <w:spacing w:val="6"/>
          <w:sz w:val="31"/>
          <w:szCs w:val="31"/>
          <w:highlight w:val="none"/>
          <w:lang w:eastAsia="zh-CN"/>
        </w:rPr>
      </w:pPr>
      <w:r>
        <w:rPr>
          <w:rFonts w:ascii="宋体" w:hAnsi="宋体" w:eastAsia="宋体" w:cs="宋体"/>
          <w:spacing w:val="-15"/>
          <w:sz w:val="28"/>
          <w:szCs w:val="28"/>
          <w:highlight w:val="none"/>
          <w:lang w:eastAsia="zh-CN"/>
        </w:rPr>
        <w:t>日期：</w:t>
      </w:r>
      <w:r>
        <w:rPr>
          <w:rFonts w:ascii="宋体" w:hAnsi="宋体" w:eastAsia="宋体" w:cs="宋体"/>
          <w:spacing w:val="7"/>
          <w:sz w:val="28"/>
          <w:szCs w:val="28"/>
          <w:highlight w:val="none"/>
          <w:lang w:eastAsia="zh-CN"/>
        </w:rPr>
        <w:t xml:space="preserve">  </w:t>
      </w:r>
      <w:r>
        <w:rPr>
          <w:rFonts w:ascii="宋体" w:hAnsi="宋体" w:eastAsia="宋体" w:cs="宋体"/>
          <w:spacing w:val="-15"/>
          <w:sz w:val="28"/>
          <w:szCs w:val="28"/>
          <w:highlight w:val="none"/>
          <w:lang w:eastAsia="zh-CN"/>
        </w:rPr>
        <w:t>年</w:t>
      </w:r>
      <w:r>
        <w:rPr>
          <w:rFonts w:ascii="宋体" w:hAnsi="宋体" w:eastAsia="宋体" w:cs="宋体"/>
          <w:spacing w:val="9"/>
          <w:sz w:val="28"/>
          <w:szCs w:val="28"/>
          <w:highlight w:val="none"/>
          <w:lang w:eastAsia="zh-CN"/>
        </w:rPr>
        <w:t xml:space="preserve">  </w:t>
      </w:r>
      <w:r>
        <w:rPr>
          <w:rFonts w:ascii="宋体" w:hAnsi="宋体" w:eastAsia="宋体" w:cs="宋体"/>
          <w:spacing w:val="-15"/>
          <w:sz w:val="28"/>
          <w:szCs w:val="28"/>
          <w:highlight w:val="none"/>
          <w:lang w:eastAsia="zh-CN"/>
        </w:rPr>
        <w:t>月</w:t>
      </w:r>
      <w:r>
        <w:rPr>
          <w:rFonts w:ascii="宋体" w:hAnsi="宋体" w:eastAsia="宋体" w:cs="宋体"/>
          <w:spacing w:val="28"/>
          <w:sz w:val="28"/>
          <w:szCs w:val="28"/>
          <w:highlight w:val="none"/>
          <w:lang w:eastAsia="zh-CN"/>
        </w:rPr>
        <w:t xml:space="preserve">  </w:t>
      </w:r>
      <w:r>
        <w:rPr>
          <w:rFonts w:ascii="宋体" w:hAnsi="宋体" w:eastAsia="宋体" w:cs="宋体"/>
          <w:spacing w:val="-15"/>
          <w:sz w:val="28"/>
          <w:szCs w:val="28"/>
          <w:highlight w:val="none"/>
          <w:lang w:eastAsia="zh-CN"/>
        </w:rPr>
        <w:t>日</w:t>
      </w:r>
    </w:p>
    <w:p w14:paraId="0D8519FF">
      <w:pPr>
        <w:kinsoku/>
        <w:autoSpaceDE/>
        <w:autoSpaceDN/>
        <w:adjustRightInd/>
        <w:snapToGrid/>
        <w:textAlignment w:val="auto"/>
        <w:rPr>
          <w:rFonts w:ascii="宋体" w:hAnsi="宋体" w:eastAsia="宋体" w:cs="宋体"/>
          <w:b/>
          <w:bCs/>
          <w:spacing w:val="6"/>
          <w:sz w:val="31"/>
          <w:szCs w:val="31"/>
          <w:highlight w:val="none"/>
          <w:lang w:eastAsia="zh-CN"/>
        </w:rPr>
      </w:pPr>
    </w:p>
    <w:p w14:paraId="749C9B97">
      <w:pPr>
        <w:kinsoku/>
        <w:autoSpaceDE/>
        <w:autoSpaceDN/>
        <w:adjustRightInd/>
        <w:snapToGrid/>
        <w:textAlignment w:val="auto"/>
        <w:rPr>
          <w:rFonts w:ascii="宋体" w:hAnsi="宋体" w:eastAsia="宋体" w:cs="宋体"/>
          <w:b/>
          <w:bCs/>
          <w:spacing w:val="6"/>
          <w:sz w:val="31"/>
          <w:szCs w:val="31"/>
          <w:highlight w:val="none"/>
          <w:lang w:eastAsia="zh-CN"/>
        </w:rPr>
      </w:pPr>
      <w:r>
        <w:rPr>
          <w:rFonts w:ascii="宋体" w:hAnsi="宋体" w:eastAsia="宋体" w:cs="宋体"/>
          <w:b/>
          <w:bCs/>
          <w:spacing w:val="6"/>
          <w:sz w:val="31"/>
          <w:szCs w:val="31"/>
          <w:highlight w:val="none"/>
          <w:lang w:eastAsia="zh-CN"/>
        </w:rPr>
        <w:br w:type="page"/>
      </w:r>
    </w:p>
    <w:p w14:paraId="0B78741C">
      <w:pPr>
        <w:spacing w:before="100" w:line="224" w:lineRule="auto"/>
        <w:jc w:val="center"/>
        <w:rPr>
          <w:rFonts w:ascii="宋体" w:hAnsi="宋体" w:eastAsia="宋体" w:cs="宋体"/>
          <w:sz w:val="31"/>
          <w:szCs w:val="31"/>
          <w:highlight w:val="none"/>
          <w:lang w:eastAsia="zh-CN"/>
        </w:rPr>
      </w:pPr>
      <w:r>
        <w:rPr>
          <w:rFonts w:ascii="宋体" w:hAnsi="宋体" w:eastAsia="宋体" w:cs="宋体"/>
          <w:b/>
          <w:bCs/>
          <w:spacing w:val="6"/>
          <w:sz w:val="31"/>
          <w:szCs w:val="31"/>
          <w:highlight w:val="none"/>
          <w:lang w:eastAsia="zh-CN"/>
        </w:rPr>
        <w:t>三、法定代表人身份证明书</w:t>
      </w:r>
    </w:p>
    <w:p w14:paraId="270E8E67">
      <w:pPr>
        <w:pStyle w:val="4"/>
        <w:spacing w:line="243" w:lineRule="auto"/>
        <w:rPr>
          <w:highlight w:val="none"/>
          <w:lang w:eastAsia="zh-CN"/>
        </w:rPr>
      </w:pPr>
    </w:p>
    <w:p w14:paraId="19327F13">
      <w:pPr>
        <w:pStyle w:val="4"/>
        <w:spacing w:line="244" w:lineRule="auto"/>
        <w:rPr>
          <w:highlight w:val="none"/>
          <w:lang w:eastAsia="zh-CN"/>
        </w:rPr>
      </w:pPr>
    </w:p>
    <w:p w14:paraId="72EAFAC7">
      <w:pPr>
        <w:pStyle w:val="4"/>
        <w:spacing w:line="244" w:lineRule="auto"/>
        <w:rPr>
          <w:highlight w:val="none"/>
          <w:lang w:eastAsia="zh-CN"/>
        </w:rPr>
      </w:pPr>
    </w:p>
    <w:p w14:paraId="4666C72E">
      <w:pPr>
        <w:spacing w:before="91" w:line="221" w:lineRule="auto"/>
        <w:ind w:left="639"/>
        <w:rPr>
          <w:rFonts w:ascii="宋体" w:hAnsi="宋体" w:eastAsia="宋体" w:cs="宋体"/>
          <w:sz w:val="28"/>
          <w:szCs w:val="28"/>
          <w:highlight w:val="none"/>
          <w:lang w:eastAsia="zh-CN"/>
        </w:rPr>
      </w:pPr>
      <w:r>
        <w:rPr>
          <w:rFonts w:ascii="宋体" w:hAnsi="宋体" w:eastAsia="宋体" w:cs="宋体"/>
          <w:spacing w:val="-2"/>
          <w:sz w:val="28"/>
          <w:szCs w:val="28"/>
          <w:highlight w:val="none"/>
          <w:lang w:eastAsia="zh-CN"/>
        </w:rPr>
        <w:t>单位名称：</w:t>
      </w:r>
      <w:r>
        <w:rPr>
          <w:rFonts w:ascii="宋体" w:hAnsi="宋体" w:eastAsia="宋体" w:cs="宋体"/>
          <w:spacing w:val="-2"/>
          <w:sz w:val="28"/>
          <w:szCs w:val="28"/>
          <w:highlight w:val="none"/>
          <w:u w:val="single"/>
          <w:lang w:eastAsia="zh-CN"/>
        </w:rPr>
        <w:t xml:space="preserve">                            </w:t>
      </w:r>
    </w:p>
    <w:p w14:paraId="72A9A597">
      <w:pPr>
        <w:spacing w:before="288" w:line="221" w:lineRule="auto"/>
        <w:ind w:left="637"/>
        <w:rPr>
          <w:rFonts w:ascii="宋体" w:hAnsi="宋体" w:eastAsia="宋体" w:cs="宋体"/>
          <w:sz w:val="28"/>
          <w:szCs w:val="28"/>
          <w:highlight w:val="none"/>
          <w:lang w:eastAsia="zh-CN"/>
        </w:rPr>
      </w:pPr>
      <w:r>
        <w:rPr>
          <w:rFonts w:ascii="宋体" w:hAnsi="宋体" w:eastAsia="宋体" w:cs="宋体"/>
          <w:spacing w:val="-2"/>
          <w:sz w:val="28"/>
          <w:szCs w:val="28"/>
          <w:highlight w:val="none"/>
          <w:lang w:eastAsia="zh-CN"/>
        </w:rPr>
        <w:t>单位性质：</w:t>
      </w:r>
      <w:r>
        <w:rPr>
          <w:rFonts w:ascii="宋体" w:hAnsi="宋体" w:eastAsia="宋体" w:cs="宋体"/>
          <w:spacing w:val="-2"/>
          <w:sz w:val="28"/>
          <w:szCs w:val="28"/>
          <w:highlight w:val="none"/>
          <w:u w:val="single"/>
          <w:lang w:eastAsia="zh-CN"/>
        </w:rPr>
        <w:t xml:space="preserve">                            </w:t>
      </w:r>
    </w:p>
    <w:p w14:paraId="3985C6D9">
      <w:pPr>
        <w:spacing w:before="290" w:line="229" w:lineRule="auto"/>
        <w:ind w:left="634"/>
        <w:rPr>
          <w:rFonts w:ascii="宋体" w:hAnsi="宋体" w:eastAsia="宋体" w:cs="宋体"/>
          <w:sz w:val="28"/>
          <w:szCs w:val="28"/>
          <w:highlight w:val="none"/>
          <w:lang w:eastAsia="zh-CN"/>
        </w:rPr>
      </w:pPr>
      <w:r>
        <w:rPr>
          <w:rFonts w:ascii="宋体" w:hAnsi="宋体" w:eastAsia="宋体" w:cs="宋体"/>
          <w:spacing w:val="-9"/>
          <w:sz w:val="28"/>
          <w:szCs w:val="28"/>
          <w:highlight w:val="none"/>
          <w:lang w:eastAsia="zh-CN"/>
        </w:rPr>
        <w:t>地</w:t>
      </w:r>
      <w:r>
        <w:rPr>
          <w:rFonts w:ascii="宋体" w:hAnsi="宋体" w:eastAsia="宋体" w:cs="宋体"/>
          <w:spacing w:val="3"/>
          <w:sz w:val="28"/>
          <w:szCs w:val="28"/>
          <w:highlight w:val="none"/>
          <w:lang w:eastAsia="zh-CN"/>
        </w:rPr>
        <w:t xml:space="preserve">    </w:t>
      </w:r>
      <w:r>
        <w:rPr>
          <w:rFonts w:ascii="宋体" w:hAnsi="宋体" w:eastAsia="宋体" w:cs="宋体"/>
          <w:spacing w:val="-9"/>
          <w:sz w:val="28"/>
          <w:szCs w:val="28"/>
          <w:highlight w:val="none"/>
          <w:lang w:eastAsia="zh-CN"/>
        </w:rPr>
        <w:t>址：</w:t>
      </w:r>
      <w:r>
        <w:rPr>
          <w:rFonts w:ascii="宋体" w:hAnsi="宋体" w:eastAsia="宋体" w:cs="宋体"/>
          <w:sz w:val="28"/>
          <w:szCs w:val="28"/>
          <w:highlight w:val="none"/>
          <w:u w:val="single"/>
          <w:lang w:eastAsia="zh-CN"/>
        </w:rPr>
        <w:t xml:space="preserve">                            </w:t>
      </w:r>
    </w:p>
    <w:p w14:paraId="05F09EA7">
      <w:pPr>
        <w:spacing w:before="276" w:line="220" w:lineRule="auto"/>
        <w:ind w:left="637"/>
        <w:rPr>
          <w:rFonts w:ascii="宋体" w:hAnsi="宋体" w:eastAsia="宋体" w:cs="宋体"/>
          <w:sz w:val="28"/>
          <w:szCs w:val="28"/>
          <w:highlight w:val="none"/>
          <w:lang w:eastAsia="zh-CN"/>
        </w:rPr>
      </w:pPr>
      <w:r>
        <w:rPr>
          <w:rFonts w:ascii="宋体" w:hAnsi="宋体" w:eastAsia="宋体" w:cs="宋体"/>
          <w:spacing w:val="-7"/>
          <w:sz w:val="28"/>
          <w:szCs w:val="28"/>
          <w:highlight w:val="none"/>
          <w:lang w:eastAsia="zh-CN"/>
        </w:rPr>
        <w:t>成立时间：</w:t>
      </w:r>
      <w:r>
        <w:rPr>
          <w:rFonts w:ascii="宋体" w:hAnsi="宋体" w:eastAsia="宋体" w:cs="宋体"/>
          <w:sz w:val="28"/>
          <w:szCs w:val="28"/>
          <w:highlight w:val="none"/>
          <w:u w:val="single"/>
          <w:lang w:eastAsia="zh-CN"/>
        </w:rPr>
        <w:t xml:space="preserve">             </w:t>
      </w:r>
      <w:r>
        <w:rPr>
          <w:rFonts w:ascii="宋体" w:hAnsi="宋体" w:eastAsia="宋体" w:cs="宋体"/>
          <w:spacing w:val="-123"/>
          <w:sz w:val="28"/>
          <w:szCs w:val="28"/>
          <w:highlight w:val="none"/>
          <w:lang w:eastAsia="zh-CN"/>
        </w:rPr>
        <w:t xml:space="preserve"> </w:t>
      </w:r>
      <w:r>
        <w:rPr>
          <w:rFonts w:ascii="宋体" w:hAnsi="宋体" w:eastAsia="宋体" w:cs="宋体"/>
          <w:spacing w:val="-7"/>
          <w:sz w:val="28"/>
          <w:szCs w:val="28"/>
          <w:highlight w:val="none"/>
          <w:lang w:eastAsia="zh-CN"/>
        </w:rPr>
        <w:t>年</w:t>
      </w:r>
      <w:r>
        <w:rPr>
          <w:rFonts w:ascii="宋体" w:hAnsi="宋体" w:eastAsia="宋体" w:cs="宋体"/>
          <w:spacing w:val="10"/>
          <w:sz w:val="28"/>
          <w:szCs w:val="28"/>
          <w:highlight w:val="none"/>
          <w:u w:val="single"/>
          <w:lang w:eastAsia="zh-CN"/>
        </w:rPr>
        <w:t xml:space="preserve">             </w:t>
      </w:r>
      <w:r>
        <w:rPr>
          <w:rFonts w:ascii="宋体" w:hAnsi="宋体" w:eastAsia="宋体" w:cs="宋体"/>
          <w:spacing w:val="-113"/>
          <w:sz w:val="28"/>
          <w:szCs w:val="28"/>
          <w:highlight w:val="none"/>
          <w:lang w:eastAsia="zh-CN"/>
        </w:rPr>
        <w:t xml:space="preserve"> </w:t>
      </w:r>
      <w:r>
        <w:rPr>
          <w:rFonts w:ascii="宋体" w:hAnsi="宋体" w:eastAsia="宋体" w:cs="宋体"/>
          <w:spacing w:val="-7"/>
          <w:sz w:val="28"/>
          <w:szCs w:val="28"/>
          <w:highlight w:val="none"/>
          <w:lang w:eastAsia="zh-CN"/>
        </w:rPr>
        <w:t>月</w:t>
      </w:r>
      <w:r>
        <w:rPr>
          <w:rFonts w:ascii="宋体" w:hAnsi="宋体" w:eastAsia="宋体" w:cs="宋体"/>
          <w:sz w:val="28"/>
          <w:szCs w:val="28"/>
          <w:highlight w:val="none"/>
          <w:u w:val="single"/>
          <w:lang w:eastAsia="zh-CN"/>
        </w:rPr>
        <w:t xml:space="preserve">         </w:t>
      </w:r>
      <w:r>
        <w:rPr>
          <w:rFonts w:ascii="宋体" w:hAnsi="宋体" w:eastAsia="宋体" w:cs="宋体"/>
          <w:sz w:val="28"/>
          <w:szCs w:val="28"/>
          <w:highlight w:val="none"/>
          <w:lang w:eastAsia="zh-CN"/>
        </w:rPr>
        <w:t>日</w:t>
      </w:r>
    </w:p>
    <w:p w14:paraId="231C9DEF">
      <w:pPr>
        <w:spacing w:before="282" w:line="221" w:lineRule="auto"/>
        <w:ind w:left="637"/>
        <w:rPr>
          <w:rFonts w:ascii="宋体" w:hAnsi="宋体" w:eastAsia="宋体" w:cs="宋体"/>
          <w:sz w:val="28"/>
          <w:szCs w:val="28"/>
          <w:highlight w:val="none"/>
          <w:lang w:eastAsia="zh-CN"/>
        </w:rPr>
      </w:pPr>
      <w:r>
        <w:rPr>
          <w:rFonts w:ascii="宋体" w:hAnsi="宋体" w:eastAsia="宋体" w:cs="宋体"/>
          <w:spacing w:val="-3"/>
          <w:sz w:val="28"/>
          <w:szCs w:val="28"/>
          <w:highlight w:val="none"/>
          <w:lang w:eastAsia="zh-CN"/>
        </w:rPr>
        <w:t>经营期限：</w:t>
      </w:r>
      <w:r>
        <w:rPr>
          <w:rFonts w:ascii="宋体" w:hAnsi="宋体" w:eastAsia="宋体" w:cs="宋体"/>
          <w:sz w:val="28"/>
          <w:szCs w:val="28"/>
          <w:highlight w:val="none"/>
          <w:u w:val="single"/>
          <w:lang w:eastAsia="zh-CN"/>
        </w:rPr>
        <w:t xml:space="preserve">                                        </w:t>
      </w:r>
    </w:p>
    <w:p w14:paraId="1BECD325">
      <w:pPr>
        <w:spacing w:before="289" w:line="413" w:lineRule="auto"/>
        <w:ind w:left="639" w:right="57" w:hanging="5"/>
        <w:rPr>
          <w:rFonts w:ascii="宋体" w:hAnsi="宋体" w:eastAsia="宋体" w:cs="宋体"/>
          <w:sz w:val="28"/>
          <w:szCs w:val="28"/>
          <w:highlight w:val="none"/>
          <w:lang w:eastAsia="zh-CN"/>
        </w:rPr>
      </w:pPr>
      <w:r>
        <w:rPr>
          <w:rFonts w:ascii="宋体" w:hAnsi="宋体" w:eastAsia="宋体" w:cs="宋体"/>
          <w:spacing w:val="-4"/>
          <w:sz w:val="28"/>
          <w:szCs w:val="28"/>
          <w:highlight w:val="none"/>
          <w:lang w:eastAsia="zh-CN"/>
        </w:rPr>
        <w:t>姓    名：</w:t>
      </w:r>
      <w:r>
        <w:rPr>
          <w:rFonts w:ascii="宋体" w:hAnsi="宋体" w:eastAsia="宋体" w:cs="宋体"/>
          <w:spacing w:val="1"/>
          <w:sz w:val="28"/>
          <w:szCs w:val="28"/>
          <w:highlight w:val="none"/>
          <w:u w:val="single"/>
          <w:lang w:eastAsia="zh-CN"/>
        </w:rPr>
        <w:t xml:space="preserve">        </w:t>
      </w:r>
      <w:r>
        <w:rPr>
          <w:rFonts w:ascii="宋体" w:hAnsi="宋体" w:eastAsia="宋体" w:cs="宋体"/>
          <w:spacing w:val="14"/>
          <w:sz w:val="28"/>
          <w:szCs w:val="28"/>
          <w:highlight w:val="none"/>
          <w:lang w:eastAsia="zh-CN"/>
        </w:rPr>
        <w:t xml:space="preserve"> </w:t>
      </w:r>
      <w:r>
        <w:rPr>
          <w:rFonts w:ascii="宋体" w:hAnsi="宋体" w:eastAsia="宋体" w:cs="宋体"/>
          <w:spacing w:val="-4"/>
          <w:sz w:val="28"/>
          <w:szCs w:val="28"/>
          <w:highlight w:val="none"/>
          <w:lang w:eastAsia="zh-CN"/>
        </w:rPr>
        <w:t>性别：</w:t>
      </w:r>
      <w:r>
        <w:rPr>
          <w:rFonts w:ascii="宋体" w:hAnsi="宋体" w:eastAsia="宋体" w:cs="宋体"/>
          <w:sz w:val="28"/>
          <w:szCs w:val="28"/>
          <w:highlight w:val="none"/>
          <w:u w:val="single"/>
          <w:lang w:eastAsia="zh-CN"/>
        </w:rPr>
        <w:t xml:space="preserve">      </w:t>
      </w:r>
      <w:r>
        <w:rPr>
          <w:rFonts w:ascii="宋体" w:hAnsi="宋体" w:eastAsia="宋体" w:cs="宋体"/>
          <w:spacing w:val="-127"/>
          <w:sz w:val="28"/>
          <w:szCs w:val="28"/>
          <w:highlight w:val="none"/>
          <w:lang w:eastAsia="zh-CN"/>
        </w:rPr>
        <w:t xml:space="preserve"> </w:t>
      </w:r>
      <w:r>
        <w:rPr>
          <w:rFonts w:ascii="宋体" w:hAnsi="宋体" w:eastAsia="宋体" w:cs="宋体"/>
          <w:spacing w:val="-4"/>
          <w:sz w:val="28"/>
          <w:szCs w:val="28"/>
          <w:highlight w:val="none"/>
          <w:lang w:eastAsia="zh-CN"/>
        </w:rPr>
        <w:t>年龄：</w:t>
      </w:r>
      <w:r>
        <w:rPr>
          <w:rFonts w:ascii="宋体" w:hAnsi="宋体" w:eastAsia="宋体" w:cs="宋体"/>
          <w:spacing w:val="-4"/>
          <w:sz w:val="28"/>
          <w:szCs w:val="28"/>
          <w:highlight w:val="none"/>
          <w:u w:val="single"/>
          <w:lang w:eastAsia="zh-CN"/>
        </w:rPr>
        <w:t xml:space="preserve">     </w:t>
      </w:r>
      <w:r>
        <w:rPr>
          <w:rFonts w:ascii="宋体" w:hAnsi="宋体" w:eastAsia="宋体" w:cs="宋体"/>
          <w:spacing w:val="13"/>
          <w:sz w:val="28"/>
          <w:szCs w:val="28"/>
          <w:highlight w:val="none"/>
          <w:lang w:eastAsia="zh-CN"/>
        </w:rPr>
        <w:t xml:space="preserve"> </w:t>
      </w:r>
      <w:r>
        <w:rPr>
          <w:rFonts w:ascii="宋体" w:hAnsi="宋体" w:eastAsia="宋体" w:cs="宋体"/>
          <w:spacing w:val="-4"/>
          <w:sz w:val="28"/>
          <w:szCs w:val="28"/>
          <w:highlight w:val="none"/>
          <w:lang w:eastAsia="zh-CN"/>
        </w:rPr>
        <w:t>职务：</w:t>
      </w:r>
      <w:r>
        <w:rPr>
          <w:rFonts w:ascii="宋体" w:hAnsi="宋体" w:eastAsia="宋体" w:cs="宋体"/>
          <w:spacing w:val="-4"/>
          <w:sz w:val="28"/>
          <w:szCs w:val="28"/>
          <w:highlight w:val="none"/>
          <w:u w:val="single"/>
          <w:lang w:eastAsia="zh-CN"/>
        </w:rPr>
        <w:t xml:space="preserve">      </w:t>
      </w:r>
      <w:r>
        <w:rPr>
          <w:rFonts w:ascii="宋体" w:hAnsi="宋体" w:eastAsia="宋体" w:cs="宋体"/>
          <w:spacing w:val="-2"/>
          <w:sz w:val="28"/>
          <w:szCs w:val="28"/>
          <w:highlight w:val="none"/>
          <w:lang w:eastAsia="zh-CN"/>
        </w:rPr>
        <w:t>系</w:t>
      </w:r>
      <w:r>
        <w:rPr>
          <w:rFonts w:ascii="宋体" w:hAnsi="宋体" w:eastAsia="宋体" w:cs="宋体"/>
          <w:spacing w:val="-2"/>
          <w:sz w:val="28"/>
          <w:szCs w:val="28"/>
          <w:highlight w:val="none"/>
          <w:u w:val="single"/>
          <w:lang w:eastAsia="zh-CN"/>
        </w:rPr>
        <w:t xml:space="preserve">          （供应商单位名称）         </w:t>
      </w:r>
      <w:r>
        <w:rPr>
          <w:rFonts w:ascii="宋体" w:hAnsi="宋体" w:eastAsia="宋体" w:cs="宋体"/>
          <w:spacing w:val="-105"/>
          <w:sz w:val="28"/>
          <w:szCs w:val="28"/>
          <w:highlight w:val="none"/>
          <w:lang w:eastAsia="zh-CN"/>
        </w:rPr>
        <w:t xml:space="preserve"> </w:t>
      </w:r>
      <w:r>
        <w:rPr>
          <w:rFonts w:ascii="宋体" w:hAnsi="宋体" w:eastAsia="宋体" w:cs="宋体"/>
          <w:spacing w:val="-2"/>
          <w:sz w:val="28"/>
          <w:szCs w:val="28"/>
          <w:highlight w:val="none"/>
          <w:lang w:eastAsia="zh-CN"/>
        </w:rPr>
        <w:t>的法定代表人。</w:t>
      </w:r>
    </w:p>
    <w:p w14:paraId="53487254">
      <w:pPr>
        <w:pStyle w:val="4"/>
        <w:spacing w:line="262" w:lineRule="auto"/>
        <w:rPr>
          <w:highlight w:val="none"/>
          <w:lang w:eastAsia="zh-CN"/>
        </w:rPr>
      </w:pPr>
    </w:p>
    <w:p w14:paraId="1F8E6469">
      <w:pPr>
        <w:pStyle w:val="4"/>
        <w:spacing w:line="262" w:lineRule="auto"/>
        <w:rPr>
          <w:highlight w:val="none"/>
          <w:lang w:eastAsia="zh-CN"/>
        </w:rPr>
      </w:pPr>
    </w:p>
    <w:p w14:paraId="20309728">
      <w:pPr>
        <w:spacing w:before="92" w:line="220" w:lineRule="auto"/>
        <w:ind w:left="1297"/>
        <w:rPr>
          <w:rFonts w:ascii="宋体" w:hAnsi="宋体" w:eastAsia="宋体" w:cs="宋体"/>
          <w:sz w:val="28"/>
          <w:szCs w:val="28"/>
          <w:highlight w:val="none"/>
          <w:lang w:eastAsia="zh-CN"/>
        </w:rPr>
      </w:pPr>
      <w:r>
        <w:rPr>
          <w:rFonts w:ascii="宋体" w:hAnsi="宋体" w:eastAsia="宋体" w:cs="宋体"/>
          <w:spacing w:val="-2"/>
          <w:sz w:val="28"/>
          <w:szCs w:val="28"/>
          <w:highlight w:val="none"/>
          <w:lang w:eastAsia="zh-CN"/>
        </w:rPr>
        <w:t>特此证明。</w:t>
      </w:r>
    </w:p>
    <w:p w14:paraId="751FEF89">
      <w:pPr>
        <w:pStyle w:val="4"/>
        <w:spacing w:line="257" w:lineRule="auto"/>
        <w:rPr>
          <w:highlight w:val="none"/>
          <w:lang w:eastAsia="zh-CN"/>
        </w:rPr>
      </w:pPr>
    </w:p>
    <w:p w14:paraId="0FBF0C62">
      <w:pPr>
        <w:pStyle w:val="4"/>
        <w:spacing w:line="257" w:lineRule="auto"/>
        <w:rPr>
          <w:highlight w:val="none"/>
          <w:lang w:eastAsia="zh-CN"/>
        </w:rPr>
      </w:pPr>
    </w:p>
    <w:p w14:paraId="79577850">
      <w:pPr>
        <w:pStyle w:val="4"/>
        <w:spacing w:line="257" w:lineRule="auto"/>
        <w:rPr>
          <w:highlight w:val="none"/>
          <w:lang w:eastAsia="zh-CN"/>
        </w:rPr>
      </w:pPr>
    </w:p>
    <w:p w14:paraId="31BA4E8A">
      <w:pPr>
        <w:pStyle w:val="4"/>
        <w:spacing w:line="257" w:lineRule="auto"/>
        <w:rPr>
          <w:highlight w:val="none"/>
          <w:lang w:eastAsia="zh-CN"/>
        </w:rPr>
      </w:pPr>
    </w:p>
    <w:p w14:paraId="78298277">
      <w:pPr>
        <w:pStyle w:val="4"/>
        <w:spacing w:line="257" w:lineRule="auto"/>
        <w:rPr>
          <w:highlight w:val="none"/>
          <w:lang w:eastAsia="zh-CN"/>
        </w:rPr>
      </w:pPr>
    </w:p>
    <w:p w14:paraId="47B9B656">
      <w:pPr>
        <w:pStyle w:val="4"/>
        <w:spacing w:line="258" w:lineRule="auto"/>
        <w:rPr>
          <w:highlight w:val="none"/>
          <w:lang w:eastAsia="zh-CN"/>
        </w:rPr>
      </w:pPr>
    </w:p>
    <w:p w14:paraId="73E2463E">
      <w:pPr>
        <w:pStyle w:val="4"/>
        <w:spacing w:line="258" w:lineRule="auto"/>
        <w:rPr>
          <w:highlight w:val="none"/>
          <w:lang w:eastAsia="zh-CN"/>
        </w:rPr>
      </w:pPr>
    </w:p>
    <w:p w14:paraId="4D9838F2">
      <w:pPr>
        <w:pStyle w:val="4"/>
        <w:spacing w:line="258" w:lineRule="auto"/>
        <w:rPr>
          <w:highlight w:val="none"/>
          <w:lang w:eastAsia="zh-CN"/>
        </w:rPr>
      </w:pPr>
    </w:p>
    <w:p w14:paraId="2AD3593E">
      <w:pPr>
        <w:spacing w:before="92" w:line="219" w:lineRule="auto"/>
        <w:ind w:left="3105"/>
        <w:rPr>
          <w:rFonts w:ascii="宋体" w:hAnsi="宋体" w:eastAsia="宋体" w:cs="宋体"/>
          <w:sz w:val="28"/>
          <w:szCs w:val="28"/>
          <w:highlight w:val="none"/>
          <w:lang w:eastAsia="zh-CN"/>
        </w:rPr>
      </w:pPr>
      <w:r>
        <w:rPr>
          <w:rFonts w:ascii="宋体" w:hAnsi="宋体" w:eastAsia="宋体" w:cs="宋体"/>
          <w:spacing w:val="-1"/>
          <w:sz w:val="28"/>
          <w:szCs w:val="28"/>
          <w:highlight w:val="none"/>
          <w:lang w:eastAsia="zh-CN"/>
        </w:rPr>
        <w:t>供应商(单位电子签章)：</w:t>
      </w:r>
    </w:p>
    <w:p w14:paraId="01E2EA20">
      <w:pPr>
        <w:pStyle w:val="4"/>
        <w:spacing w:line="273" w:lineRule="auto"/>
        <w:rPr>
          <w:highlight w:val="none"/>
          <w:lang w:eastAsia="zh-CN"/>
        </w:rPr>
      </w:pPr>
    </w:p>
    <w:p w14:paraId="7D8F0413">
      <w:pPr>
        <w:pStyle w:val="4"/>
        <w:spacing w:line="273" w:lineRule="auto"/>
        <w:rPr>
          <w:highlight w:val="none"/>
          <w:lang w:eastAsia="zh-CN"/>
        </w:rPr>
      </w:pPr>
    </w:p>
    <w:p w14:paraId="594A7370">
      <w:pPr>
        <w:pStyle w:val="4"/>
        <w:spacing w:line="273" w:lineRule="auto"/>
        <w:rPr>
          <w:highlight w:val="none"/>
          <w:lang w:eastAsia="zh-CN"/>
        </w:rPr>
      </w:pPr>
    </w:p>
    <w:p w14:paraId="59D415FA">
      <w:pPr>
        <w:spacing w:before="91" w:line="220" w:lineRule="auto"/>
        <w:ind w:left="3153"/>
        <w:rPr>
          <w:rFonts w:ascii="宋体" w:hAnsi="宋体" w:eastAsia="宋体" w:cs="宋体"/>
          <w:sz w:val="28"/>
          <w:szCs w:val="28"/>
          <w:highlight w:val="none"/>
          <w:lang w:eastAsia="zh-CN"/>
        </w:rPr>
      </w:pPr>
      <w:r>
        <w:rPr>
          <w:rFonts w:ascii="宋体" w:hAnsi="宋体" w:eastAsia="宋体" w:cs="宋体"/>
          <w:spacing w:val="-15"/>
          <w:sz w:val="28"/>
          <w:szCs w:val="28"/>
          <w:highlight w:val="none"/>
          <w:lang w:eastAsia="zh-CN"/>
        </w:rPr>
        <w:t>日期：</w:t>
      </w:r>
      <w:r>
        <w:rPr>
          <w:rFonts w:ascii="宋体" w:hAnsi="宋体" w:eastAsia="宋体" w:cs="宋体"/>
          <w:spacing w:val="7"/>
          <w:sz w:val="28"/>
          <w:szCs w:val="28"/>
          <w:highlight w:val="none"/>
          <w:lang w:eastAsia="zh-CN"/>
        </w:rPr>
        <w:t xml:space="preserve">  </w:t>
      </w:r>
      <w:r>
        <w:rPr>
          <w:rFonts w:ascii="宋体" w:hAnsi="宋体" w:eastAsia="宋体" w:cs="宋体"/>
          <w:spacing w:val="-15"/>
          <w:sz w:val="28"/>
          <w:szCs w:val="28"/>
          <w:highlight w:val="none"/>
          <w:lang w:eastAsia="zh-CN"/>
        </w:rPr>
        <w:t>年</w:t>
      </w:r>
      <w:r>
        <w:rPr>
          <w:rFonts w:ascii="宋体" w:hAnsi="宋体" w:eastAsia="宋体" w:cs="宋体"/>
          <w:spacing w:val="6"/>
          <w:sz w:val="28"/>
          <w:szCs w:val="28"/>
          <w:highlight w:val="none"/>
          <w:lang w:eastAsia="zh-CN"/>
        </w:rPr>
        <w:t xml:space="preserve">   </w:t>
      </w:r>
      <w:r>
        <w:rPr>
          <w:rFonts w:ascii="宋体" w:hAnsi="宋体" w:eastAsia="宋体" w:cs="宋体"/>
          <w:spacing w:val="-15"/>
          <w:sz w:val="28"/>
          <w:szCs w:val="28"/>
          <w:highlight w:val="none"/>
          <w:lang w:eastAsia="zh-CN"/>
        </w:rPr>
        <w:t>月</w:t>
      </w:r>
      <w:r>
        <w:rPr>
          <w:rFonts w:ascii="宋体" w:hAnsi="宋体" w:eastAsia="宋体" w:cs="宋体"/>
          <w:spacing w:val="29"/>
          <w:sz w:val="28"/>
          <w:szCs w:val="28"/>
          <w:highlight w:val="none"/>
          <w:lang w:eastAsia="zh-CN"/>
        </w:rPr>
        <w:t xml:space="preserve">  </w:t>
      </w:r>
      <w:r>
        <w:rPr>
          <w:rFonts w:ascii="宋体" w:hAnsi="宋体" w:eastAsia="宋体" w:cs="宋体"/>
          <w:spacing w:val="-15"/>
          <w:sz w:val="28"/>
          <w:szCs w:val="28"/>
          <w:highlight w:val="none"/>
          <w:lang w:eastAsia="zh-CN"/>
        </w:rPr>
        <w:t>日</w:t>
      </w:r>
    </w:p>
    <w:p w14:paraId="2B829613">
      <w:pPr>
        <w:pStyle w:val="4"/>
        <w:spacing w:line="273" w:lineRule="auto"/>
        <w:rPr>
          <w:highlight w:val="none"/>
          <w:lang w:eastAsia="zh-CN"/>
        </w:rPr>
      </w:pPr>
    </w:p>
    <w:p w14:paraId="3D3CF6B0">
      <w:pPr>
        <w:pStyle w:val="4"/>
        <w:spacing w:line="273" w:lineRule="auto"/>
        <w:rPr>
          <w:highlight w:val="none"/>
          <w:lang w:eastAsia="zh-CN"/>
        </w:rPr>
      </w:pPr>
    </w:p>
    <w:p w14:paraId="73766B65">
      <w:pPr>
        <w:pStyle w:val="4"/>
        <w:spacing w:line="273" w:lineRule="auto"/>
        <w:rPr>
          <w:highlight w:val="none"/>
          <w:lang w:eastAsia="zh-CN"/>
        </w:rPr>
      </w:pPr>
    </w:p>
    <w:p w14:paraId="7C51DEE4">
      <w:pPr>
        <w:spacing w:before="91" w:line="219" w:lineRule="auto"/>
        <w:ind w:left="33"/>
        <w:rPr>
          <w:rFonts w:ascii="宋体" w:hAnsi="宋体" w:eastAsia="宋体" w:cs="宋体"/>
          <w:sz w:val="28"/>
          <w:szCs w:val="28"/>
          <w:highlight w:val="none"/>
          <w:lang w:eastAsia="zh-CN"/>
        </w:rPr>
      </w:pPr>
      <w:r>
        <w:rPr>
          <w:rFonts w:ascii="宋体" w:hAnsi="宋体" w:eastAsia="宋体" w:cs="宋体"/>
          <w:b/>
          <w:bCs/>
          <w:spacing w:val="-3"/>
          <w:sz w:val="28"/>
          <w:szCs w:val="28"/>
          <w:highlight w:val="none"/>
          <w:lang w:eastAsia="zh-CN"/>
        </w:rPr>
        <w:t>（后附法定代表人身份证正反面原件扫描件）</w:t>
      </w:r>
    </w:p>
    <w:p w14:paraId="5CA0C642">
      <w:pPr>
        <w:pStyle w:val="4"/>
        <w:spacing w:line="253" w:lineRule="auto"/>
        <w:rPr>
          <w:highlight w:val="none"/>
          <w:lang w:eastAsia="zh-CN"/>
        </w:rPr>
      </w:pPr>
    </w:p>
    <w:p w14:paraId="261218D5">
      <w:pPr>
        <w:pStyle w:val="4"/>
        <w:spacing w:line="253" w:lineRule="auto"/>
        <w:rPr>
          <w:highlight w:val="none"/>
          <w:lang w:eastAsia="zh-CN"/>
        </w:rPr>
      </w:pPr>
    </w:p>
    <w:p w14:paraId="0A4C68F7">
      <w:pPr>
        <w:kinsoku/>
        <w:autoSpaceDE/>
        <w:autoSpaceDN/>
        <w:adjustRightInd/>
        <w:snapToGrid/>
        <w:textAlignment w:val="auto"/>
        <w:rPr>
          <w:rFonts w:ascii="宋体" w:hAnsi="宋体" w:eastAsia="宋体" w:cs="宋体"/>
          <w:b/>
          <w:bCs/>
          <w:spacing w:val="1"/>
          <w:sz w:val="31"/>
          <w:szCs w:val="31"/>
          <w:highlight w:val="none"/>
          <w:lang w:eastAsia="zh-CN"/>
        </w:rPr>
      </w:pPr>
      <w:r>
        <w:rPr>
          <w:rFonts w:ascii="宋体" w:hAnsi="宋体" w:eastAsia="宋体" w:cs="宋体"/>
          <w:b/>
          <w:bCs/>
          <w:spacing w:val="1"/>
          <w:sz w:val="31"/>
          <w:szCs w:val="31"/>
          <w:highlight w:val="none"/>
          <w:lang w:eastAsia="zh-CN"/>
        </w:rPr>
        <w:br w:type="page"/>
      </w:r>
    </w:p>
    <w:p w14:paraId="56A66DBB">
      <w:pPr>
        <w:spacing w:before="100" w:line="224" w:lineRule="auto"/>
        <w:jc w:val="center"/>
        <w:rPr>
          <w:rFonts w:ascii="宋体" w:hAnsi="宋体" w:eastAsia="宋体" w:cs="宋体"/>
          <w:b/>
          <w:bCs/>
          <w:spacing w:val="6"/>
          <w:sz w:val="31"/>
          <w:szCs w:val="31"/>
          <w:highlight w:val="none"/>
          <w:lang w:eastAsia="zh-CN"/>
        </w:rPr>
      </w:pPr>
      <w:r>
        <w:rPr>
          <w:rFonts w:ascii="宋体" w:hAnsi="宋体" w:eastAsia="宋体" w:cs="宋体"/>
          <w:b/>
          <w:bCs/>
          <w:spacing w:val="6"/>
          <w:sz w:val="31"/>
          <w:szCs w:val="31"/>
          <w:highlight w:val="none"/>
          <w:lang w:eastAsia="zh-CN"/>
        </w:rPr>
        <w:t>四、授权委托书</w:t>
      </w:r>
    </w:p>
    <w:p w14:paraId="0FD8586A">
      <w:pPr>
        <w:pStyle w:val="4"/>
        <w:spacing w:line="423" w:lineRule="auto"/>
        <w:rPr>
          <w:highlight w:val="none"/>
          <w:lang w:eastAsia="zh-CN"/>
        </w:rPr>
      </w:pPr>
    </w:p>
    <w:p w14:paraId="0DDD1330">
      <w:pPr>
        <w:wordWrap w:val="0"/>
        <w:spacing w:before="91" w:line="413" w:lineRule="auto"/>
        <w:ind w:left="204" w:right="289" w:firstLine="584"/>
        <w:jc w:val="both"/>
        <w:rPr>
          <w:rFonts w:ascii="宋体" w:hAnsi="宋体" w:eastAsia="宋体" w:cs="宋体"/>
          <w:sz w:val="28"/>
          <w:szCs w:val="28"/>
          <w:highlight w:val="none"/>
          <w:lang w:eastAsia="zh-CN"/>
        </w:rPr>
      </w:pPr>
      <w:r>
        <w:rPr>
          <w:rFonts w:ascii="宋体" w:hAnsi="宋体" w:eastAsia="宋体" w:cs="宋体"/>
          <w:sz w:val="28"/>
          <w:szCs w:val="28"/>
          <w:highlight w:val="none"/>
          <w:lang w:eastAsia="zh-CN"/>
        </w:rPr>
        <w:t>本人</w:t>
      </w:r>
      <w:r>
        <w:rPr>
          <w:rFonts w:ascii="宋体" w:hAnsi="宋体" w:eastAsia="宋体" w:cs="宋体"/>
          <w:sz w:val="28"/>
          <w:szCs w:val="28"/>
          <w:highlight w:val="none"/>
          <w:u w:val="single"/>
          <w:lang w:eastAsia="zh-CN"/>
        </w:rPr>
        <w:t xml:space="preserve">           </w:t>
      </w:r>
      <w:r>
        <w:rPr>
          <w:rFonts w:ascii="宋体" w:hAnsi="宋体" w:eastAsia="宋体" w:cs="宋体"/>
          <w:sz w:val="28"/>
          <w:szCs w:val="28"/>
          <w:highlight w:val="none"/>
          <w:lang w:eastAsia="zh-CN"/>
        </w:rPr>
        <w:t>（姓名）系</w:t>
      </w:r>
      <w:r>
        <w:rPr>
          <w:rFonts w:ascii="宋体" w:hAnsi="宋体" w:eastAsia="宋体" w:cs="宋体"/>
          <w:sz w:val="28"/>
          <w:szCs w:val="28"/>
          <w:highlight w:val="none"/>
          <w:u w:val="single"/>
          <w:lang w:eastAsia="zh-CN"/>
        </w:rPr>
        <w:t xml:space="preserve">     </w:t>
      </w:r>
      <w:r>
        <w:rPr>
          <w:rFonts w:ascii="宋体" w:hAnsi="宋体" w:eastAsia="宋体" w:cs="宋体"/>
          <w:spacing w:val="-1"/>
          <w:sz w:val="28"/>
          <w:szCs w:val="28"/>
          <w:highlight w:val="none"/>
          <w:u w:val="single"/>
          <w:lang w:eastAsia="zh-CN"/>
        </w:rPr>
        <w:t xml:space="preserve">     </w:t>
      </w:r>
      <w:r>
        <w:rPr>
          <w:rFonts w:ascii="宋体" w:hAnsi="宋体" w:eastAsia="宋体" w:cs="宋体"/>
          <w:spacing w:val="-1"/>
          <w:sz w:val="28"/>
          <w:szCs w:val="28"/>
          <w:highlight w:val="none"/>
          <w:lang w:eastAsia="zh-CN"/>
        </w:rPr>
        <w:t>（投</w:t>
      </w:r>
      <w:r>
        <w:rPr>
          <w:rFonts w:ascii="宋体" w:hAnsi="宋体" w:eastAsia="宋体" w:cs="宋体"/>
          <w:spacing w:val="-5"/>
          <w:sz w:val="28"/>
          <w:szCs w:val="28"/>
          <w:highlight w:val="none"/>
          <w:lang w:eastAsia="zh-CN"/>
        </w:rPr>
        <w:t>标人名称）的法定代表人，现委托</w:t>
      </w:r>
      <w:r>
        <w:rPr>
          <w:rFonts w:ascii="宋体" w:hAnsi="宋体" w:eastAsia="宋体" w:cs="宋体"/>
          <w:spacing w:val="15"/>
          <w:sz w:val="28"/>
          <w:szCs w:val="28"/>
          <w:highlight w:val="none"/>
          <w:u w:val="single"/>
          <w:lang w:eastAsia="zh-CN"/>
        </w:rPr>
        <w:t xml:space="preserve">        </w:t>
      </w:r>
      <w:r>
        <w:rPr>
          <w:rFonts w:ascii="宋体" w:hAnsi="宋体" w:eastAsia="宋体" w:cs="宋体"/>
          <w:spacing w:val="-5"/>
          <w:sz w:val="28"/>
          <w:szCs w:val="28"/>
          <w:highlight w:val="none"/>
          <w:u w:val="single"/>
          <w:lang w:eastAsia="zh-CN"/>
        </w:rPr>
        <w:t>（姓名）</w:t>
      </w:r>
      <w:r>
        <w:rPr>
          <w:rFonts w:ascii="宋体" w:hAnsi="宋体" w:eastAsia="宋体" w:cs="宋体"/>
          <w:spacing w:val="-5"/>
          <w:sz w:val="28"/>
          <w:szCs w:val="28"/>
          <w:highlight w:val="none"/>
          <w:lang w:eastAsia="zh-CN"/>
        </w:rPr>
        <w:t>为我方代理</w:t>
      </w:r>
      <w:r>
        <w:rPr>
          <w:rFonts w:ascii="宋体" w:hAnsi="宋体" w:eastAsia="宋体" w:cs="宋体"/>
          <w:spacing w:val="-1"/>
          <w:sz w:val="28"/>
          <w:szCs w:val="28"/>
          <w:highlight w:val="none"/>
          <w:lang w:eastAsia="zh-CN"/>
        </w:rPr>
        <w:t>人。代理人根据授权，以我方名义签署、澄清、说明、补正、递</w:t>
      </w:r>
      <w:r>
        <w:rPr>
          <w:rFonts w:ascii="宋体" w:hAnsi="宋体" w:eastAsia="宋体" w:cs="宋体"/>
          <w:sz w:val="28"/>
          <w:szCs w:val="28"/>
          <w:highlight w:val="none"/>
          <w:lang w:eastAsia="zh-CN"/>
        </w:rPr>
        <w:t>交、撤回、修改</w:t>
      </w:r>
      <w:r>
        <w:rPr>
          <w:rFonts w:ascii="宋体" w:hAnsi="宋体" w:eastAsia="宋体" w:cs="宋体"/>
          <w:sz w:val="28"/>
          <w:szCs w:val="28"/>
          <w:highlight w:val="none"/>
          <w:u w:val="single"/>
          <w:lang w:eastAsia="zh-CN"/>
        </w:rPr>
        <w:t xml:space="preserve">                         </w:t>
      </w:r>
      <w:r>
        <w:rPr>
          <w:rFonts w:ascii="宋体" w:hAnsi="宋体" w:eastAsia="宋体" w:cs="宋体"/>
          <w:spacing w:val="-1"/>
          <w:sz w:val="28"/>
          <w:szCs w:val="28"/>
          <w:highlight w:val="none"/>
          <w:u w:val="single"/>
          <w:lang w:eastAsia="zh-CN"/>
        </w:rPr>
        <w:t xml:space="preserve"> （项目名称）</w:t>
      </w:r>
      <w:r>
        <w:rPr>
          <w:rFonts w:ascii="宋体" w:hAnsi="宋体" w:eastAsia="宋体" w:cs="宋体"/>
          <w:spacing w:val="-1"/>
          <w:sz w:val="28"/>
          <w:szCs w:val="28"/>
          <w:highlight w:val="none"/>
          <w:lang w:eastAsia="zh-CN"/>
        </w:rPr>
        <w:t>投标文件和处理有关事宜，其法律后果由我方承担。</w:t>
      </w:r>
    </w:p>
    <w:p w14:paraId="5840A222">
      <w:pPr>
        <w:spacing w:before="1" w:line="220" w:lineRule="auto"/>
        <w:ind w:left="583"/>
        <w:rPr>
          <w:rFonts w:ascii="宋体" w:hAnsi="宋体" w:eastAsia="宋体" w:cs="宋体"/>
          <w:sz w:val="28"/>
          <w:szCs w:val="28"/>
          <w:highlight w:val="none"/>
          <w:lang w:eastAsia="zh-CN"/>
        </w:rPr>
      </w:pPr>
      <w:r>
        <w:rPr>
          <w:rFonts w:ascii="宋体" w:hAnsi="宋体" w:eastAsia="宋体" w:cs="宋体"/>
          <w:spacing w:val="-2"/>
          <w:sz w:val="28"/>
          <w:szCs w:val="28"/>
          <w:highlight w:val="none"/>
          <w:lang w:eastAsia="zh-CN"/>
        </w:rPr>
        <w:t>委托期限：</w:t>
      </w:r>
      <w:r>
        <w:rPr>
          <w:rFonts w:ascii="宋体" w:hAnsi="宋体" w:eastAsia="宋体" w:cs="宋体"/>
          <w:sz w:val="28"/>
          <w:szCs w:val="28"/>
          <w:highlight w:val="none"/>
          <w:u w:val="single"/>
          <w:lang w:eastAsia="zh-CN"/>
        </w:rPr>
        <w:t xml:space="preserve">                 </w:t>
      </w:r>
    </w:p>
    <w:p w14:paraId="232F640A">
      <w:pPr>
        <w:spacing w:before="289" w:line="220" w:lineRule="auto"/>
        <w:ind w:left="981"/>
        <w:rPr>
          <w:rFonts w:ascii="宋体" w:hAnsi="宋体" w:eastAsia="宋体" w:cs="宋体"/>
          <w:sz w:val="28"/>
          <w:szCs w:val="28"/>
          <w:highlight w:val="none"/>
          <w:lang w:eastAsia="zh-CN"/>
        </w:rPr>
      </w:pPr>
      <w:r>
        <w:rPr>
          <w:rFonts w:ascii="宋体" w:hAnsi="宋体" w:eastAsia="宋体" w:cs="宋体"/>
          <w:spacing w:val="-1"/>
          <w:sz w:val="28"/>
          <w:szCs w:val="28"/>
          <w:highlight w:val="none"/>
          <w:lang w:eastAsia="zh-CN"/>
        </w:rPr>
        <w:t>代理人无转委托权。</w:t>
      </w:r>
    </w:p>
    <w:p w14:paraId="4D61B994">
      <w:pPr>
        <w:pStyle w:val="4"/>
        <w:spacing w:line="272" w:lineRule="auto"/>
        <w:rPr>
          <w:highlight w:val="none"/>
          <w:lang w:eastAsia="zh-CN"/>
        </w:rPr>
      </w:pPr>
    </w:p>
    <w:p w14:paraId="28BD8A01">
      <w:pPr>
        <w:pStyle w:val="4"/>
        <w:spacing w:line="273" w:lineRule="auto"/>
        <w:rPr>
          <w:highlight w:val="none"/>
          <w:lang w:eastAsia="zh-CN"/>
        </w:rPr>
      </w:pPr>
    </w:p>
    <w:p w14:paraId="15225A34">
      <w:pPr>
        <w:pStyle w:val="4"/>
        <w:spacing w:line="273" w:lineRule="auto"/>
        <w:rPr>
          <w:highlight w:val="none"/>
          <w:lang w:eastAsia="zh-CN"/>
        </w:rPr>
      </w:pPr>
    </w:p>
    <w:p w14:paraId="55E7CB82">
      <w:pPr>
        <w:spacing w:before="92" w:line="360" w:lineRule="auto"/>
        <w:ind w:left="3105"/>
        <w:rPr>
          <w:rFonts w:ascii="宋体" w:hAnsi="宋体" w:eastAsia="宋体" w:cs="宋体"/>
          <w:spacing w:val="-1"/>
          <w:sz w:val="28"/>
          <w:szCs w:val="28"/>
          <w:highlight w:val="none"/>
          <w:lang w:eastAsia="zh-CN"/>
        </w:rPr>
      </w:pPr>
      <w:r>
        <w:rPr>
          <w:rFonts w:ascii="宋体" w:hAnsi="宋体" w:eastAsia="宋体" w:cs="宋体"/>
          <w:spacing w:val="-1"/>
          <w:sz w:val="28"/>
          <w:szCs w:val="28"/>
          <w:highlight w:val="none"/>
          <w:lang w:eastAsia="zh-CN"/>
        </w:rPr>
        <w:t>供应商：（单位电子签章）</w:t>
      </w:r>
    </w:p>
    <w:p w14:paraId="2E6F790D">
      <w:pPr>
        <w:spacing w:before="92" w:line="360" w:lineRule="auto"/>
        <w:ind w:left="3105"/>
        <w:rPr>
          <w:rFonts w:ascii="宋体" w:hAnsi="宋体" w:eastAsia="宋体" w:cs="宋体"/>
          <w:spacing w:val="-1"/>
          <w:sz w:val="28"/>
          <w:szCs w:val="28"/>
          <w:highlight w:val="none"/>
          <w:lang w:eastAsia="zh-CN"/>
        </w:rPr>
      </w:pPr>
      <w:r>
        <w:rPr>
          <w:rFonts w:ascii="宋体" w:hAnsi="宋体" w:eastAsia="宋体" w:cs="宋体"/>
          <w:spacing w:val="-1"/>
          <w:sz w:val="28"/>
          <w:szCs w:val="28"/>
          <w:highlight w:val="none"/>
          <w:lang w:eastAsia="zh-CN"/>
        </w:rPr>
        <w:t>法定代表人：（法人电子签章）</w:t>
      </w:r>
    </w:p>
    <w:p w14:paraId="1EA2873C">
      <w:pPr>
        <w:spacing w:before="92" w:line="360" w:lineRule="auto"/>
        <w:ind w:left="3105"/>
        <w:rPr>
          <w:rFonts w:ascii="宋体" w:hAnsi="宋体" w:eastAsia="宋体" w:cs="宋体"/>
          <w:spacing w:val="-1"/>
          <w:sz w:val="28"/>
          <w:szCs w:val="28"/>
          <w:highlight w:val="none"/>
          <w:lang w:eastAsia="zh-CN"/>
        </w:rPr>
      </w:pPr>
      <w:r>
        <w:rPr>
          <w:rFonts w:ascii="宋体" w:hAnsi="宋体" w:eastAsia="宋体" w:cs="宋体"/>
          <w:spacing w:val="-1"/>
          <w:sz w:val="28"/>
          <w:szCs w:val="28"/>
          <w:highlight w:val="none"/>
          <w:lang w:eastAsia="zh-CN"/>
        </w:rPr>
        <w:t>法定代表人身份证号码：</w:t>
      </w:r>
    </w:p>
    <w:p w14:paraId="704D185F">
      <w:pPr>
        <w:spacing w:before="92" w:line="360" w:lineRule="auto"/>
        <w:ind w:left="3105"/>
        <w:rPr>
          <w:rFonts w:ascii="宋体" w:hAnsi="宋体" w:eastAsia="宋体" w:cs="宋体"/>
          <w:spacing w:val="-1"/>
          <w:sz w:val="28"/>
          <w:szCs w:val="28"/>
          <w:highlight w:val="none"/>
          <w:lang w:eastAsia="zh-CN"/>
        </w:rPr>
      </w:pPr>
      <w:r>
        <w:rPr>
          <w:rFonts w:ascii="宋体" w:hAnsi="宋体" w:eastAsia="宋体" w:cs="宋体"/>
          <w:spacing w:val="-1"/>
          <w:sz w:val="28"/>
          <w:szCs w:val="28"/>
          <w:highlight w:val="none"/>
          <w:lang w:eastAsia="zh-CN"/>
        </w:rPr>
        <w:t>委托代理人身份证号码：</w:t>
      </w:r>
    </w:p>
    <w:p w14:paraId="244EF266">
      <w:pPr>
        <w:spacing w:before="92" w:line="360" w:lineRule="auto"/>
        <w:ind w:left="3105"/>
        <w:rPr>
          <w:rFonts w:ascii="宋体" w:hAnsi="宋体" w:eastAsia="宋体" w:cs="宋体"/>
          <w:spacing w:val="-1"/>
          <w:sz w:val="28"/>
          <w:szCs w:val="28"/>
          <w:highlight w:val="none"/>
          <w:lang w:eastAsia="zh-CN"/>
        </w:rPr>
      </w:pPr>
      <w:r>
        <w:rPr>
          <w:rFonts w:ascii="宋体" w:hAnsi="宋体" w:eastAsia="宋体" w:cs="宋体"/>
          <w:spacing w:val="-1"/>
          <w:sz w:val="28"/>
          <w:szCs w:val="28"/>
          <w:highlight w:val="none"/>
          <w:lang w:eastAsia="zh-CN"/>
        </w:rPr>
        <w:t>日期：  年   月  日</w:t>
      </w:r>
    </w:p>
    <w:p w14:paraId="117EC69A">
      <w:pPr>
        <w:pStyle w:val="4"/>
        <w:spacing w:line="272" w:lineRule="auto"/>
        <w:rPr>
          <w:highlight w:val="none"/>
          <w:lang w:eastAsia="zh-CN"/>
        </w:rPr>
      </w:pPr>
    </w:p>
    <w:p w14:paraId="3C5B6DF8">
      <w:pPr>
        <w:pStyle w:val="4"/>
        <w:spacing w:line="273" w:lineRule="auto"/>
        <w:rPr>
          <w:highlight w:val="none"/>
          <w:lang w:eastAsia="zh-CN"/>
        </w:rPr>
      </w:pPr>
    </w:p>
    <w:p w14:paraId="6BFBCA97">
      <w:pPr>
        <w:pStyle w:val="4"/>
        <w:spacing w:line="273" w:lineRule="auto"/>
        <w:rPr>
          <w:highlight w:val="none"/>
          <w:lang w:eastAsia="zh-CN"/>
        </w:rPr>
      </w:pPr>
    </w:p>
    <w:p w14:paraId="759E9AAA">
      <w:pPr>
        <w:spacing w:before="91" w:line="219" w:lineRule="auto"/>
        <w:ind w:left="33"/>
        <w:rPr>
          <w:rFonts w:ascii="宋体" w:hAnsi="宋体" w:eastAsia="宋体" w:cs="宋体"/>
          <w:sz w:val="28"/>
          <w:szCs w:val="28"/>
          <w:highlight w:val="none"/>
          <w:lang w:eastAsia="zh-CN"/>
        </w:rPr>
      </w:pPr>
      <w:r>
        <w:rPr>
          <w:rFonts w:ascii="宋体" w:hAnsi="宋体" w:eastAsia="宋体" w:cs="宋体"/>
          <w:b/>
          <w:bCs/>
          <w:spacing w:val="-3"/>
          <w:sz w:val="28"/>
          <w:szCs w:val="28"/>
          <w:highlight w:val="none"/>
          <w:lang w:eastAsia="zh-CN"/>
        </w:rPr>
        <w:t>（后附委托代理人身份证正反面原件扫描件）</w:t>
      </w:r>
    </w:p>
    <w:p w14:paraId="11A4BDE6">
      <w:pPr>
        <w:pStyle w:val="4"/>
        <w:spacing w:line="253" w:lineRule="auto"/>
        <w:rPr>
          <w:highlight w:val="none"/>
          <w:lang w:eastAsia="zh-CN"/>
        </w:rPr>
      </w:pPr>
    </w:p>
    <w:p w14:paraId="69F99E1C">
      <w:pPr>
        <w:pStyle w:val="4"/>
        <w:spacing w:line="253" w:lineRule="auto"/>
        <w:rPr>
          <w:highlight w:val="none"/>
          <w:lang w:eastAsia="zh-CN"/>
        </w:rPr>
      </w:pPr>
    </w:p>
    <w:p w14:paraId="3BF6FD62">
      <w:pPr>
        <w:pStyle w:val="4"/>
        <w:spacing w:line="253" w:lineRule="auto"/>
        <w:rPr>
          <w:highlight w:val="none"/>
          <w:lang w:eastAsia="zh-CN"/>
        </w:rPr>
      </w:pPr>
    </w:p>
    <w:p w14:paraId="3F52840A">
      <w:pPr>
        <w:kinsoku/>
        <w:autoSpaceDE/>
        <w:autoSpaceDN/>
        <w:adjustRightInd/>
        <w:snapToGrid/>
        <w:textAlignment w:val="auto"/>
        <w:rPr>
          <w:rFonts w:ascii="宋体" w:hAnsi="宋体" w:eastAsia="宋体" w:cs="宋体"/>
          <w:b/>
          <w:bCs/>
          <w:spacing w:val="5"/>
          <w:sz w:val="31"/>
          <w:szCs w:val="31"/>
          <w:highlight w:val="none"/>
          <w:lang w:eastAsia="zh-CN"/>
        </w:rPr>
      </w:pPr>
      <w:r>
        <w:rPr>
          <w:rFonts w:ascii="宋体" w:hAnsi="宋体" w:eastAsia="宋体" w:cs="宋体"/>
          <w:b/>
          <w:bCs/>
          <w:spacing w:val="5"/>
          <w:sz w:val="31"/>
          <w:szCs w:val="31"/>
          <w:highlight w:val="none"/>
          <w:lang w:eastAsia="zh-CN"/>
        </w:rPr>
        <w:br w:type="page"/>
      </w:r>
    </w:p>
    <w:p w14:paraId="275E5D5D">
      <w:pPr>
        <w:spacing w:before="100" w:line="224" w:lineRule="auto"/>
        <w:jc w:val="center"/>
        <w:rPr>
          <w:rFonts w:ascii="宋体" w:hAnsi="宋体" w:eastAsia="宋体" w:cs="宋体"/>
          <w:b/>
          <w:bCs/>
          <w:spacing w:val="6"/>
          <w:sz w:val="31"/>
          <w:szCs w:val="31"/>
          <w:highlight w:val="none"/>
          <w:lang w:eastAsia="zh-CN"/>
        </w:rPr>
      </w:pPr>
      <w:r>
        <w:rPr>
          <w:rFonts w:ascii="宋体" w:hAnsi="宋体" w:eastAsia="宋体" w:cs="宋体"/>
          <w:b/>
          <w:bCs/>
          <w:spacing w:val="6"/>
          <w:sz w:val="31"/>
          <w:szCs w:val="31"/>
          <w:highlight w:val="none"/>
          <w:lang w:eastAsia="zh-CN"/>
        </w:rPr>
        <w:t>五、投标承诺函</w:t>
      </w:r>
    </w:p>
    <w:p w14:paraId="13250FE2">
      <w:pPr>
        <w:pStyle w:val="4"/>
        <w:spacing w:line="327" w:lineRule="auto"/>
        <w:rPr>
          <w:highlight w:val="none"/>
          <w:lang w:eastAsia="zh-CN"/>
        </w:rPr>
      </w:pPr>
    </w:p>
    <w:p w14:paraId="4FFD0ACA">
      <w:pPr>
        <w:wordWrap w:val="0"/>
        <w:spacing w:before="91" w:line="400" w:lineRule="exact"/>
        <w:ind w:left="204" w:right="289" w:firstLine="584"/>
        <w:jc w:val="both"/>
        <w:rPr>
          <w:rFonts w:ascii="宋体" w:hAnsi="宋体" w:eastAsia="宋体" w:cs="宋体"/>
          <w:spacing w:val="-1"/>
          <w:sz w:val="28"/>
          <w:szCs w:val="28"/>
          <w:highlight w:val="none"/>
          <w:lang w:eastAsia="zh-CN"/>
        </w:rPr>
      </w:pPr>
      <w:r>
        <w:rPr>
          <w:rFonts w:ascii="宋体" w:hAnsi="宋体" w:eastAsia="宋体" w:cs="宋体"/>
          <w:spacing w:val="-1"/>
          <w:sz w:val="28"/>
          <w:szCs w:val="28"/>
          <w:highlight w:val="none"/>
          <w:lang w:eastAsia="zh-CN"/>
        </w:rPr>
        <w:t>致：</w:t>
      </w:r>
      <w:r>
        <w:rPr>
          <w:rFonts w:hint="eastAsia" w:ascii="宋体" w:hAnsi="宋体" w:eastAsia="宋体" w:cs="宋体"/>
          <w:spacing w:val="-1"/>
          <w:sz w:val="28"/>
          <w:szCs w:val="28"/>
          <w:highlight w:val="none"/>
          <w:u w:val="single"/>
          <w:lang w:eastAsia="zh-CN"/>
        </w:rPr>
        <w:t xml:space="preserve">     </w:t>
      </w:r>
      <w:r>
        <w:rPr>
          <w:rFonts w:ascii="宋体" w:hAnsi="宋体" w:eastAsia="宋体" w:cs="宋体"/>
          <w:spacing w:val="-8"/>
          <w:sz w:val="28"/>
          <w:szCs w:val="28"/>
          <w:highlight w:val="none"/>
          <w:u w:val="single"/>
          <w:lang w:eastAsia="zh-CN"/>
        </w:rPr>
        <w:t>(采购人名称）</w:t>
      </w:r>
    </w:p>
    <w:p w14:paraId="04F15340">
      <w:pPr>
        <w:wordWrap w:val="0"/>
        <w:spacing w:before="91" w:line="400" w:lineRule="exact"/>
        <w:ind w:left="204" w:right="289" w:firstLine="584"/>
        <w:jc w:val="both"/>
        <w:rPr>
          <w:rFonts w:ascii="宋体" w:hAnsi="宋体" w:eastAsia="宋体" w:cs="宋体"/>
          <w:spacing w:val="-1"/>
          <w:sz w:val="28"/>
          <w:szCs w:val="28"/>
          <w:highlight w:val="none"/>
          <w:lang w:eastAsia="zh-CN"/>
        </w:rPr>
      </w:pPr>
      <w:r>
        <w:rPr>
          <w:rFonts w:ascii="宋体" w:hAnsi="宋体" w:eastAsia="宋体" w:cs="宋体"/>
          <w:spacing w:val="-1"/>
          <w:sz w:val="28"/>
          <w:szCs w:val="28"/>
          <w:highlight w:val="none"/>
          <w:lang w:eastAsia="zh-CN"/>
        </w:rPr>
        <w:t>我公司作为本次招标项目的供应商，根据招标文件要求，现郑重承诺如下：</w:t>
      </w:r>
    </w:p>
    <w:p w14:paraId="64379D12">
      <w:pPr>
        <w:wordWrap w:val="0"/>
        <w:spacing w:before="91" w:line="400" w:lineRule="exact"/>
        <w:ind w:left="204" w:right="289" w:firstLine="584"/>
        <w:jc w:val="both"/>
        <w:rPr>
          <w:rFonts w:ascii="宋体" w:hAnsi="宋体" w:eastAsia="宋体" w:cs="宋体"/>
          <w:spacing w:val="-1"/>
          <w:sz w:val="28"/>
          <w:szCs w:val="28"/>
          <w:highlight w:val="none"/>
          <w:lang w:eastAsia="zh-CN"/>
        </w:rPr>
      </w:pPr>
      <w:r>
        <w:rPr>
          <w:rFonts w:ascii="宋体" w:hAnsi="宋体" w:eastAsia="宋体" w:cs="宋体"/>
          <w:spacing w:val="-1"/>
          <w:sz w:val="28"/>
          <w:szCs w:val="28"/>
          <w:highlight w:val="none"/>
          <w:lang w:eastAsia="zh-CN"/>
        </w:rPr>
        <w:t>一、完全接受和满足本项目招标文件中规定的实质性要求，如对招标文件有异议，已经在开标截止时间届满前依法提出异议，不存在对招标文件有异议的同时又参加招标以求侥幸中标或者为实现其他非法目的的行为。</w:t>
      </w:r>
    </w:p>
    <w:p w14:paraId="54D26ED9">
      <w:pPr>
        <w:wordWrap w:val="0"/>
        <w:spacing w:before="91" w:line="400" w:lineRule="exact"/>
        <w:ind w:left="204" w:right="289" w:firstLine="584"/>
        <w:jc w:val="both"/>
        <w:rPr>
          <w:rFonts w:ascii="宋体" w:hAnsi="宋体" w:eastAsia="宋体" w:cs="宋体"/>
          <w:spacing w:val="-1"/>
          <w:sz w:val="28"/>
          <w:szCs w:val="28"/>
          <w:highlight w:val="none"/>
          <w:lang w:eastAsia="zh-CN"/>
        </w:rPr>
      </w:pPr>
      <w:r>
        <w:rPr>
          <w:rFonts w:ascii="宋体" w:hAnsi="宋体" w:eastAsia="宋体" w:cs="宋体"/>
          <w:spacing w:val="-1"/>
          <w:sz w:val="28"/>
          <w:szCs w:val="28"/>
          <w:highlight w:val="none"/>
          <w:lang w:eastAsia="zh-CN"/>
        </w:rPr>
        <w:t>二、参加本次招标活动，不存在和其他供应商在同一合同项目下的采购项目中，同时委托同一个自然人、同一家庭成员、同一单位的人员作为代理人的行为。</w:t>
      </w:r>
    </w:p>
    <w:p w14:paraId="40312075">
      <w:pPr>
        <w:wordWrap w:val="0"/>
        <w:spacing w:before="91" w:line="400" w:lineRule="exact"/>
        <w:ind w:left="204" w:right="289" w:firstLine="584"/>
        <w:jc w:val="both"/>
        <w:rPr>
          <w:rFonts w:ascii="宋体" w:hAnsi="宋体" w:eastAsia="宋体" w:cs="宋体"/>
          <w:spacing w:val="-1"/>
          <w:sz w:val="28"/>
          <w:szCs w:val="28"/>
          <w:highlight w:val="none"/>
          <w:lang w:eastAsia="zh-CN"/>
        </w:rPr>
      </w:pPr>
      <w:r>
        <w:rPr>
          <w:rFonts w:ascii="宋体" w:hAnsi="宋体" w:eastAsia="宋体" w:cs="宋体"/>
          <w:spacing w:val="-1"/>
          <w:sz w:val="28"/>
          <w:szCs w:val="28"/>
          <w:highlight w:val="none"/>
          <w:lang w:eastAsia="zh-CN"/>
        </w:rPr>
        <w:t>三、招标文件中提供的能够给予贵单位带来优惠的任何资料和技术、服务、商务等响应承诺情况都是真实、有效、合法的。</w:t>
      </w:r>
    </w:p>
    <w:p w14:paraId="08ABF69F">
      <w:pPr>
        <w:wordWrap w:val="0"/>
        <w:spacing w:before="91" w:line="400" w:lineRule="exact"/>
        <w:ind w:left="204" w:right="289" w:firstLine="584"/>
        <w:jc w:val="both"/>
        <w:rPr>
          <w:rFonts w:ascii="宋体" w:hAnsi="宋体" w:eastAsia="宋体" w:cs="宋体"/>
          <w:spacing w:val="-1"/>
          <w:sz w:val="28"/>
          <w:szCs w:val="28"/>
          <w:highlight w:val="none"/>
          <w:lang w:eastAsia="zh-CN"/>
        </w:rPr>
      </w:pPr>
      <w:r>
        <w:rPr>
          <w:rFonts w:ascii="宋体" w:hAnsi="宋体" w:eastAsia="宋体" w:cs="宋体"/>
          <w:spacing w:val="-1"/>
          <w:sz w:val="28"/>
          <w:szCs w:val="28"/>
          <w:highlight w:val="none"/>
          <w:lang w:eastAsia="zh-CN"/>
        </w:rPr>
        <w:t>四、存在以下行为之一的愿意接受相关部门的处理：</w:t>
      </w:r>
    </w:p>
    <w:p w14:paraId="0065C88B">
      <w:pPr>
        <w:wordWrap w:val="0"/>
        <w:spacing w:before="91" w:line="400" w:lineRule="exact"/>
        <w:ind w:left="204" w:right="289" w:firstLine="584"/>
        <w:jc w:val="both"/>
        <w:rPr>
          <w:rFonts w:ascii="宋体" w:hAnsi="宋体" w:eastAsia="宋体" w:cs="宋体"/>
          <w:spacing w:val="-1"/>
          <w:sz w:val="28"/>
          <w:szCs w:val="28"/>
          <w:highlight w:val="none"/>
          <w:lang w:eastAsia="zh-CN"/>
        </w:rPr>
      </w:pPr>
      <w:r>
        <w:rPr>
          <w:rFonts w:ascii="宋体" w:hAnsi="宋体" w:eastAsia="宋体" w:cs="宋体"/>
          <w:spacing w:val="-1"/>
          <w:sz w:val="28"/>
          <w:szCs w:val="28"/>
          <w:highlight w:val="none"/>
          <w:lang w:eastAsia="zh-CN"/>
        </w:rPr>
        <w:t>（一）投标有效期内撤销投标文件的；</w:t>
      </w:r>
    </w:p>
    <w:p w14:paraId="792D0BA9">
      <w:pPr>
        <w:wordWrap w:val="0"/>
        <w:spacing w:before="91" w:line="400" w:lineRule="exact"/>
        <w:ind w:left="204" w:right="289" w:firstLine="584"/>
        <w:jc w:val="both"/>
        <w:rPr>
          <w:rFonts w:ascii="宋体" w:hAnsi="宋体" w:eastAsia="宋体" w:cs="宋体"/>
          <w:spacing w:val="-1"/>
          <w:sz w:val="28"/>
          <w:szCs w:val="28"/>
          <w:highlight w:val="none"/>
          <w:lang w:eastAsia="zh-CN"/>
        </w:rPr>
      </w:pPr>
      <w:r>
        <w:rPr>
          <w:rFonts w:ascii="宋体" w:hAnsi="宋体" w:eastAsia="宋体" w:cs="宋体"/>
          <w:spacing w:val="-1"/>
          <w:sz w:val="28"/>
          <w:szCs w:val="28"/>
          <w:highlight w:val="none"/>
          <w:lang w:eastAsia="zh-CN"/>
        </w:rPr>
        <w:t>（二）在采购人确定成交人以前放弃中标候选资格的；</w:t>
      </w:r>
    </w:p>
    <w:p w14:paraId="3EBA79A7">
      <w:pPr>
        <w:wordWrap w:val="0"/>
        <w:spacing w:before="91" w:line="400" w:lineRule="exact"/>
        <w:ind w:left="204" w:right="289" w:firstLine="584"/>
        <w:jc w:val="both"/>
        <w:rPr>
          <w:rFonts w:ascii="宋体" w:hAnsi="宋体" w:eastAsia="宋体" w:cs="宋体"/>
          <w:spacing w:val="-1"/>
          <w:sz w:val="28"/>
          <w:szCs w:val="28"/>
          <w:highlight w:val="none"/>
          <w:lang w:eastAsia="zh-CN"/>
        </w:rPr>
      </w:pPr>
      <w:r>
        <w:rPr>
          <w:rFonts w:ascii="宋体" w:hAnsi="宋体" w:eastAsia="宋体" w:cs="宋体"/>
          <w:spacing w:val="-1"/>
          <w:sz w:val="28"/>
          <w:szCs w:val="28"/>
          <w:highlight w:val="none"/>
          <w:lang w:eastAsia="zh-CN"/>
        </w:rPr>
        <w:t>（三）由于成交人的原因未能按照招标文件的规定与采购人签订合同；</w:t>
      </w:r>
    </w:p>
    <w:p w14:paraId="2B1D531E">
      <w:pPr>
        <w:wordWrap w:val="0"/>
        <w:spacing w:before="91" w:line="400" w:lineRule="exact"/>
        <w:ind w:left="204" w:right="289" w:firstLine="584"/>
        <w:jc w:val="both"/>
        <w:rPr>
          <w:rFonts w:ascii="宋体" w:hAnsi="宋体" w:eastAsia="宋体" w:cs="宋体"/>
          <w:spacing w:val="-1"/>
          <w:sz w:val="28"/>
          <w:szCs w:val="28"/>
          <w:highlight w:val="none"/>
          <w:lang w:eastAsia="zh-CN"/>
        </w:rPr>
      </w:pPr>
      <w:r>
        <w:rPr>
          <w:rFonts w:ascii="宋体" w:hAnsi="宋体" w:eastAsia="宋体" w:cs="宋体"/>
          <w:spacing w:val="-1"/>
          <w:sz w:val="28"/>
          <w:szCs w:val="28"/>
          <w:highlight w:val="none"/>
          <w:lang w:eastAsia="zh-CN"/>
        </w:rPr>
        <w:t>（四）在响应文件中提供虚假材料谋取中标；</w:t>
      </w:r>
    </w:p>
    <w:p w14:paraId="2AC8EFEC">
      <w:pPr>
        <w:wordWrap w:val="0"/>
        <w:spacing w:before="91" w:line="400" w:lineRule="exact"/>
        <w:ind w:left="204" w:right="289" w:firstLine="584"/>
        <w:jc w:val="both"/>
        <w:rPr>
          <w:rFonts w:ascii="宋体" w:hAnsi="宋体" w:eastAsia="宋体" w:cs="宋体"/>
          <w:spacing w:val="-1"/>
          <w:sz w:val="28"/>
          <w:szCs w:val="28"/>
          <w:highlight w:val="none"/>
          <w:lang w:eastAsia="zh-CN"/>
        </w:rPr>
      </w:pPr>
      <w:r>
        <w:rPr>
          <w:rFonts w:ascii="宋体" w:hAnsi="宋体" w:eastAsia="宋体" w:cs="宋体"/>
          <w:spacing w:val="-1"/>
          <w:sz w:val="28"/>
          <w:szCs w:val="28"/>
          <w:highlight w:val="none"/>
          <w:lang w:eastAsia="zh-CN"/>
        </w:rPr>
        <w:t>（五）与采购人、其他供应商或者采购代理机构恶意串通的；</w:t>
      </w:r>
    </w:p>
    <w:p w14:paraId="540A1515">
      <w:pPr>
        <w:wordWrap w:val="0"/>
        <w:spacing w:before="91" w:line="400" w:lineRule="exact"/>
        <w:ind w:left="204" w:right="289" w:firstLine="584"/>
        <w:jc w:val="both"/>
        <w:rPr>
          <w:rFonts w:ascii="宋体" w:hAnsi="宋体" w:eastAsia="宋体" w:cs="宋体"/>
          <w:spacing w:val="-1"/>
          <w:sz w:val="28"/>
          <w:szCs w:val="28"/>
          <w:highlight w:val="none"/>
          <w:lang w:eastAsia="zh-CN"/>
        </w:rPr>
      </w:pPr>
      <w:r>
        <w:rPr>
          <w:rFonts w:ascii="宋体" w:hAnsi="宋体" w:eastAsia="宋体" w:cs="宋体"/>
          <w:spacing w:val="-1"/>
          <w:sz w:val="28"/>
          <w:szCs w:val="28"/>
          <w:highlight w:val="none"/>
          <w:lang w:eastAsia="zh-CN"/>
        </w:rPr>
        <w:t>（六）投标有效期内，供应商在政府采购活动中有违法、违规、违纪行为。由此产生的一切法律后果和责任由我公司承担。我公司声明放弃对此提出</w:t>
      </w:r>
    </w:p>
    <w:p w14:paraId="2818E20B">
      <w:pPr>
        <w:wordWrap w:val="0"/>
        <w:spacing w:before="91" w:line="400" w:lineRule="exact"/>
        <w:ind w:left="204" w:right="289" w:firstLine="584"/>
        <w:jc w:val="both"/>
        <w:rPr>
          <w:rFonts w:ascii="宋体" w:hAnsi="宋体" w:eastAsia="宋体" w:cs="宋体"/>
          <w:spacing w:val="-1"/>
          <w:sz w:val="28"/>
          <w:szCs w:val="28"/>
          <w:highlight w:val="none"/>
          <w:lang w:eastAsia="zh-CN"/>
        </w:rPr>
      </w:pPr>
      <w:r>
        <w:rPr>
          <w:rFonts w:ascii="宋体" w:hAnsi="宋体" w:eastAsia="宋体" w:cs="宋体"/>
          <w:spacing w:val="-1"/>
          <w:sz w:val="28"/>
          <w:szCs w:val="28"/>
          <w:highlight w:val="none"/>
          <w:lang w:eastAsia="zh-CN"/>
        </w:rPr>
        <w:t>任何异议和追索的权利。</w:t>
      </w:r>
    </w:p>
    <w:p w14:paraId="59971BE5">
      <w:pPr>
        <w:wordWrap w:val="0"/>
        <w:spacing w:before="91" w:line="400" w:lineRule="exact"/>
        <w:ind w:left="204" w:right="289" w:firstLine="584"/>
        <w:jc w:val="both"/>
        <w:rPr>
          <w:rFonts w:ascii="宋体" w:hAnsi="宋体" w:eastAsia="宋体" w:cs="宋体"/>
          <w:spacing w:val="-1"/>
          <w:sz w:val="28"/>
          <w:szCs w:val="28"/>
          <w:highlight w:val="none"/>
          <w:lang w:eastAsia="zh-CN"/>
        </w:rPr>
      </w:pPr>
      <w:r>
        <w:rPr>
          <w:rFonts w:ascii="宋体" w:hAnsi="宋体" w:eastAsia="宋体" w:cs="宋体"/>
          <w:spacing w:val="-1"/>
          <w:sz w:val="28"/>
          <w:szCs w:val="28"/>
          <w:highlight w:val="none"/>
          <w:lang w:eastAsia="zh-CN"/>
        </w:rPr>
        <w:t>本公司对上述承诺的内容事项真实性负责。如经查实上述承诺的内容事项存在虚假，我公司愿意接受以提供虚假材料谋取中标追究法律责任，愿承担由此造成的一切法律后果。</w:t>
      </w:r>
    </w:p>
    <w:p w14:paraId="5493DF1F">
      <w:pPr>
        <w:wordWrap w:val="0"/>
        <w:spacing w:before="91" w:line="400" w:lineRule="exact"/>
        <w:ind w:left="204" w:right="289" w:firstLine="584"/>
        <w:jc w:val="right"/>
        <w:rPr>
          <w:rFonts w:ascii="宋体" w:hAnsi="宋体" w:eastAsia="宋体" w:cs="宋体"/>
          <w:spacing w:val="-1"/>
          <w:sz w:val="28"/>
          <w:szCs w:val="28"/>
          <w:highlight w:val="none"/>
          <w:lang w:eastAsia="zh-CN"/>
        </w:rPr>
      </w:pPr>
    </w:p>
    <w:p w14:paraId="27E5546E">
      <w:pPr>
        <w:wordWrap w:val="0"/>
        <w:spacing w:before="91" w:line="400" w:lineRule="exact"/>
        <w:ind w:left="204" w:right="289" w:firstLine="584"/>
        <w:jc w:val="center"/>
        <w:rPr>
          <w:rFonts w:ascii="宋体" w:hAnsi="宋体" w:eastAsia="宋体" w:cs="宋体"/>
          <w:spacing w:val="-1"/>
          <w:sz w:val="28"/>
          <w:szCs w:val="28"/>
          <w:highlight w:val="none"/>
          <w:lang w:eastAsia="zh-CN"/>
        </w:rPr>
      </w:pPr>
      <w:r>
        <w:rPr>
          <w:rFonts w:hint="eastAsia" w:ascii="宋体" w:hAnsi="宋体" w:eastAsia="宋体" w:cs="宋体"/>
          <w:spacing w:val="-1"/>
          <w:sz w:val="28"/>
          <w:szCs w:val="28"/>
          <w:highlight w:val="none"/>
          <w:lang w:eastAsia="zh-CN"/>
        </w:rPr>
        <w:t xml:space="preserve">                   </w:t>
      </w:r>
      <w:r>
        <w:rPr>
          <w:rFonts w:ascii="宋体" w:hAnsi="宋体" w:eastAsia="宋体" w:cs="宋体"/>
          <w:spacing w:val="-1"/>
          <w:sz w:val="28"/>
          <w:szCs w:val="28"/>
          <w:highlight w:val="none"/>
          <w:lang w:eastAsia="zh-CN"/>
        </w:rPr>
        <w:t>供应商：（单位电子签章）</w:t>
      </w:r>
    </w:p>
    <w:p w14:paraId="380359A4">
      <w:pPr>
        <w:wordWrap w:val="0"/>
        <w:spacing w:before="91" w:line="400" w:lineRule="exact"/>
        <w:ind w:left="204" w:right="289" w:firstLine="584"/>
        <w:jc w:val="center"/>
        <w:rPr>
          <w:rFonts w:ascii="宋体" w:hAnsi="宋体" w:eastAsia="宋体" w:cs="宋体"/>
          <w:spacing w:val="-1"/>
          <w:sz w:val="28"/>
          <w:szCs w:val="28"/>
          <w:highlight w:val="none"/>
          <w:lang w:eastAsia="zh-CN"/>
        </w:rPr>
      </w:pPr>
      <w:r>
        <w:rPr>
          <w:rFonts w:hint="eastAsia" w:ascii="宋体" w:hAnsi="宋体" w:eastAsia="宋体" w:cs="宋体"/>
          <w:spacing w:val="-1"/>
          <w:sz w:val="28"/>
          <w:szCs w:val="28"/>
          <w:highlight w:val="none"/>
          <w:lang w:eastAsia="zh-CN"/>
        </w:rPr>
        <w:t xml:space="preserve">                       </w:t>
      </w:r>
      <w:r>
        <w:rPr>
          <w:rFonts w:ascii="宋体" w:hAnsi="宋体" w:eastAsia="宋体" w:cs="宋体"/>
          <w:spacing w:val="-1"/>
          <w:sz w:val="28"/>
          <w:szCs w:val="28"/>
          <w:highlight w:val="none"/>
          <w:lang w:eastAsia="zh-CN"/>
        </w:rPr>
        <w:t>法定代表人：（法人电子签章）</w:t>
      </w:r>
    </w:p>
    <w:p w14:paraId="570635C1">
      <w:pPr>
        <w:wordWrap w:val="0"/>
        <w:spacing w:before="91" w:line="400" w:lineRule="exact"/>
        <w:ind w:left="204" w:right="289" w:firstLine="584"/>
        <w:jc w:val="center"/>
        <w:rPr>
          <w:rFonts w:ascii="宋体" w:hAnsi="宋体" w:eastAsia="宋体" w:cs="宋体"/>
          <w:spacing w:val="-1"/>
          <w:sz w:val="28"/>
          <w:szCs w:val="28"/>
          <w:highlight w:val="none"/>
          <w:lang w:eastAsia="zh-CN"/>
        </w:rPr>
      </w:pPr>
      <w:r>
        <w:rPr>
          <w:rFonts w:hint="eastAsia" w:ascii="宋体" w:hAnsi="宋体" w:eastAsia="宋体" w:cs="宋体"/>
          <w:spacing w:val="-1"/>
          <w:sz w:val="28"/>
          <w:szCs w:val="28"/>
          <w:highlight w:val="none"/>
          <w:lang w:eastAsia="zh-CN"/>
        </w:rPr>
        <w:t xml:space="preserve">              </w:t>
      </w:r>
      <w:r>
        <w:rPr>
          <w:rFonts w:ascii="宋体" w:hAnsi="宋体" w:eastAsia="宋体" w:cs="宋体"/>
          <w:spacing w:val="-1"/>
          <w:sz w:val="28"/>
          <w:szCs w:val="28"/>
          <w:highlight w:val="none"/>
          <w:lang w:eastAsia="zh-CN"/>
        </w:rPr>
        <w:t>日期：  年   月  日</w:t>
      </w:r>
    </w:p>
    <w:p w14:paraId="0C93E978">
      <w:pPr>
        <w:wordWrap w:val="0"/>
        <w:spacing w:before="91" w:line="413" w:lineRule="auto"/>
        <w:ind w:left="204" w:right="289" w:firstLine="584"/>
        <w:jc w:val="both"/>
        <w:rPr>
          <w:rFonts w:ascii="宋体" w:hAnsi="宋体" w:eastAsia="宋体" w:cs="宋体"/>
          <w:spacing w:val="-1"/>
          <w:sz w:val="28"/>
          <w:szCs w:val="28"/>
          <w:highlight w:val="none"/>
          <w:lang w:eastAsia="zh-CN"/>
        </w:rPr>
      </w:pPr>
      <w:r>
        <w:rPr>
          <w:rFonts w:ascii="宋体" w:hAnsi="宋体" w:eastAsia="宋体" w:cs="宋体"/>
          <w:spacing w:val="-1"/>
          <w:sz w:val="28"/>
          <w:szCs w:val="28"/>
          <w:highlight w:val="none"/>
          <w:lang w:eastAsia="zh-CN"/>
        </w:rPr>
        <w:br w:type="page"/>
      </w:r>
    </w:p>
    <w:p w14:paraId="5B4EE083">
      <w:pPr>
        <w:spacing w:before="101" w:line="222" w:lineRule="auto"/>
        <w:ind w:left="3164"/>
        <w:rPr>
          <w:rFonts w:ascii="宋体" w:hAnsi="宋体" w:eastAsia="宋体" w:cs="宋体"/>
          <w:sz w:val="31"/>
          <w:szCs w:val="31"/>
          <w:highlight w:val="none"/>
          <w:lang w:eastAsia="zh-CN"/>
        </w:rPr>
      </w:pPr>
      <w:r>
        <w:rPr>
          <w:rFonts w:ascii="宋体" w:hAnsi="宋体" w:eastAsia="宋体" w:cs="宋体"/>
          <w:b/>
          <w:bCs/>
          <w:spacing w:val="6"/>
          <w:sz w:val="31"/>
          <w:szCs w:val="31"/>
          <w:highlight w:val="none"/>
          <w:lang w:eastAsia="zh-CN"/>
        </w:rPr>
        <w:t>六、投标供应商情况</w:t>
      </w:r>
    </w:p>
    <w:tbl>
      <w:tblPr>
        <w:tblStyle w:val="32"/>
        <w:tblW w:w="91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56"/>
        <w:gridCol w:w="960"/>
        <w:gridCol w:w="278"/>
        <w:gridCol w:w="1811"/>
        <w:gridCol w:w="170"/>
        <w:gridCol w:w="1387"/>
        <w:gridCol w:w="223"/>
        <w:gridCol w:w="2301"/>
      </w:tblGrid>
      <w:tr w14:paraId="2DFA4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2056" w:type="dxa"/>
          </w:tcPr>
          <w:p w14:paraId="55241D60">
            <w:pPr>
              <w:spacing w:line="259" w:lineRule="auto"/>
              <w:rPr>
                <w:highlight w:val="none"/>
                <w:lang w:eastAsia="zh-CN"/>
              </w:rPr>
            </w:pPr>
          </w:p>
          <w:p w14:paraId="64E2478B">
            <w:pPr>
              <w:pStyle w:val="33"/>
              <w:spacing w:before="78" w:line="220" w:lineRule="auto"/>
              <w:ind w:left="120"/>
              <w:rPr>
                <w:highlight w:val="none"/>
              </w:rPr>
            </w:pPr>
            <w:r>
              <w:rPr>
                <w:spacing w:val="-2"/>
                <w:highlight w:val="none"/>
              </w:rPr>
              <w:t>投标人名称</w:t>
            </w:r>
          </w:p>
        </w:tc>
        <w:tc>
          <w:tcPr>
            <w:tcW w:w="7130" w:type="dxa"/>
            <w:gridSpan w:val="7"/>
          </w:tcPr>
          <w:p w14:paraId="44464A92">
            <w:pPr>
              <w:rPr>
                <w:highlight w:val="none"/>
              </w:rPr>
            </w:pPr>
          </w:p>
        </w:tc>
      </w:tr>
      <w:tr w14:paraId="2EBAE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2056" w:type="dxa"/>
          </w:tcPr>
          <w:p w14:paraId="6ABE7623">
            <w:pPr>
              <w:spacing w:line="252" w:lineRule="auto"/>
              <w:rPr>
                <w:highlight w:val="none"/>
              </w:rPr>
            </w:pPr>
          </w:p>
          <w:p w14:paraId="62DD2E22">
            <w:pPr>
              <w:pStyle w:val="33"/>
              <w:spacing w:before="78" w:line="221" w:lineRule="auto"/>
              <w:ind w:left="117"/>
              <w:rPr>
                <w:highlight w:val="none"/>
              </w:rPr>
            </w:pPr>
            <w:r>
              <w:rPr>
                <w:spacing w:val="-2"/>
                <w:highlight w:val="none"/>
              </w:rPr>
              <w:t>注册地址</w:t>
            </w:r>
          </w:p>
        </w:tc>
        <w:tc>
          <w:tcPr>
            <w:tcW w:w="3219" w:type="dxa"/>
            <w:gridSpan w:val="4"/>
          </w:tcPr>
          <w:p w14:paraId="1A888D48">
            <w:pPr>
              <w:rPr>
                <w:highlight w:val="none"/>
              </w:rPr>
            </w:pPr>
          </w:p>
        </w:tc>
        <w:tc>
          <w:tcPr>
            <w:tcW w:w="1610" w:type="dxa"/>
            <w:gridSpan w:val="2"/>
          </w:tcPr>
          <w:p w14:paraId="37857911">
            <w:pPr>
              <w:spacing w:line="251" w:lineRule="auto"/>
              <w:rPr>
                <w:highlight w:val="none"/>
              </w:rPr>
            </w:pPr>
          </w:p>
          <w:p w14:paraId="7F022618">
            <w:pPr>
              <w:pStyle w:val="33"/>
              <w:spacing w:before="78" w:line="220" w:lineRule="auto"/>
              <w:ind w:left="133"/>
              <w:rPr>
                <w:highlight w:val="none"/>
              </w:rPr>
            </w:pPr>
            <w:r>
              <w:rPr>
                <w:spacing w:val="-6"/>
                <w:highlight w:val="none"/>
              </w:rPr>
              <w:t>邮政编码</w:t>
            </w:r>
          </w:p>
        </w:tc>
        <w:tc>
          <w:tcPr>
            <w:tcW w:w="2301" w:type="dxa"/>
          </w:tcPr>
          <w:p w14:paraId="49BE2096">
            <w:pPr>
              <w:rPr>
                <w:highlight w:val="none"/>
              </w:rPr>
            </w:pPr>
          </w:p>
        </w:tc>
      </w:tr>
      <w:tr w14:paraId="618B6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2056" w:type="dxa"/>
            <w:vMerge w:val="restart"/>
            <w:tcBorders>
              <w:bottom w:val="nil"/>
            </w:tcBorders>
          </w:tcPr>
          <w:p w14:paraId="63186477">
            <w:pPr>
              <w:spacing w:line="251" w:lineRule="auto"/>
              <w:rPr>
                <w:highlight w:val="none"/>
              </w:rPr>
            </w:pPr>
          </w:p>
          <w:p w14:paraId="6374F175">
            <w:pPr>
              <w:spacing w:line="251" w:lineRule="auto"/>
              <w:rPr>
                <w:highlight w:val="none"/>
              </w:rPr>
            </w:pPr>
          </w:p>
          <w:p w14:paraId="4615C268">
            <w:pPr>
              <w:spacing w:line="252" w:lineRule="auto"/>
              <w:rPr>
                <w:highlight w:val="none"/>
              </w:rPr>
            </w:pPr>
          </w:p>
          <w:p w14:paraId="67342624">
            <w:pPr>
              <w:pStyle w:val="33"/>
              <w:spacing w:before="78" w:line="221" w:lineRule="auto"/>
              <w:ind w:left="118"/>
              <w:rPr>
                <w:highlight w:val="none"/>
              </w:rPr>
            </w:pPr>
            <w:r>
              <w:rPr>
                <w:spacing w:val="-2"/>
                <w:highlight w:val="none"/>
              </w:rPr>
              <w:t>联系方式</w:t>
            </w:r>
          </w:p>
        </w:tc>
        <w:tc>
          <w:tcPr>
            <w:tcW w:w="1238" w:type="dxa"/>
            <w:gridSpan w:val="2"/>
            <w:vMerge w:val="restart"/>
            <w:tcBorders>
              <w:bottom w:val="nil"/>
            </w:tcBorders>
          </w:tcPr>
          <w:p w14:paraId="04617B38">
            <w:pPr>
              <w:spacing w:line="299" w:lineRule="auto"/>
              <w:rPr>
                <w:highlight w:val="none"/>
              </w:rPr>
            </w:pPr>
          </w:p>
          <w:p w14:paraId="27ECC204">
            <w:pPr>
              <w:spacing w:line="299" w:lineRule="auto"/>
              <w:rPr>
                <w:highlight w:val="none"/>
              </w:rPr>
            </w:pPr>
          </w:p>
          <w:p w14:paraId="1416F15B">
            <w:pPr>
              <w:pStyle w:val="33"/>
              <w:spacing w:before="78" w:line="222" w:lineRule="auto"/>
              <w:ind w:left="111"/>
              <w:rPr>
                <w:highlight w:val="none"/>
              </w:rPr>
            </w:pPr>
            <w:r>
              <w:rPr>
                <w:spacing w:val="-3"/>
                <w:highlight w:val="none"/>
              </w:rPr>
              <w:t>联系人</w:t>
            </w:r>
          </w:p>
        </w:tc>
        <w:tc>
          <w:tcPr>
            <w:tcW w:w="1981" w:type="dxa"/>
            <w:gridSpan w:val="2"/>
            <w:vMerge w:val="restart"/>
            <w:tcBorders>
              <w:bottom w:val="nil"/>
            </w:tcBorders>
          </w:tcPr>
          <w:p w14:paraId="47252ABC">
            <w:pPr>
              <w:rPr>
                <w:highlight w:val="none"/>
              </w:rPr>
            </w:pPr>
          </w:p>
        </w:tc>
        <w:tc>
          <w:tcPr>
            <w:tcW w:w="1610" w:type="dxa"/>
            <w:gridSpan w:val="2"/>
          </w:tcPr>
          <w:p w14:paraId="5945677A">
            <w:pPr>
              <w:spacing w:line="253" w:lineRule="auto"/>
              <w:rPr>
                <w:highlight w:val="none"/>
              </w:rPr>
            </w:pPr>
          </w:p>
          <w:p w14:paraId="6669522C">
            <w:pPr>
              <w:pStyle w:val="33"/>
              <w:spacing w:before="78" w:line="222" w:lineRule="auto"/>
              <w:ind w:left="143"/>
              <w:rPr>
                <w:highlight w:val="none"/>
              </w:rPr>
            </w:pPr>
            <w:r>
              <w:rPr>
                <w:spacing w:val="-10"/>
                <w:highlight w:val="none"/>
              </w:rPr>
              <w:t>电话</w:t>
            </w:r>
          </w:p>
        </w:tc>
        <w:tc>
          <w:tcPr>
            <w:tcW w:w="2301" w:type="dxa"/>
          </w:tcPr>
          <w:p w14:paraId="51ABCC60">
            <w:pPr>
              <w:rPr>
                <w:highlight w:val="none"/>
              </w:rPr>
            </w:pPr>
          </w:p>
        </w:tc>
      </w:tr>
      <w:tr w14:paraId="3F405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2056" w:type="dxa"/>
            <w:vMerge w:val="continue"/>
            <w:tcBorders>
              <w:top w:val="nil"/>
            </w:tcBorders>
          </w:tcPr>
          <w:p w14:paraId="7DDE57A9">
            <w:pPr>
              <w:rPr>
                <w:highlight w:val="none"/>
              </w:rPr>
            </w:pPr>
          </w:p>
        </w:tc>
        <w:tc>
          <w:tcPr>
            <w:tcW w:w="1238" w:type="dxa"/>
            <w:gridSpan w:val="2"/>
            <w:vMerge w:val="continue"/>
            <w:tcBorders>
              <w:top w:val="nil"/>
            </w:tcBorders>
          </w:tcPr>
          <w:p w14:paraId="3ADB3B0E">
            <w:pPr>
              <w:rPr>
                <w:highlight w:val="none"/>
              </w:rPr>
            </w:pPr>
          </w:p>
        </w:tc>
        <w:tc>
          <w:tcPr>
            <w:tcW w:w="1981" w:type="dxa"/>
            <w:gridSpan w:val="2"/>
            <w:vMerge w:val="continue"/>
            <w:tcBorders>
              <w:top w:val="nil"/>
            </w:tcBorders>
          </w:tcPr>
          <w:p w14:paraId="4F611DDF">
            <w:pPr>
              <w:rPr>
                <w:highlight w:val="none"/>
              </w:rPr>
            </w:pPr>
          </w:p>
        </w:tc>
        <w:tc>
          <w:tcPr>
            <w:tcW w:w="1610" w:type="dxa"/>
            <w:gridSpan w:val="2"/>
          </w:tcPr>
          <w:p w14:paraId="28707338">
            <w:pPr>
              <w:spacing w:line="254" w:lineRule="auto"/>
              <w:rPr>
                <w:highlight w:val="none"/>
              </w:rPr>
            </w:pPr>
          </w:p>
          <w:p w14:paraId="1D4E67AB">
            <w:pPr>
              <w:pStyle w:val="33"/>
              <w:spacing w:before="78" w:line="220" w:lineRule="auto"/>
              <w:ind w:left="133"/>
              <w:rPr>
                <w:highlight w:val="none"/>
              </w:rPr>
            </w:pPr>
            <w:r>
              <w:rPr>
                <w:spacing w:val="-7"/>
                <w:highlight w:val="none"/>
              </w:rPr>
              <w:t>邮箱</w:t>
            </w:r>
          </w:p>
        </w:tc>
        <w:tc>
          <w:tcPr>
            <w:tcW w:w="2301" w:type="dxa"/>
          </w:tcPr>
          <w:p w14:paraId="48256F40">
            <w:pPr>
              <w:rPr>
                <w:highlight w:val="none"/>
              </w:rPr>
            </w:pPr>
          </w:p>
        </w:tc>
      </w:tr>
      <w:tr w14:paraId="70E04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2056" w:type="dxa"/>
          </w:tcPr>
          <w:p w14:paraId="7BE65B02">
            <w:pPr>
              <w:spacing w:line="254" w:lineRule="auto"/>
              <w:rPr>
                <w:highlight w:val="none"/>
              </w:rPr>
            </w:pPr>
          </w:p>
          <w:p w14:paraId="1BEE5AC1">
            <w:pPr>
              <w:pStyle w:val="33"/>
              <w:spacing w:before="78" w:line="219" w:lineRule="auto"/>
              <w:ind w:left="120"/>
              <w:rPr>
                <w:highlight w:val="none"/>
              </w:rPr>
            </w:pPr>
            <w:r>
              <w:rPr>
                <w:spacing w:val="-2"/>
                <w:highlight w:val="none"/>
              </w:rPr>
              <w:t>组织机构类型</w:t>
            </w:r>
          </w:p>
        </w:tc>
        <w:tc>
          <w:tcPr>
            <w:tcW w:w="7130" w:type="dxa"/>
            <w:gridSpan w:val="7"/>
          </w:tcPr>
          <w:p w14:paraId="0827338E">
            <w:pPr>
              <w:rPr>
                <w:highlight w:val="none"/>
              </w:rPr>
            </w:pPr>
          </w:p>
        </w:tc>
      </w:tr>
      <w:tr w14:paraId="7AC41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2056" w:type="dxa"/>
          </w:tcPr>
          <w:p w14:paraId="6E4628F1">
            <w:pPr>
              <w:spacing w:line="254" w:lineRule="auto"/>
              <w:rPr>
                <w:highlight w:val="none"/>
              </w:rPr>
            </w:pPr>
          </w:p>
          <w:p w14:paraId="5125D058">
            <w:pPr>
              <w:pStyle w:val="33"/>
              <w:spacing w:before="78" w:line="220" w:lineRule="auto"/>
              <w:ind w:left="118"/>
              <w:rPr>
                <w:highlight w:val="none"/>
              </w:rPr>
            </w:pPr>
            <w:r>
              <w:rPr>
                <w:spacing w:val="-2"/>
                <w:highlight w:val="none"/>
              </w:rPr>
              <w:t>法定代表人</w:t>
            </w:r>
          </w:p>
        </w:tc>
        <w:tc>
          <w:tcPr>
            <w:tcW w:w="960" w:type="dxa"/>
          </w:tcPr>
          <w:p w14:paraId="09EF0D22">
            <w:pPr>
              <w:spacing w:line="254" w:lineRule="auto"/>
              <w:rPr>
                <w:highlight w:val="none"/>
              </w:rPr>
            </w:pPr>
          </w:p>
          <w:p w14:paraId="3BBB7200">
            <w:pPr>
              <w:pStyle w:val="33"/>
              <w:spacing w:before="78" w:line="220" w:lineRule="auto"/>
              <w:ind w:left="110"/>
              <w:rPr>
                <w:highlight w:val="none"/>
              </w:rPr>
            </w:pPr>
            <w:r>
              <w:rPr>
                <w:spacing w:val="-3"/>
                <w:highlight w:val="none"/>
              </w:rPr>
              <w:t>姓名</w:t>
            </w:r>
          </w:p>
        </w:tc>
        <w:tc>
          <w:tcPr>
            <w:tcW w:w="2089" w:type="dxa"/>
            <w:gridSpan w:val="2"/>
          </w:tcPr>
          <w:p w14:paraId="45B7C313">
            <w:pPr>
              <w:rPr>
                <w:highlight w:val="none"/>
              </w:rPr>
            </w:pPr>
          </w:p>
        </w:tc>
        <w:tc>
          <w:tcPr>
            <w:tcW w:w="1557" w:type="dxa"/>
            <w:gridSpan w:val="2"/>
          </w:tcPr>
          <w:p w14:paraId="76459A05">
            <w:pPr>
              <w:spacing w:line="254" w:lineRule="auto"/>
              <w:rPr>
                <w:highlight w:val="none"/>
              </w:rPr>
            </w:pPr>
          </w:p>
          <w:p w14:paraId="658781B8">
            <w:pPr>
              <w:pStyle w:val="33"/>
              <w:spacing w:before="78" w:line="220" w:lineRule="auto"/>
              <w:ind w:left="116"/>
              <w:rPr>
                <w:highlight w:val="none"/>
              </w:rPr>
            </w:pPr>
            <w:r>
              <w:rPr>
                <w:spacing w:val="-3"/>
                <w:highlight w:val="none"/>
              </w:rPr>
              <w:t>职务</w:t>
            </w:r>
          </w:p>
        </w:tc>
        <w:tc>
          <w:tcPr>
            <w:tcW w:w="2524" w:type="dxa"/>
            <w:gridSpan w:val="2"/>
          </w:tcPr>
          <w:p w14:paraId="08936CCE">
            <w:pPr>
              <w:rPr>
                <w:highlight w:val="none"/>
              </w:rPr>
            </w:pPr>
          </w:p>
        </w:tc>
      </w:tr>
      <w:tr w14:paraId="07334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2056" w:type="dxa"/>
          </w:tcPr>
          <w:p w14:paraId="0A7AB29B">
            <w:pPr>
              <w:spacing w:line="255" w:lineRule="auto"/>
              <w:rPr>
                <w:highlight w:val="none"/>
              </w:rPr>
            </w:pPr>
          </w:p>
          <w:p w14:paraId="2E7AFCE5">
            <w:pPr>
              <w:pStyle w:val="33"/>
              <w:spacing w:before="78" w:line="221" w:lineRule="auto"/>
              <w:ind w:left="119"/>
              <w:rPr>
                <w:highlight w:val="none"/>
              </w:rPr>
            </w:pPr>
            <w:r>
              <w:rPr>
                <w:spacing w:val="-3"/>
                <w:highlight w:val="none"/>
              </w:rPr>
              <w:t>成立时间</w:t>
            </w:r>
          </w:p>
        </w:tc>
        <w:tc>
          <w:tcPr>
            <w:tcW w:w="3049" w:type="dxa"/>
            <w:gridSpan w:val="3"/>
          </w:tcPr>
          <w:p w14:paraId="62FB90E4">
            <w:pPr>
              <w:rPr>
                <w:highlight w:val="none"/>
              </w:rPr>
            </w:pPr>
          </w:p>
        </w:tc>
        <w:tc>
          <w:tcPr>
            <w:tcW w:w="4081" w:type="dxa"/>
            <w:gridSpan w:val="4"/>
          </w:tcPr>
          <w:p w14:paraId="7F4A6688">
            <w:pPr>
              <w:spacing w:line="254" w:lineRule="auto"/>
              <w:rPr>
                <w:highlight w:val="none"/>
              </w:rPr>
            </w:pPr>
          </w:p>
          <w:p w14:paraId="776B0F9B">
            <w:pPr>
              <w:pStyle w:val="33"/>
              <w:spacing w:before="78" w:line="220" w:lineRule="auto"/>
              <w:ind w:left="124"/>
              <w:rPr>
                <w:highlight w:val="none"/>
              </w:rPr>
            </w:pPr>
            <w:r>
              <w:rPr>
                <w:spacing w:val="-11"/>
                <w:highlight w:val="none"/>
              </w:rPr>
              <w:t>员工总人数：</w:t>
            </w:r>
          </w:p>
        </w:tc>
      </w:tr>
      <w:tr w14:paraId="28FAE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2056" w:type="dxa"/>
          </w:tcPr>
          <w:p w14:paraId="5FD02D8D">
            <w:pPr>
              <w:spacing w:line="254" w:lineRule="auto"/>
              <w:rPr>
                <w:highlight w:val="none"/>
              </w:rPr>
            </w:pPr>
          </w:p>
          <w:p w14:paraId="7C07ADD4">
            <w:pPr>
              <w:pStyle w:val="33"/>
              <w:spacing w:before="78" w:line="220" w:lineRule="auto"/>
              <w:ind w:left="124"/>
              <w:rPr>
                <w:highlight w:val="none"/>
              </w:rPr>
            </w:pPr>
            <w:r>
              <w:rPr>
                <w:spacing w:val="-3"/>
                <w:highlight w:val="none"/>
              </w:rPr>
              <w:t>营业执照号</w:t>
            </w:r>
          </w:p>
        </w:tc>
        <w:tc>
          <w:tcPr>
            <w:tcW w:w="7130" w:type="dxa"/>
            <w:gridSpan w:val="7"/>
          </w:tcPr>
          <w:p w14:paraId="4C794729">
            <w:pPr>
              <w:rPr>
                <w:highlight w:val="none"/>
              </w:rPr>
            </w:pPr>
          </w:p>
        </w:tc>
      </w:tr>
      <w:tr w14:paraId="00E39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2056" w:type="dxa"/>
          </w:tcPr>
          <w:p w14:paraId="4D7020D1">
            <w:pPr>
              <w:spacing w:line="255" w:lineRule="auto"/>
              <w:rPr>
                <w:highlight w:val="none"/>
              </w:rPr>
            </w:pPr>
          </w:p>
          <w:p w14:paraId="06D98BD5">
            <w:pPr>
              <w:pStyle w:val="33"/>
              <w:spacing w:before="78" w:line="221" w:lineRule="auto"/>
              <w:ind w:left="117"/>
              <w:rPr>
                <w:highlight w:val="none"/>
              </w:rPr>
            </w:pPr>
            <w:r>
              <w:rPr>
                <w:spacing w:val="-2"/>
                <w:highlight w:val="none"/>
              </w:rPr>
              <w:t>注册资金</w:t>
            </w:r>
          </w:p>
        </w:tc>
        <w:tc>
          <w:tcPr>
            <w:tcW w:w="7130" w:type="dxa"/>
            <w:gridSpan w:val="7"/>
          </w:tcPr>
          <w:p w14:paraId="5612D5CD">
            <w:pPr>
              <w:rPr>
                <w:highlight w:val="none"/>
              </w:rPr>
            </w:pPr>
          </w:p>
        </w:tc>
      </w:tr>
      <w:tr w14:paraId="68E25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2056" w:type="dxa"/>
            <w:tcBorders>
              <w:bottom w:val="single" w:color="000000" w:sz="4" w:space="0"/>
            </w:tcBorders>
          </w:tcPr>
          <w:p w14:paraId="6C16ABD4">
            <w:pPr>
              <w:spacing w:line="255" w:lineRule="auto"/>
              <w:rPr>
                <w:highlight w:val="none"/>
              </w:rPr>
            </w:pPr>
          </w:p>
          <w:p w14:paraId="6ECD494E">
            <w:pPr>
              <w:pStyle w:val="33"/>
              <w:spacing w:before="78" w:line="220" w:lineRule="auto"/>
              <w:ind w:left="118"/>
              <w:rPr>
                <w:highlight w:val="none"/>
              </w:rPr>
            </w:pPr>
            <w:r>
              <w:rPr>
                <w:spacing w:val="-2"/>
                <w:highlight w:val="none"/>
              </w:rPr>
              <w:t>开户银行</w:t>
            </w:r>
          </w:p>
        </w:tc>
        <w:tc>
          <w:tcPr>
            <w:tcW w:w="7130" w:type="dxa"/>
            <w:gridSpan w:val="7"/>
            <w:tcBorders>
              <w:bottom w:val="single" w:color="000000" w:sz="4" w:space="0"/>
            </w:tcBorders>
          </w:tcPr>
          <w:p w14:paraId="720891E4">
            <w:pPr>
              <w:rPr>
                <w:highlight w:val="none"/>
              </w:rPr>
            </w:pPr>
          </w:p>
        </w:tc>
      </w:tr>
      <w:tr w14:paraId="363C3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2056" w:type="dxa"/>
            <w:tcBorders>
              <w:top w:val="single" w:color="000000" w:sz="4" w:space="0"/>
            </w:tcBorders>
          </w:tcPr>
          <w:p w14:paraId="167C3D93">
            <w:pPr>
              <w:spacing w:line="250" w:lineRule="auto"/>
              <w:rPr>
                <w:highlight w:val="none"/>
              </w:rPr>
            </w:pPr>
          </w:p>
          <w:p w14:paraId="48FE9CA4">
            <w:pPr>
              <w:pStyle w:val="33"/>
              <w:spacing w:before="78" w:line="221" w:lineRule="auto"/>
              <w:ind w:left="121"/>
              <w:rPr>
                <w:highlight w:val="none"/>
              </w:rPr>
            </w:pPr>
            <w:r>
              <w:rPr>
                <w:spacing w:val="-4"/>
                <w:highlight w:val="none"/>
              </w:rPr>
              <w:t>账号</w:t>
            </w:r>
          </w:p>
        </w:tc>
        <w:tc>
          <w:tcPr>
            <w:tcW w:w="7130" w:type="dxa"/>
            <w:gridSpan w:val="7"/>
            <w:tcBorders>
              <w:top w:val="single" w:color="000000" w:sz="4" w:space="0"/>
            </w:tcBorders>
          </w:tcPr>
          <w:p w14:paraId="66471779">
            <w:pPr>
              <w:rPr>
                <w:highlight w:val="none"/>
              </w:rPr>
            </w:pPr>
          </w:p>
        </w:tc>
      </w:tr>
      <w:tr w14:paraId="13AF8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0" w:hRule="atLeast"/>
        </w:trPr>
        <w:tc>
          <w:tcPr>
            <w:tcW w:w="2056" w:type="dxa"/>
          </w:tcPr>
          <w:p w14:paraId="5C450069">
            <w:pPr>
              <w:spacing w:line="294" w:lineRule="auto"/>
              <w:rPr>
                <w:highlight w:val="none"/>
              </w:rPr>
            </w:pPr>
          </w:p>
          <w:p w14:paraId="360E7B18">
            <w:pPr>
              <w:spacing w:line="295" w:lineRule="auto"/>
              <w:rPr>
                <w:highlight w:val="none"/>
              </w:rPr>
            </w:pPr>
          </w:p>
          <w:p w14:paraId="058B2032">
            <w:pPr>
              <w:pStyle w:val="33"/>
              <w:spacing w:before="78" w:line="220" w:lineRule="auto"/>
              <w:ind w:left="119"/>
              <w:rPr>
                <w:highlight w:val="none"/>
              </w:rPr>
            </w:pPr>
            <w:r>
              <w:rPr>
                <w:spacing w:val="-3"/>
                <w:highlight w:val="none"/>
              </w:rPr>
              <w:t>经营范围</w:t>
            </w:r>
          </w:p>
        </w:tc>
        <w:tc>
          <w:tcPr>
            <w:tcW w:w="7130" w:type="dxa"/>
            <w:gridSpan w:val="7"/>
          </w:tcPr>
          <w:p w14:paraId="6207EEE5">
            <w:pPr>
              <w:rPr>
                <w:highlight w:val="none"/>
              </w:rPr>
            </w:pPr>
          </w:p>
        </w:tc>
      </w:tr>
      <w:tr w14:paraId="47CEC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2056" w:type="dxa"/>
          </w:tcPr>
          <w:p w14:paraId="334290AC">
            <w:pPr>
              <w:spacing w:line="260" w:lineRule="auto"/>
              <w:rPr>
                <w:highlight w:val="none"/>
              </w:rPr>
            </w:pPr>
          </w:p>
          <w:p w14:paraId="5F7C9C35">
            <w:pPr>
              <w:pStyle w:val="33"/>
              <w:spacing w:before="78" w:line="221" w:lineRule="auto"/>
              <w:ind w:left="120"/>
              <w:rPr>
                <w:highlight w:val="none"/>
              </w:rPr>
            </w:pPr>
            <w:r>
              <w:rPr>
                <w:spacing w:val="-4"/>
                <w:highlight w:val="none"/>
              </w:rPr>
              <w:t>备注</w:t>
            </w:r>
          </w:p>
        </w:tc>
        <w:tc>
          <w:tcPr>
            <w:tcW w:w="7130" w:type="dxa"/>
            <w:gridSpan w:val="7"/>
          </w:tcPr>
          <w:p w14:paraId="57D7A7B6">
            <w:pPr>
              <w:rPr>
                <w:highlight w:val="none"/>
              </w:rPr>
            </w:pPr>
          </w:p>
        </w:tc>
      </w:tr>
    </w:tbl>
    <w:p w14:paraId="767DF056">
      <w:pPr>
        <w:kinsoku/>
        <w:autoSpaceDE/>
        <w:autoSpaceDN/>
        <w:adjustRightInd/>
        <w:snapToGrid/>
        <w:textAlignment w:val="auto"/>
        <w:rPr>
          <w:rFonts w:eastAsiaTheme="minorEastAsia"/>
          <w:highlight w:val="none"/>
          <w:lang w:eastAsia="zh-CN"/>
        </w:rPr>
      </w:pPr>
    </w:p>
    <w:p w14:paraId="3FC8602F">
      <w:pPr>
        <w:kinsoku/>
        <w:autoSpaceDE/>
        <w:autoSpaceDN/>
        <w:adjustRightInd/>
        <w:snapToGrid/>
        <w:textAlignment w:val="auto"/>
        <w:rPr>
          <w:rFonts w:eastAsiaTheme="minorEastAsia"/>
          <w:highlight w:val="none"/>
          <w:lang w:eastAsia="zh-CN"/>
        </w:rPr>
      </w:pPr>
      <w:r>
        <w:rPr>
          <w:rFonts w:eastAsiaTheme="minorEastAsia"/>
          <w:highlight w:val="none"/>
          <w:lang w:eastAsia="zh-CN"/>
        </w:rPr>
        <w:br w:type="page"/>
      </w:r>
    </w:p>
    <w:p w14:paraId="3F174CDE">
      <w:pPr>
        <w:pStyle w:val="4"/>
        <w:spacing w:before="56" w:line="219" w:lineRule="auto"/>
        <w:jc w:val="center"/>
        <w:rPr>
          <w:sz w:val="28"/>
          <w:szCs w:val="28"/>
          <w:highlight w:val="none"/>
          <w:lang w:eastAsia="zh-CN"/>
        </w:rPr>
      </w:pPr>
      <w:r>
        <w:rPr>
          <w:spacing w:val="-2"/>
          <w:sz w:val="28"/>
          <w:szCs w:val="28"/>
          <w:highlight w:val="none"/>
          <w:lang w:eastAsia="zh-CN"/>
        </w:rPr>
        <w:t>2</w:t>
      </w:r>
      <w:r>
        <w:rPr>
          <w:rFonts w:hint="eastAsia" w:ascii="宋体" w:hAnsi="宋体" w:eastAsia="宋体" w:cs="宋体"/>
          <w:spacing w:val="-2"/>
          <w:sz w:val="28"/>
          <w:szCs w:val="28"/>
          <w:highlight w:val="none"/>
          <w:lang w:eastAsia="zh-CN"/>
        </w:rPr>
        <w:t>、拟派项目负责人情况</w:t>
      </w:r>
    </w:p>
    <w:tbl>
      <w:tblPr>
        <w:tblStyle w:val="32"/>
        <w:tblW w:w="90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5"/>
        <w:gridCol w:w="676"/>
        <w:gridCol w:w="2188"/>
        <w:gridCol w:w="365"/>
        <w:gridCol w:w="1197"/>
        <w:gridCol w:w="504"/>
        <w:gridCol w:w="1699"/>
        <w:gridCol w:w="1290"/>
      </w:tblGrid>
      <w:tr w14:paraId="67264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7" w:hRule="atLeast"/>
        </w:trPr>
        <w:tc>
          <w:tcPr>
            <w:tcW w:w="1811" w:type="dxa"/>
            <w:gridSpan w:val="2"/>
          </w:tcPr>
          <w:p w14:paraId="1944338B">
            <w:pPr>
              <w:spacing w:line="282" w:lineRule="auto"/>
              <w:rPr>
                <w:highlight w:val="none"/>
                <w:lang w:eastAsia="zh-CN"/>
              </w:rPr>
            </w:pPr>
          </w:p>
          <w:p w14:paraId="0118449E">
            <w:pPr>
              <w:pStyle w:val="33"/>
              <w:spacing w:before="91" w:line="220" w:lineRule="auto"/>
              <w:ind w:left="632"/>
              <w:rPr>
                <w:sz w:val="28"/>
                <w:szCs w:val="28"/>
                <w:highlight w:val="none"/>
              </w:rPr>
            </w:pPr>
            <w:r>
              <w:rPr>
                <w:spacing w:val="-3"/>
                <w:sz w:val="28"/>
                <w:szCs w:val="28"/>
                <w:highlight w:val="none"/>
              </w:rPr>
              <w:t>姓名</w:t>
            </w:r>
          </w:p>
        </w:tc>
        <w:tc>
          <w:tcPr>
            <w:tcW w:w="2188" w:type="dxa"/>
          </w:tcPr>
          <w:p w14:paraId="0F9A1C7A">
            <w:pPr>
              <w:rPr>
                <w:highlight w:val="none"/>
              </w:rPr>
            </w:pPr>
          </w:p>
        </w:tc>
        <w:tc>
          <w:tcPr>
            <w:tcW w:w="1562" w:type="dxa"/>
            <w:gridSpan w:val="2"/>
          </w:tcPr>
          <w:p w14:paraId="1055F700">
            <w:pPr>
              <w:spacing w:line="282" w:lineRule="auto"/>
              <w:rPr>
                <w:highlight w:val="none"/>
              </w:rPr>
            </w:pPr>
          </w:p>
          <w:p w14:paraId="2D28090B">
            <w:pPr>
              <w:pStyle w:val="33"/>
              <w:spacing w:before="91" w:line="220" w:lineRule="auto"/>
              <w:ind w:left="508"/>
              <w:rPr>
                <w:sz w:val="28"/>
                <w:szCs w:val="28"/>
                <w:highlight w:val="none"/>
              </w:rPr>
            </w:pPr>
            <w:r>
              <w:rPr>
                <w:spacing w:val="-3"/>
                <w:sz w:val="28"/>
                <w:szCs w:val="28"/>
                <w:highlight w:val="none"/>
              </w:rPr>
              <w:t>年龄</w:t>
            </w:r>
          </w:p>
        </w:tc>
        <w:tc>
          <w:tcPr>
            <w:tcW w:w="3493" w:type="dxa"/>
            <w:gridSpan w:val="3"/>
          </w:tcPr>
          <w:p w14:paraId="36071231">
            <w:pPr>
              <w:rPr>
                <w:highlight w:val="none"/>
              </w:rPr>
            </w:pPr>
          </w:p>
        </w:tc>
      </w:tr>
      <w:tr w14:paraId="04DAD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8" w:hRule="atLeast"/>
        </w:trPr>
        <w:tc>
          <w:tcPr>
            <w:tcW w:w="1811" w:type="dxa"/>
            <w:gridSpan w:val="2"/>
          </w:tcPr>
          <w:p w14:paraId="7EA9D4F4">
            <w:pPr>
              <w:spacing w:line="290" w:lineRule="auto"/>
              <w:rPr>
                <w:highlight w:val="none"/>
              </w:rPr>
            </w:pPr>
          </w:p>
          <w:p w14:paraId="3B549171">
            <w:pPr>
              <w:pStyle w:val="33"/>
              <w:spacing w:before="91" w:line="220" w:lineRule="auto"/>
              <w:ind w:left="633"/>
              <w:rPr>
                <w:sz w:val="28"/>
                <w:szCs w:val="28"/>
                <w:highlight w:val="none"/>
              </w:rPr>
            </w:pPr>
            <w:r>
              <w:rPr>
                <w:spacing w:val="-3"/>
                <w:sz w:val="28"/>
                <w:szCs w:val="28"/>
                <w:highlight w:val="none"/>
              </w:rPr>
              <w:t>职务</w:t>
            </w:r>
          </w:p>
        </w:tc>
        <w:tc>
          <w:tcPr>
            <w:tcW w:w="2188" w:type="dxa"/>
          </w:tcPr>
          <w:p w14:paraId="2371735F">
            <w:pPr>
              <w:rPr>
                <w:highlight w:val="none"/>
              </w:rPr>
            </w:pPr>
          </w:p>
        </w:tc>
        <w:tc>
          <w:tcPr>
            <w:tcW w:w="1562" w:type="dxa"/>
            <w:gridSpan w:val="2"/>
          </w:tcPr>
          <w:p w14:paraId="2BC5F6CE">
            <w:pPr>
              <w:spacing w:line="290" w:lineRule="auto"/>
              <w:rPr>
                <w:highlight w:val="none"/>
              </w:rPr>
            </w:pPr>
          </w:p>
          <w:p w14:paraId="368C824B">
            <w:pPr>
              <w:pStyle w:val="33"/>
              <w:spacing w:before="91" w:line="222" w:lineRule="auto"/>
              <w:ind w:left="227"/>
              <w:rPr>
                <w:sz w:val="28"/>
                <w:szCs w:val="28"/>
                <w:highlight w:val="none"/>
              </w:rPr>
            </w:pPr>
            <w:r>
              <w:rPr>
                <w:spacing w:val="-2"/>
                <w:sz w:val="28"/>
                <w:szCs w:val="28"/>
                <w:highlight w:val="none"/>
              </w:rPr>
              <w:t>联系电话</w:t>
            </w:r>
          </w:p>
        </w:tc>
        <w:tc>
          <w:tcPr>
            <w:tcW w:w="3493" w:type="dxa"/>
            <w:gridSpan w:val="3"/>
          </w:tcPr>
          <w:p w14:paraId="58C51A2A">
            <w:pPr>
              <w:rPr>
                <w:highlight w:val="none"/>
              </w:rPr>
            </w:pPr>
          </w:p>
        </w:tc>
      </w:tr>
      <w:tr w14:paraId="2DA9F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8" w:hRule="atLeast"/>
        </w:trPr>
        <w:tc>
          <w:tcPr>
            <w:tcW w:w="1811" w:type="dxa"/>
            <w:gridSpan w:val="2"/>
          </w:tcPr>
          <w:p w14:paraId="113DC39B">
            <w:pPr>
              <w:pStyle w:val="33"/>
              <w:spacing w:before="155" w:line="268" w:lineRule="auto"/>
              <w:ind w:left="790" w:right="203" w:hanging="575"/>
              <w:rPr>
                <w:sz w:val="28"/>
                <w:szCs w:val="28"/>
                <w:highlight w:val="none"/>
              </w:rPr>
            </w:pPr>
            <w:r>
              <w:rPr>
                <w:spacing w:val="-3"/>
                <w:sz w:val="28"/>
                <w:szCs w:val="28"/>
                <w:highlight w:val="none"/>
              </w:rPr>
              <w:t>从事工作年</w:t>
            </w:r>
            <w:r>
              <w:rPr>
                <w:sz w:val="28"/>
                <w:szCs w:val="28"/>
                <w:highlight w:val="none"/>
              </w:rPr>
              <w:t>限</w:t>
            </w:r>
          </w:p>
        </w:tc>
        <w:tc>
          <w:tcPr>
            <w:tcW w:w="7243" w:type="dxa"/>
            <w:gridSpan w:val="6"/>
          </w:tcPr>
          <w:p w14:paraId="5EE41702">
            <w:pPr>
              <w:rPr>
                <w:highlight w:val="none"/>
              </w:rPr>
            </w:pPr>
          </w:p>
        </w:tc>
      </w:tr>
      <w:tr w14:paraId="191D1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1811" w:type="dxa"/>
            <w:gridSpan w:val="2"/>
          </w:tcPr>
          <w:p w14:paraId="0C73EC84">
            <w:pPr>
              <w:pStyle w:val="33"/>
              <w:spacing w:before="315" w:line="433" w:lineRule="exact"/>
              <w:ind w:left="589"/>
              <w:rPr>
                <w:sz w:val="28"/>
                <w:szCs w:val="28"/>
                <w:highlight w:val="none"/>
              </w:rPr>
            </w:pPr>
            <w:r>
              <w:rPr>
                <w:spacing w:val="-24"/>
                <w:position w:val="3"/>
                <w:sz w:val="28"/>
                <w:szCs w:val="28"/>
                <w:highlight w:val="none"/>
              </w:rPr>
              <w:t>···</w:t>
            </w:r>
          </w:p>
        </w:tc>
        <w:tc>
          <w:tcPr>
            <w:tcW w:w="7243" w:type="dxa"/>
            <w:gridSpan w:val="6"/>
          </w:tcPr>
          <w:p w14:paraId="50634D28">
            <w:pPr>
              <w:rPr>
                <w:highlight w:val="none"/>
              </w:rPr>
            </w:pPr>
          </w:p>
        </w:tc>
      </w:tr>
      <w:tr w14:paraId="2B8E9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9054" w:type="dxa"/>
            <w:gridSpan w:val="8"/>
          </w:tcPr>
          <w:p w14:paraId="275FEEAE">
            <w:pPr>
              <w:pStyle w:val="33"/>
              <w:spacing w:before="321" w:line="220" w:lineRule="auto"/>
              <w:ind w:left="2851"/>
              <w:rPr>
                <w:color w:val="auto"/>
                <w:sz w:val="28"/>
                <w:szCs w:val="28"/>
                <w:highlight w:val="none"/>
                <w:lang w:eastAsia="zh-CN"/>
              </w:rPr>
            </w:pPr>
            <w:r>
              <w:rPr>
                <w:color w:val="auto"/>
                <w:spacing w:val="-4"/>
                <w:sz w:val="28"/>
                <w:szCs w:val="28"/>
                <w:highlight w:val="none"/>
                <w:lang w:eastAsia="zh-CN"/>
              </w:rPr>
              <w:t>近</w:t>
            </w:r>
            <w:r>
              <w:rPr>
                <w:color w:val="auto"/>
                <w:spacing w:val="-44"/>
                <w:sz w:val="28"/>
                <w:szCs w:val="28"/>
                <w:highlight w:val="none"/>
                <w:lang w:eastAsia="zh-CN"/>
              </w:rPr>
              <w:t xml:space="preserve"> </w:t>
            </w:r>
            <w:r>
              <w:rPr>
                <w:color w:val="auto"/>
                <w:spacing w:val="-4"/>
                <w:sz w:val="28"/>
                <w:szCs w:val="28"/>
                <w:highlight w:val="none"/>
                <w:lang w:eastAsia="zh-CN"/>
              </w:rPr>
              <w:t>3</w:t>
            </w:r>
            <w:r>
              <w:rPr>
                <w:color w:val="auto"/>
                <w:spacing w:val="-57"/>
                <w:sz w:val="28"/>
                <w:szCs w:val="28"/>
                <w:highlight w:val="none"/>
                <w:lang w:eastAsia="zh-CN"/>
              </w:rPr>
              <w:t xml:space="preserve"> </w:t>
            </w:r>
            <w:r>
              <w:rPr>
                <w:color w:val="auto"/>
                <w:spacing w:val="-4"/>
                <w:sz w:val="28"/>
                <w:szCs w:val="28"/>
                <w:highlight w:val="none"/>
                <w:lang w:eastAsia="zh-CN"/>
              </w:rPr>
              <w:t>年以来完成的项目业绩</w:t>
            </w:r>
          </w:p>
        </w:tc>
      </w:tr>
      <w:tr w14:paraId="0C1D2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4" w:hRule="atLeast"/>
        </w:trPr>
        <w:tc>
          <w:tcPr>
            <w:tcW w:w="1135" w:type="dxa"/>
          </w:tcPr>
          <w:p w14:paraId="089418DF">
            <w:pPr>
              <w:spacing w:line="292" w:lineRule="auto"/>
              <w:rPr>
                <w:color w:val="auto"/>
                <w:highlight w:val="none"/>
                <w:lang w:eastAsia="zh-CN"/>
              </w:rPr>
            </w:pPr>
          </w:p>
          <w:p w14:paraId="2279193F">
            <w:pPr>
              <w:pStyle w:val="33"/>
              <w:spacing w:before="91" w:line="221" w:lineRule="auto"/>
              <w:ind w:left="292"/>
              <w:rPr>
                <w:color w:val="auto"/>
                <w:sz w:val="28"/>
                <w:szCs w:val="28"/>
                <w:highlight w:val="none"/>
              </w:rPr>
            </w:pPr>
            <w:r>
              <w:rPr>
                <w:color w:val="auto"/>
                <w:spacing w:val="-3"/>
                <w:sz w:val="28"/>
                <w:szCs w:val="28"/>
                <w:highlight w:val="none"/>
              </w:rPr>
              <w:t>序号</w:t>
            </w:r>
          </w:p>
        </w:tc>
        <w:tc>
          <w:tcPr>
            <w:tcW w:w="3229" w:type="dxa"/>
            <w:gridSpan w:val="3"/>
          </w:tcPr>
          <w:p w14:paraId="5792C3DB">
            <w:pPr>
              <w:spacing w:line="291" w:lineRule="auto"/>
              <w:rPr>
                <w:color w:val="auto"/>
                <w:highlight w:val="none"/>
              </w:rPr>
            </w:pPr>
          </w:p>
          <w:p w14:paraId="777E3B84">
            <w:pPr>
              <w:pStyle w:val="33"/>
              <w:spacing w:before="91" w:line="221" w:lineRule="auto"/>
              <w:ind w:left="1064"/>
              <w:rPr>
                <w:color w:val="auto"/>
                <w:sz w:val="28"/>
                <w:szCs w:val="28"/>
                <w:highlight w:val="none"/>
              </w:rPr>
            </w:pPr>
            <w:r>
              <w:rPr>
                <w:color w:val="auto"/>
                <w:spacing w:val="-3"/>
                <w:sz w:val="28"/>
                <w:szCs w:val="28"/>
                <w:highlight w:val="none"/>
              </w:rPr>
              <w:t>项目名称</w:t>
            </w:r>
          </w:p>
        </w:tc>
        <w:tc>
          <w:tcPr>
            <w:tcW w:w="1701" w:type="dxa"/>
            <w:gridSpan w:val="2"/>
          </w:tcPr>
          <w:p w14:paraId="14FBACD3">
            <w:pPr>
              <w:pStyle w:val="33"/>
              <w:spacing w:before="157" w:line="266" w:lineRule="auto"/>
              <w:ind w:left="576" w:right="287" w:hanging="276"/>
              <w:rPr>
                <w:color w:val="auto"/>
                <w:sz w:val="28"/>
                <w:szCs w:val="28"/>
                <w:highlight w:val="none"/>
              </w:rPr>
            </w:pPr>
            <w:r>
              <w:rPr>
                <w:color w:val="auto"/>
                <w:spacing w:val="-4"/>
                <w:sz w:val="28"/>
                <w:szCs w:val="28"/>
                <w:highlight w:val="none"/>
              </w:rPr>
              <w:t>项目实施</w:t>
            </w:r>
            <w:r>
              <w:rPr>
                <w:color w:val="auto"/>
                <w:spacing w:val="-3"/>
                <w:sz w:val="28"/>
                <w:szCs w:val="28"/>
                <w:highlight w:val="none"/>
              </w:rPr>
              <w:t>地点</w:t>
            </w:r>
          </w:p>
        </w:tc>
        <w:tc>
          <w:tcPr>
            <w:tcW w:w="1699" w:type="dxa"/>
          </w:tcPr>
          <w:p w14:paraId="6282ACD7">
            <w:pPr>
              <w:spacing w:line="292" w:lineRule="auto"/>
              <w:rPr>
                <w:color w:val="auto"/>
                <w:highlight w:val="none"/>
              </w:rPr>
            </w:pPr>
          </w:p>
          <w:p w14:paraId="10A8FCC1">
            <w:pPr>
              <w:pStyle w:val="33"/>
              <w:spacing w:before="91" w:line="222" w:lineRule="auto"/>
              <w:ind w:left="591"/>
              <w:rPr>
                <w:color w:val="auto"/>
                <w:sz w:val="28"/>
                <w:szCs w:val="28"/>
                <w:highlight w:val="none"/>
              </w:rPr>
            </w:pPr>
            <w:r>
              <w:rPr>
                <w:color w:val="auto"/>
                <w:spacing w:val="-6"/>
                <w:sz w:val="28"/>
                <w:szCs w:val="28"/>
                <w:highlight w:val="none"/>
              </w:rPr>
              <w:t>时间</w:t>
            </w:r>
          </w:p>
        </w:tc>
        <w:tc>
          <w:tcPr>
            <w:tcW w:w="1290" w:type="dxa"/>
          </w:tcPr>
          <w:p w14:paraId="65AACFDC">
            <w:pPr>
              <w:spacing w:line="292" w:lineRule="auto"/>
              <w:rPr>
                <w:color w:val="auto"/>
                <w:highlight w:val="none"/>
              </w:rPr>
            </w:pPr>
          </w:p>
          <w:p w14:paraId="3A386BA3">
            <w:pPr>
              <w:pStyle w:val="33"/>
              <w:spacing w:before="91" w:line="221" w:lineRule="auto"/>
              <w:ind w:left="375"/>
              <w:rPr>
                <w:color w:val="auto"/>
                <w:sz w:val="28"/>
                <w:szCs w:val="28"/>
                <w:highlight w:val="none"/>
              </w:rPr>
            </w:pPr>
            <w:r>
              <w:rPr>
                <w:color w:val="auto"/>
                <w:spacing w:val="-4"/>
                <w:sz w:val="28"/>
                <w:szCs w:val="28"/>
                <w:highlight w:val="none"/>
              </w:rPr>
              <w:t>备注</w:t>
            </w:r>
          </w:p>
        </w:tc>
      </w:tr>
      <w:tr w14:paraId="202ED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1" w:hRule="atLeast"/>
        </w:trPr>
        <w:tc>
          <w:tcPr>
            <w:tcW w:w="1135" w:type="dxa"/>
          </w:tcPr>
          <w:p w14:paraId="05F9197F">
            <w:pPr>
              <w:spacing w:line="254" w:lineRule="auto"/>
              <w:rPr>
                <w:color w:val="auto"/>
                <w:highlight w:val="none"/>
              </w:rPr>
            </w:pPr>
          </w:p>
          <w:p w14:paraId="5C17D15B">
            <w:pPr>
              <w:spacing w:line="254" w:lineRule="auto"/>
              <w:rPr>
                <w:color w:val="auto"/>
                <w:highlight w:val="none"/>
              </w:rPr>
            </w:pPr>
          </w:p>
          <w:p w14:paraId="23EEA226">
            <w:pPr>
              <w:pStyle w:val="33"/>
              <w:spacing w:before="91" w:line="242" w:lineRule="auto"/>
              <w:ind w:left="523"/>
              <w:rPr>
                <w:color w:val="auto"/>
                <w:sz w:val="28"/>
                <w:szCs w:val="28"/>
                <w:highlight w:val="none"/>
              </w:rPr>
            </w:pPr>
            <w:r>
              <w:rPr>
                <w:color w:val="auto"/>
                <w:sz w:val="28"/>
                <w:szCs w:val="28"/>
                <w:highlight w:val="none"/>
              </w:rPr>
              <w:t>1</w:t>
            </w:r>
          </w:p>
        </w:tc>
        <w:tc>
          <w:tcPr>
            <w:tcW w:w="3229" w:type="dxa"/>
            <w:gridSpan w:val="3"/>
          </w:tcPr>
          <w:p w14:paraId="532150C6">
            <w:pPr>
              <w:rPr>
                <w:color w:val="auto"/>
                <w:highlight w:val="none"/>
              </w:rPr>
            </w:pPr>
          </w:p>
        </w:tc>
        <w:tc>
          <w:tcPr>
            <w:tcW w:w="1701" w:type="dxa"/>
            <w:gridSpan w:val="2"/>
          </w:tcPr>
          <w:p w14:paraId="7E3F3CD4">
            <w:pPr>
              <w:rPr>
                <w:color w:val="auto"/>
                <w:highlight w:val="none"/>
              </w:rPr>
            </w:pPr>
          </w:p>
        </w:tc>
        <w:tc>
          <w:tcPr>
            <w:tcW w:w="1699" w:type="dxa"/>
          </w:tcPr>
          <w:p w14:paraId="27C5BEE3">
            <w:pPr>
              <w:rPr>
                <w:color w:val="auto"/>
                <w:highlight w:val="none"/>
              </w:rPr>
            </w:pPr>
          </w:p>
        </w:tc>
        <w:tc>
          <w:tcPr>
            <w:tcW w:w="1290" w:type="dxa"/>
          </w:tcPr>
          <w:p w14:paraId="2D2ADA63">
            <w:pPr>
              <w:rPr>
                <w:color w:val="auto"/>
                <w:highlight w:val="none"/>
              </w:rPr>
            </w:pPr>
          </w:p>
        </w:tc>
      </w:tr>
      <w:tr w14:paraId="3ACD5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1" w:hRule="atLeast"/>
        </w:trPr>
        <w:tc>
          <w:tcPr>
            <w:tcW w:w="1135" w:type="dxa"/>
          </w:tcPr>
          <w:p w14:paraId="7EC14E91">
            <w:pPr>
              <w:spacing w:line="442" w:lineRule="auto"/>
              <w:rPr>
                <w:color w:val="auto"/>
                <w:highlight w:val="none"/>
              </w:rPr>
            </w:pPr>
          </w:p>
          <w:p w14:paraId="478AEFE5">
            <w:pPr>
              <w:pStyle w:val="33"/>
              <w:spacing w:before="91" w:line="432" w:lineRule="exact"/>
              <w:ind w:left="248"/>
              <w:rPr>
                <w:color w:val="auto"/>
                <w:sz w:val="28"/>
                <w:szCs w:val="28"/>
                <w:highlight w:val="none"/>
              </w:rPr>
            </w:pPr>
            <w:r>
              <w:rPr>
                <w:color w:val="auto"/>
                <w:spacing w:val="-24"/>
                <w:position w:val="3"/>
                <w:sz w:val="28"/>
                <w:szCs w:val="28"/>
                <w:highlight w:val="none"/>
              </w:rPr>
              <w:t>···</w:t>
            </w:r>
          </w:p>
        </w:tc>
        <w:tc>
          <w:tcPr>
            <w:tcW w:w="3229" w:type="dxa"/>
            <w:gridSpan w:val="3"/>
          </w:tcPr>
          <w:p w14:paraId="7083F79A">
            <w:pPr>
              <w:rPr>
                <w:color w:val="auto"/>
                <w:highlight w:val="none"/>
              </w:rPr>
            </w:pPr>
          </w:p>
        </w:tc>
        <w:tc>
          <w:tcPr>
            <w:tcW w:w="1701" w:type="dxa"/>
            <w:gridSpan w:val="2"/>
          </w:tcPr>
          <w:p w14:paraId="71EB496A">
            <w:pPr>
              <w:rPr>
                <w:color w:val="auto"/>
                <w:highlight w:val="none"/>
              </w:rPr>
            </w:pPr>
          </w:p>
        </w:tc>
        <w:tc>
          <w:tcPr>
            <w:tcW w:w="1699" w:type="dxa"/>
          </w:tcPr>
          <w:p w14:paraId="0B620D17">
            <w:pPr>
              <w:rPr>
                <w:color w:val="auto"/>
                <w:highlight w:val="none"/>
              </w:rPr>
            </w:pPr>
          </w:p>
        </w:tc>
        <w:tc>
          <w:tcPr>
            <w:tcW w:w="1290" w:type="dxa"/>
          </w:tcPr>
          <w:p w14:paraId="6B6B84BE">
            <w:pPr>
              <w:rPr>
                <w:color w:val="auto"/>
                <w:highlight w:val="none"/>
              </w:rPr>
            </w:pPr>
          </w:p>
        </w:tc>
      </w:tr>
    </w:tbl>
    <w:p w14:paraId="5FD0A359">
      <w:pPr>
        <w:pStyle w:val="4"/>
        <w:spacing w:before="37" w:line="219" w:lineRule="auto"/>
        <w:ind w:left="382"/>
        <w:rPr>
          <w:sz w:val="28"/>
          <w:szCs w:val="28"/>
          <w:highlight w:val="none"/>
          <w:lang w:eastAsia="zh-CN"/>
        </w:rPr>
      </w:pPr>
      <w:r>
        <w:rPr>
          <w:spacing w:val="-2"/>
          <w:sz w:val="28"/>
          <w:szCs w:val="28"/>
          <w:highlight w:val="none"/>
          <w:lang w:eastAsia="zh-CN"/>
        </w:rPr>
        <w:t>注：应附项目负</w:t>
      </w:r>
      <w:r>
        <w:rPr>
          <w:spacing w:val="-2"/>
          <w:sz w:val="28"/>
          <w:szCs w:val="28"/>
          <w:highlight w:val="none"/>
          <w:lang w:eastAsia="zh-CN"/>
        </w:rPr>
        <w:t>责人劳动合同、身份证等证</w:t>
      </w:r>
      <w:r>
        <w:rPr>
          <w:spacing w:val="-2"/>
          <w:sz w:val="28"/>
          <w:szCs w:val="28"/>
          <w:highlight w:val="none"/>
          <w:lang w:eastAsia="zh-CN"/>
        </w:rPr>
        <w:t>明材料。</w:t>
      </w:r>
    </w:p>
    <w:p w14:paraId="381CA165">
      <w:pPr>
        <w:spacing w:line="246" w:lineRule="auto"/>
        <w:rPr>
          <w:highlight w:val="none"/>
          <w:lang w:eastAsia="zh-CN"/>
        </w:rPr>
      </w:pPr>
    </w:p>
    <w:p w14:paraId="549F289E">
      <w:pPr>
        <w:spacing w:line="246" w:lineRule="auto"/>
        <w:rPr>
          <w:highlight w:val="none"/>
          <w:lang w:eastAsia="zh-CN"/>
        </w:rPr>
      </w:pPr>
    </w:p>
    <w:p w14:paraId="6A30831C">
      <w:pPr>
        <w:spacing w:line="246" w:lineRule="auto"/>
        <w:rPr>
          <w:highlight w:val="none"/>
          <w:lang w:eastAsia="zh-CN"/>
        </w:rPr>
      </w:pPr>
    </w:p>
    <w:p w14:paraId="42296AF1">
      <w:pPr>
        <w:spacing w:before="78" w:line="219" w:lineRule="auto"/>
        <w:ind w:right="26"/>
        <w:jc w:val="right"/>
        <w:rPr>
          <w:rFonts w:ascii="宋体" w:hAnsi="宋体" w:eastAsia="宋体" w:cs="宋体"/>
          <w:sz w:val="28"/>
          <w:szCs w:val="28"/>
          <w:highlight w:val="none"/>
          <w:lang w:eastAsia="zh-CN"/>
        </w:rPr>
      </w:pPr>
      <w:r>
        <w:rPr>
          <w:rFonts w:ascii="宋体" w:hAnsi="宋体" w:eastAsia="宋体" w:cs="宋体"/>
          <w:spacing w:val="-2"/>
          <w:sz w:val="28"/>
          <w:szCs w:val="28"/>
          <w:highlight w:val="none"/>
          <w:lang w:eastAsia="zh-CN"/>
        </w:rPr>
        <w:t>供应商</w:t>
      </w:r>
      <w:r>
        <w:rPr>
          <w:rFonts w:ascii="宋体" w:hAnsi="宋体" w:eastAsia="宋体" w:cs="宋体"/>
          <w:spacing w:val="-3"/>
          <w:sz w:val="28"/>
          <w:szCs w:val="28"/>
          <w:highlight w:val="none"/>
          <w:lang w:eastAsia="zh-CN"/>
        </w:rPr>
        <w:t>：（</w:t>
      </w:r>
      <w:r>
        <w:rPr>
          <w:rFonts w:ascii="宋体" w:hAnsi="宋体" w:eastAsia="宋体" w:cs="宋体"/>
          <w:spacing w:val="-2"/>
          <w:sz w:val="28"/>
          <w:szCs w:val="28"/>
          <w:highlight w:val="none"/>
          <w:lang w:eastAsia="zh-CN"/>
        </w:rPr>
        <w:t>单位电子签章）</w:t>
      </w:r>
    </w:p>
    <w:p w14:paraId="21737140">
      <w:pPr>
        <w:spacing w:before="114" w:line="219" w:lineRule="auto"/>
        <w:ind w:right="26"/>
        <w:jc w:val="right"/>
        <w:rPr>
          <w:rFonts w:ascii="宋体" w:hAnsi="宋体" w:eastAsia="宋体" w:cs="宋体"/>
          <w:sz w:val="28"/>
          <w:szCs w:val="28"/>
          <w:highlight w:val="none"/>
          <w:lang w:eastAsia="zh-CN"/>
        </w:rPr>
      </w:pPr>
      <w:r>
        <w:rPr>
          <w:rFonts w:ascii="宋体" w:hAnsi="宋体" w:eastAsia="宋体" w:cs="宋体"/>
          <w:spacing w:val="-2"/>
          <w:sz w:val="28"/>
          <w:szCs w:val="28"/>
          <w:highlight w:val="none"/>
          <w:lang w:eastAsia="zh-CN"/>
        </w:rPr>
        <w:t>法定代表人</w:t>
      </w:r>
      <w:r>
        <w:rPr>
          <w:rFonts w:ascii="宋体" w:hAnsi="宋体" w:eastAsia="宋体" w:cs="宋体"/>
          <w:spacing w:val="-1"/>
          <w:sz w:val="28"/>
          <w:szCs w:val="28"/>
          <w:highlight w:val="none"/>
          <w:lang w:eastAsia="zh-CN"/>
        </w:rPr>
        <w:t>：（</w:t>
      </w:r>
      <w:r>
        <w:rPr>
          <w:rFonts w:ascii="宋体" w:hAnsi="宋体" w:eastAsia="宋体" w:cs="宋体"/>
          <w:spacing w:val="-2"/>
          <w:sz w:val="28"/>
          <w:szCs w:val="28"/>
          <w:highlight w:val="none"/>
          <w:lang w:eastAsia="zh-CN"/>
        </w:rPr>
        <w:t>法人电子签章）</w:t>
      </w:r>
    </w:p>
    <w:p w14:paraId="45DEB1A8">
      <w:pPr>
        <w:spacing w:before="115" w:line="220" w:lineRule="auto"/>
        <w:jc w:val="right"/>
        <w:rPr>
          <w:rFonts w:ascii="宋体" w:hAnsi="宋体" w:eastAsia="宋体" w:cs="宋体"/>
          <w:sz w:val="28"/>
          <w:szCs w:val="28"/>
          <w:highlight w:val="none"/>
          <w:lang w:eastAsia="zh-CN"/>
        </w:rPr>
      </w:pPr>
      <w:r>
        <w:rPr>
          <w:rFonts w:ascii="宋体" w:hAnsi="宋体" w:eastAsia="宋体" w:cs="宋体"/>
          <w:spacing w:val="-22"/>
          <w:sz w:val="28"/>
          <w:szCs w:val="28"/>
          <w:highlight w:val="none"/>
          <w:lang w:eastAsia="zh-CN"/>
        </w:rPr>
        <w:t>日期：</w:t>
      </w:r>
      <w:r>
        <w:rPr>
          <w:rFonts w:ascii="宋体" w:hAnsi="宋体" w:eastAsia="宋体" w:cs="宋体"/>
          <w:spacing w:val="7"/>
          <w:sz w:val="28"/>
          <w:szCs w:val="28"/>
          <w:highlight w:val="none"/>
          <w:lang w:eastAsia="zh-CN"/>
        </w:rPr>
        <w:t xml:space="preserve">  </w:t>
      </w:r>
      <w:r>
        <w:rPr>
          <w:rFonts w:ascii="宋体" w:hAnsi="宋体" w:eastAsia="宋体" w:cs="宋体"/>
          <w:spacing w:val="-22"/>
          <w:sz w:val="28"/>
          <w:szCs w:val="28"/>
          <w:highlight w:val="none"/>
          <w:lang w:eastAsia="zh-CN"/>
        </w:rPr>
        <w:t>年</w:t>
      </w:r>
      <w:r>
        <w:rPr>
          <w:rFonts w:ascii="宋体" w:hAnsi="宋体" w:eastAsia="宋体" w:cs="宋体"/>
          <w:spacing w:val="5"/>
          <w:sz w:val="28"/>
          <w:szCs w:val="28"/>
          <w:highlight w:val="none"/>
          <w:lang w:eastAsia="zh-CN"/>
        </w:rPr>
        <w:t xml:space="preserve">   </w:t>
      </w:r>
      <w:r>
        <w:rPr>
          <w:rFonts w:ascii="宋体" w:hAnsi="宋体" w:eastAsia="宋体" w:cs="宋体"/>
          <w:spacing w:val="-22"/>
          <w:sz w:val="28"/>
          <w:szCs w:val="28"/>
          <w:highlight w:val="none"/>
          <w:lang w:eastAsia="zh-CN"/>
        </w:rPr>
        <w:t>月</w:t>
      </w:r>
      <w:r>
        <w:rPr>
          <w:rFonts w:ascii="宋体" w:hAnsi="宋体" w:eastAsia="宋体" w:cs="宋体"/>
          <w:spacing w:val="25"/>
          <w:sz w:val="28"/>
          <w:szCs w:val="28"/>
          <w:highlight w:val="none"/>
          <w:lang w:eastAsia="zh-CN"/>
        </w:rPr>
        <w:t xml:space="preserve">  </w:t>
      </w:r>
      <w:r>
        <w:rPr>
          <w:rFonts w:ascii="宋体" w:hAnsi="宋体" w:eastAsia="宋体" w:cs="宋体"/>
          <w:spacing w:val="-22"/>
          <w:sz w:val="28"/>
          <w:szCs w:val="28"/>
          <w:highlight w:val="none"/>
          <w:lang w:eastAsia="zh-CN"/>
        </w:rPr>
        <w:t>日</w:t>
      </w:r>
    </w:p>
    <w:p w14:paraId="7CE3D80E">
      <w:pPr>
        <w:spacing w:before="91" w:line="219" w:lineRule="auto"/>
        <w:ind w:left="2631"/>
        <w:rPr>
          <w:rFonts w:ascii="宋体" w:hAnsi="宋体" w:eastAsia="宋体" w:cs="宋体"/>
          <w:b/>
          <w:bCs/>
          <w:spacing w:val="-3"/>
          <w:sz w:val="28"/>
          <w:szCs w:val="28"/>
          <w:highlight w:val="none"/>
          <w:lang w:eastAsia="zh-CN"/>
        </w:rPr>
      </w:pPr>
    </w:p>
    <w:p w14:paraId="332D608E">
      <w:pPr>
        <w:spacing w:before="91" w:line="219" w:lineRule="auto"/>
        <w:ind w:left="2631"/>
        <w:rPr>
          <w:rFonts w:ascii="宋体" w:hAnsi="宋体" w:eastAsia="宋体" w:cs="宋体"/>
          <w:b/>
          <w:bCs/>
          <w:spacing w:val="-3"/>
          <w:sz w:val="28"/>
          <w:szCs w:val="28"/>
          <w:highlight w:val="none"/>
          <w:lang w:eastAsia="zh-CN"/>
        </w:rPr>
      </w:pPr>
    </w:p>
    <w:p w14:paraId="5299AAF8">
      <w:pPr>
        <w:kinsoku/>
        <w:autoSpaceDE/>
        <w:autoSpaceDN/>
        <w:adjustRightInd/>
        <w:snapToGrid/>
        <w:textAlignment w:val="auto"/>
        <w:rPr>
          <w:rFonts w:ascii="宋体" w:hAnsi="宋体" w:eastAsia="宋体" w:cs="宋体"/>
          <w:b/>
          <w:bCs/>
          <w:spacing w:val="-3"/>
          <w:sz w:val="28"/>
          <w:szCs w:val="28"/>
          <w:highlight w:val="none"/>
          <w:lang w:eastAsia="zh-CN"/>
        </w:rPr>
      </w:pPr>
      <w:r>
        <w:rPr>
          <w:rFonts w:ascii="宋体" w:hAnsi="宋体" w:eastAsia="宋体" w:cs="宋体"/>
          <w:b/>
          <w:bCs/>
          <w:spacing w:val="-3"/>
          <w:sz w:val="28"/>
          <w:szCs w:val="28"/>
          <w:highlight w:val="none"/>
          <w:lang w:eastAsia="zh-CN"/>
        </w:rPr>
        <w:br w:type="page"/>
      </w:r>
    </w:p>
    <w:p w14:paraId="0A2348DC">
      <w:pPr>
        <w:spacing w:before="91" w:line="219" w:lineRule="auto"/>
        <w:ind w:left="2631"/>
        <w:rPr>
          <w:rFonts w:ascii="宋体" w:hAnsi="宋体" w:eastAsia="宋体" w:cs="宋体"/>
          <w:sz w:val="28"/>
          <w:szCs w:val="28"/>
          <w:highlight w:val="none"/>
          <w:lang w:eastAsia="zh-CN"/>
        </w:rPr>
      </w:pPr>
      <w:r>
        <w:rPr>
          <w:rFonts w:ascii="宋体" w:hAnsi="宋体" w:eastAsia="宋体" w:cs="宋体"/>
          <w:b/>
          <w:bCs/>
          <w:spacing w:val="-3"/>
          <w:sz w:val="28"/>
          <w:szCs w:val="28"/>
          <w:highlight w:val="none"/>
          <w:lang w:eastAsia="zh-CN"/>
        </w:rPr>
        <w:t>七、供应商资格证明文件</w:t>
      </w:r>
    </w:p>
    <w:p w14:paraId="507FAD8E">
      <w:pPr>
        <w:spacing w:before="291" w:line="219" w:lineRule="auto"/>
        <w:ind w:left="1667"/>
        <w:rPr>
          <w:rFonts w:ascii="宋体" w:hAnsi="宋体" w:eastAsia="宋体" w:cs="宋体"/>
          <w:sz w:val="28"/>
          <w:szCs w:val="28"/>
          <w:highlight w:val="none"/>
          <w:lang w:eastAsia="zh-CN"/>
        </w:rPr>
      </w:pPr>
      <w:r>
        <w:rPr>
          <w:rFonts w:ascii="宋体" w:hAnsi="宋体" w:eastAsia="宋体" w:cs="宋体"/>
          <w:spacing w:val="-5"/>
          <w:sz w:val="28"/>
          <w:szCs w:val="28"/>
          <w:highlight w:val="none"/>
          <w:lang w:eastAsia="zh-CN"/>
        </w:rPr>
        <w:t>（格式自拟，应逐页加盖单位电子签章）</w:t>
      </w:r>
    </w:p>
    <w:p w14:paraId="1326D661">
      <w:pPr>
        <w:pStyle w:val="4"/>
        <w:spacing w:line="270" w:lineRule="auto"/>
        <w:rPr>
          <w:highlight w:val="none"/>
          <w:lang w:eastAsia="zh-CN"/>
        </w:rPr>
      </w:pPr>
    </w:p>
    <w:p w14:paraId="24A86C1E">
      <w:pPr>
        <w:pStyle w:val="4"/>
        <w:spacing w:line="271" w:lineRule="auto"/>
        <w:rPr>
          <w:highlight w:val="none"/>
          <w:lang w:eastAsia="zh-CN"/>
        </w:rPr>
      </w:pPr>
    </w:p>
    <w:p w14:paraId="7787C5F9">
      <w:pPr>
        <w:pStyle w:val="4"/>
        <w:spacing w:line="271" w:lineRule="auto"/>
        <w:rPr>
          <w:highlight w:val="none"/>
          <w:lang w:eastAsia="zh-CN"/>
        </w:rPr>
      </w:pPr>
    </w:p>
    <w:p w14:paraId="7D3DF602">
      <w:pPr>
        <w:pStyle w:val="4"/>
        <w:spacing w:line="271" w:lineRule="auto"/>
        <w:rPr>
          <w:highlight w:val="none"/>
          <w:lang w:eastAsia="zh-CN"/>
        </w:rPr>
      </w:pPr>
    </w:p>
    <w:p w14:paraId="755C4AEB">
      <w:pPr>
        <w:kinsoku/>
        <w:autoSpaceDE/>
        <w:autoSpaceDN/>
        <w:adjustRightInd/>
        <w:snapToGrid/>
        <w:textAlignment w:val="auto"/>
        <w:rPr>
          <w:rFonts w:ascii="宋体" w:hAnsi="宋体" w:eastAsia="宋体" w:cs="宋体"/>
          <w:b/>
          <w:bCs/>
          <w:spacing w:val="4"/>
          <w:sz w:val="31"/>
          <w:szCs w:val="31"/>
          <w:highlight w:val="none"/>
          <w:lang w:eastAsia="zh-CN"/>
        </w:rPr>
      </w:pPr>
      <w:r>
        <w:rPr>
          <w:rFonts w:ascii="宋体" w:hAnsi="宋体" w:eastAsia="宋体" w:cs="宋体"/>
          <w:b/>
          <w:bCs/>
          <w:spacing w:val="4"/>
          <w:sz w:val="31"/>
          <w:szCs w:val="31"/>
          <w:highlight w:val="none"/>
          <w:lang w:eastAsia="zh-CN"/>
        </w:rPr>
        <w:br w:type="page"/>
      </w:r>
    </w:p>
    <w:p w14:paraId="611DDFBF">
      <w:pPr>
        <w:spacing w:before="101" w:line="225" w:lineRule="auto"/>
        <w:ind w:left="3382"/>
        <w:rPr>
          <w:rFonts w:ascii="宋体" w:hAnsi="宋体" w:eastAsia="宋体" w:cs="宋体"/>
          <w:sz w:val="31"/>
          <w:szCs w:val="31"/>
          <w:highlight w:val="none"/>
          <w:lang w:eastAsia="zh-CN"/>
        </w:rPr>
      </w:pPr>
      <w:r>
        <w:rPr>
          <w:rFonts w:ascii="宋体" w:hAnsi="宋体" w:eastAsia="宋体" w:cs="宋体"/>
          <w:b/>
          <w:bCs/>
          <w:spacing w:val="4"/>
          <w:sz w:val="31"/>
          <w:szCs w:val="31"/>
          <w:highlight w:val="none"/>
          <w:lang w:eastAsia="zh-CN"/>
        </w:rPr>
        <w:t>八、技术标</w:t>
      </w:r>
    </w:p>
    <w:p w14:paraId="03231D3D">
      <w:pPr>
        <w:pStyle w:val="4"/>
        <w:spacing w:line="270" w:lineRule="auto"/>
        <w:rPr>
          <w:highlight w:val="none"/>
          <w:lang w:eastAsia="zh-CN"/>
        </w:rPr>
      </w:pPr>
    </w:p>
    <w:p w14:paraId="0B87F5FA">
      <w:pPr>
        <w:pStyle w:val="4"/>
        <w:spacing w:line="271" w:lineRule="auto"/>
        <w:rPr>
          <w:highlight w:val="none"/>
          <w:lang w:eastAsia="zh-CN"/>
        </w:rPr>
      </w:pPr>
    </w:p>
    <w:p w14:paraId="23DD5CDB">
      <w:pPr>
        <w:pStyle w:val="4"/>
        <w:spacing w:line="271" w:lineRule="auto"/>
        <w:rPr>
          <w:highlight w:val="none"/>
          <w:lang w:eastAsia="zh-CN"/>
        </w:rPr>
      </w:pPr>
    </w:p>
    <w:p w14:paraId="4187A81F">
      <w:pPr>
        <w:pStyle w:val="4"/>
        <w:spacing w:line="271" w:lineRule="auto"/>
        <w:rPr>
          <w:highlight w:val="none"/>
          <w:lang w:eastAsia="zh-CN"/>
        </w:rPr>
      </w:pPr>
    </w:p>
    <w:p w14:paraId="2F4B0A03">
      <w:pPr>
        <w:kinsoku/>
        <w:autoSpaceDE/>
        <w:autoSpaceDN/>
        <w:adjustRightInd/>
        <w:snapToGrid/>
        <w:textAlignment w:val="auto"/>
        <w:rPr>
          <w:rFonts w:ascii="宋体" w:hAnsi="宋体" w:eastAsia="宋体" w:cs="宋体"/>
          <w:b/>
          <w:bCs/>
          <w:spacing w:val="3"/>
          <w:sz w:val="31"/>
          <w:szCs w:val="31"/>
          <w:highlight w:val="none"/>
          <w:lang w:eastAsia="zh-CN"/>
        </w:rPr>
      </w:pPr>
      <w:r>
        <w:rPr>
          <w:rFonts w:ascii="宋体" w:hAnsi="宋体" w:eastAsia="宋体" w:cs="宋体"/>
          <w:b/>
          <w:bCs/>
          <w:spacing w:val="3"/>
          <w:sz w:val="31"/>
          <w:szCs w:val="31"/>
          <w:highlight w:val="none"/>
          <w:lang w:eastAsia="zh-CN"/>
        </w:rPr>
        <w:br w:type="page"/>
      </w:r>
    </w:p>
    <w:p w14:paraId="49547522">
      <w:pPr>
        <w:spacing w:before="101" w:line="225" w:lineRule="auto"/>
        <w:ind w:left="3385"/>
        <w:rPr>
          <w:rFonts w:ascii="宋体" w:hAnsi="宋体" w:eastAsia="宋体" w:cs="宋体"/>
          <w:sz w:val="31"/>
          <w:szCs w:val="31"/>
          <w:highlight w:val="none"/>
          <w:lang w:eastAsia="zh-CN"/>
        </w:rPr>
      </w:pPr>
      <w:r>
        <w:rPr>
          <w:rFonts w:ascii="宋体" w:hAnsi="宋体" w:eastAsia="宋体" w:cs="宋体"/>
          <w:b/>
          <w:bCs/>
          <w:spacing w:val="3"/>
          <w:sz w:val="31"/>
          <w:szCs w:val="31"/>
          <w:highlight w:val="none"/>
          <w:lang w:eastAsia="zh-CN"/>
        </w:rPr>
        <w:t>九、商务标</w:t>
      </w:r>
    </w:p>
    <w:p w14:paraId="610DB689">
      <w:pPr>
        <w:pStyle w:val="4"/>
        <w:spacing w:line="270" w:lineRule="auto"/>
        <w:rPr>
          <w:highlight w:val="none"/>
          <w:lang w:eastAsia="zh-CN"/>
        </w:rPr>
      </w:pPr>
    </w:p>
    <w:p w14:paraId="2964D54E">
      <w:pPr>
        <w:pStyle w:val="4"/>
        <w:spacing w:line="271" w:lineRule="auto"/>
        <w:rPr>
          <w:highlight w:val="none"/>
          <w:lang w:eastAsia="zh-CN"/>
        </w:rPr>
      </w:pPr>
    </w:p>
    <w:p w14:paraId="1767A24F">
      <w:pPr>
        <w:pStyle w:val="4"/>
        <w:spacing w:line="271" w:lineRule="auto"/>
        <w:rPr>
          <w:highlight w:val="none"/>
          <w:lang w:eastAsia="zh-CN"/>
        </w:rPr>
      </w:pPr>
    </w:p>
    <w:p w14:paraId="6E38FE53">
      <w:pPr>
        <w:pStyle w:val="4"/>
        <w:spacing w:line="271" w:lineRule="auto"/>
        <w:rPr>
          <w:highlight w:val="none"/>
          <w:lang w:eastAsia="zh-CN"/>
        </w:rPr>
      </w:pPr>
    </w:p>
    <w:p w14:paraId="01D4EBF4">
      <w:pPr>
        <w:kinsoku/>
        <w:autoSpaceDE/>
        <w:autoSpaceDN/>
        <w:adjustRightInd/>
        <w:snapToGrid/>
        <w:textAlignment w:val="auto"/>
        <w:rPr>
          <w:rFonts w:ascii="宋体" w:hAnsi="宋体" w:eastAsia="宋体" w:cs="宋体"/>
          <w:b/>
          <w:bCs/>
          <w:spacing w:val="5"/>
          <w:sz w:val="31"/>
          <w:szCs w:val="31"/>
          <w:highlight w:val="none"/>
          <w:lang w:eastAsia="zh-CN"/>
        </w:rPr>
      </w:pPr>
      <w:r>
        <w:rPr>
          <w:rFonts w:ascii="宋体" w:hAnsi="宋体" w:eastAsia="宋体" w:cs="宋体"/>
          <w:b/>
          <w:bCs/>
          <w:spacing w:val="5"/>
          <w:sz w:val="31"/>
          <w:szCs w:val="31"/>
          <w:highlight w:val="none"/>
          <w:lang w:eastAsia="zh-CN"/>
        </w:rPr>
        <w:br w:type="page"/>
      </w:r>
    </w:p>
    <w:p w14:paraId="49B6A408">
      <w:pPr>
        <w:spacing w:before="100" w:line="226" w:lineRule="auto"/>
        <w:ind w:left="3218"/>
        <w:rPr>
          <w:rFonts w:ascii="宋体" w:hAnsi="宋体" w:eastAsia="宋体" w:cs="宋体"/>
          <w:sz w:val="31"/>
          <w:szCs w:val="31"/>
          <w:highlight w:val="none"/>
          <w:lang w:eastAsia="zh-CN"/>
        </w:rPr>
      </w:pPr>
      <w:r>
        <w:rPr>
          <w:rFonts w:ascii="宋体" w:hAnsi="宋体" w:eastAsia="宋体" w:cs="宋体"/>
          <w:b/>
          <w:bCs/>
          <w:spacing w:val="5"/>
          <w:sz w:val="31"/>
          <w:szCs w:val="31"/>
          <w:highlight w:val="none"/>
          <w:lang w:eastAsia="zh-CN"/>
        </w:rPr>
        <w:t>十、其他资料</w:t>
      </w:r>
    </w:p>
    <w:p w14:paraId="348127DB">
      <w:pPr>
        <w:spacing w:before="266" w:line="413" w:lineRule="auto"/>
        <w:ind w:left="25" w:right="35" w:firstLine="7"/>
        <w:rPr>
          <w:rFonts w:ascii="宋体" w:hAnsi="宋体" w:eastAsia="宋体" w:cs="宋体"/>
          <w:sz w:val="28"/>
          <w:szCs w:val="28"/>
          <w:highlight w:val="none"/>
          <w:lang w:eastAsia="zh-CN"/>
        </w:rPr>
      </w:pPr>
      <w:r>
        <w:rPr>
          <w:rFonts w:ascii="宋体" w:hAnsi="宋体" w:eastAsia="宋体" w:cs="宋体"/>
          <w:spacing w:val="-5"/>
          <w:sz w:val="28"/>
          <w:szCs w:val="28"/>
          <w:highlight w:val="none"/>
          <w:lang w:eastAsia="zh-CN"/>
        </w:rPr>
        <w:t>（招标文件、评分办法中提到的其他资料及供应商认为应附的其他资</w:t>
      </w:r>
      <w:r>
        <w:rPr>
          <w:rFonts w:ascii="宋体" w:hAnsi="宋体" w:eastAsia="宋体" w:cs="宋体"/>
          <w:spacing w:val="-1"/>
          <w:sz w:val="28"/>
          <w:szCs w:val="28"/>
          <w:highlight w:val="none"/>
          <w:lang w:eastAsia="zh-CN"/>
        </w:rPr>
        <w:t>料，格式自拟，应逐页加盖单位电子签章）</w:t>
      </w:r>
    </w:p>
    <w:p w14:paraId="1EEC1EA6">
      <w:pPr>
        <w:pStyle w:val="4"/>
        <w:spacing w:line="271" w:lineRule="auto"/>
        <w:rPr>
          <w:highlight w:val="none"/>
          <w:lang w:eastAsia="zh-CN"/>
        </w:rPr>
      </w:pPr>
    </w:p>
    <w:p w14:paraId="6B4F9712">
      <w:pPr>
        <w:pStyle w:val="4"/>
        <w:spacing w:line="271" w:lineRule="auto"/>
        <w:rPr>
          <w:highlight w:val="none"/>
          <w:lang w:eastAsia="zh-CN"/>
        </w:rPr>
      </w:pPr>
    </w:p>
    <w:p w14:paraId="3D08A2C8">
      <w:pPr>
        <w:pStyle w:val="4"/>
        <w:spacing w:line="271" w:lineRule="auto"/>
        <w:rPr>
          <w:highlight w:val="none"/>
          <w:lang w:eastAsia="zh-CN"/>
        </w:rPr>
      </w:pPr>
    </w:p>
    <w:p w14:paraId="043CE3A2">
      <w:pPr>
        <w:pStyle w:val="4"/>
        <w:spacing w:line="271" w:lineRule="auto"/>
        <w:rPr>
          <w:highlight w:val="none"/>
          <w:lang w:eastAsia="zh-CN"/>
        </w:rPr>
      </w:pPr>
    </w:p>
    <w:p w14:paraId="6DD2A24C">
      <w:pPr>
        <w:kinsoku/>
        <w:autoSpaceDE/>
        <w:autoSpaceDN/>
        <w:adjustRightInd/>
        <w:snapToGrid/>
        <w:textAlignment w:val="auto"/>
        <w:rPr>
          <w:rFonts w:ascii="宋体" w:hAnsi="宋体" w:eastAsia="宋体" w:cs="宋体"/>
          <w:b/>
          <w:bCs/>
          <w:spacing w:val="6"/>
          <w:sz w:val="31"/>
          <w:szCs w:val="31"/>
          <w:highlight w:val="none"/>
          <w:lang w:eastAsia="zh-CN"/>
        </w:rPr>
      </w:pPr>
      <w:r>
        <w:rPr>
          <w:rFonts w:ascii="宋体" w:hAnsi="宋体" w:eastAsia="宋体" w:cs="宋体"/>
          <w:b/>
          <w:bCs/>
          <w:spacing w:val="6"/>
          <w:sz w:val="31"/>
          <w:szCs w:val="31"/>
          <w:highlight w:val="none"/>
          <w:lang w:eastAsia="zh-CN"/>
        </w:rPr>
        <w:br w:type="page"/>
      </w:r>
    </w:p>
    <w:p w14:paraId="3E33A576">
      <w:pPr>
        <w:spacing w:before="100" w:line="224" w:lineRule="auto"/>
        <w:jc w:val="center"/>
        <w:rPr>
          <w:rFonts w:ascii="宋体" w:hAnsi="宋体" w:eastAsia="宋体" w:cs="宋体"/>
          <w:b/>
          <w:bCs/>
          <w:spacing w:val="6"/>
          <w:sz w:val="31"/>
          <w:szCs w:val="31"/>
          <w:highlight w:val="none"/>
          <w:lang w:eastAsia="zh-CN"/>
        </w:rPr>
      </w:pPr>
      <w:r>
        <w:rPr>
          <w:rFonts w:ascii="宋体" w:hAnsi="宋体" w:eastAsia="宋体" w:cs="宋体"/>
          <w:b/>
          <w:bCs/>
          <w:spacing w:val="6"/>
          <w:sz w:val="31"/>
          <w:szCs w:val="31"/>
          <w:highlight w:val="none"/>
          <w:lang w:eastAsia="zh-CN"/>
        </w:rPr>
        <w:t>十一、享受政府采购政策扶持的证明材料</w:t>
      </w:r>
    </w:p>
    <w:p w14:paraId="47AC7675">
      <w:pPr>
        <w:pStyle w:val="4"/>
        <w:spacing w:line="243" w:lineRule="auto"/>
        <w:rPr>
          <w:highlight w:val="none"/>
          <w:lang w:eastAsia="zh-CN"/>
        </w:rPr>
      </w:pPr>
    </w:p>
    <w:p w14:paraId="7B35BE13">
      <w:pPr>
        <w:pStyle w:val="4"/>
        <w:spacing w:line="243" w:lineRule="auto"/>
        <w:rPr>
          <w:highlight w:val="none"/>
          <w:lang w:eastAsia="zh-CN"/>
        </w:rPr>
      </w:pPr>
    </w:p>
    <w:p w14:paraId="732364E5">
      <w:pPr>
        <w:spacing w:before="91" w:line="220" w:lineRule="auto"/>
        <w:ind w:left="3003"/>
        <w:rPr>
          <w:rFonts w:ascii="宋体" w:hAnsi="宋体" w:eastAsia="宋体" w:cs="宋体"/>
          <w:sz w:val="28"/>
          <w:szCs w:val="28"/>
          <w:highlight w:val="none"/>
          <w:lang w:eastAsia="zh-CN"/>
        </w:rPr>
      </w:pPr>
      <w:r>
        <w:rPr>
          <w:rFonts w:ascii="宋体" w:hAnsi="宋体" w:eastAsia="宋体" w:cs="宋体"/>
          <w:b/>
          <w:bCs/>
          <w:spacing w:val="-9"/>
          <w:sz w:val="28"/>
          <w:szCs w:val="28"/>
          <w:highlight w:val="none"/>
          <w:lang w:eastAsia="zh-CN"/>
        </w:rPr>
        <w:t>1、中小企业声明函</w:t>
      </w:r>
    </w:p>
    <w:p w14:paraId="2A1DBE06">
      <w:pPr>
        <w:spacing w:before="151" w:line="220" w:lineRule="auto"/>
        <w:ind w:left="1170"/>
        <w:rPr>
          <w:rFonts w:ascii="宋体" w:hAnsi="宋体" w:eastAsia="宋体" w:cs="宋体"/>
          <w:sz w:val="24"/>
          <w:szCs w:val="24"/>
          <w:highlight w:val="none"/>
          <w:lang w:eastAsia="zh-CN"/>
        </w:rPr>
      </w:pPr>
      <w:r>
        <w:rPr>
          <w:rFonts w:ascii="宋体" w:hAnsi="宋体" w:eastAsia="宋体" w:cs="宋体"/>
          <w:b/>
          <w:bCs/>
          <w:spacing w:val="-3"/>
          <w:sz w:val="24"/>
          <w:szCs w:val="24"/>
          <w:highlight w:val="none"/>
          <w:lang w:eastAsia="zh-CN"/>
        </w:rPr>
        <w:t>（属于中小微企业的填写，不属于的无需填写此项内容）</w:t>
      </w:r>
    </w:p>
    <w:p w14:paraId="0051FA6D">
      <w:pPr>
        <w:spacing w:before="185" w:line="385" w:lineRule="auto"/>
        <w:ind w:left="22" w:right="81" w:firstLine="484"/>
        <w:jc w:val="both"/>
        <w:rPr>
          <w:rFonts w:ascii="宋体" w:hAnsi="宋体" w:eastAsia="宋体" w:cs="宋体"/>
          <w:sz w:val="24"/>
          <w:szCs w:val="24"/>
          <w:highlight w:val="none"/>
          <w:lang w:eastAsia="zh-CN"/>
        </w:rPr>
      </w:pPr>
      <w:r>
        <w:rPr>
          <w:rFonts w:ascii="宋体" w:hAnsi="宋体" w:eastAsia="宋体" w:cs="宋体"/>
          <w:spacing w:val="19"/>
          <w:sz w:val="24"/>
          <w:szCs w:val="24"/>
          <w:highlight w:val="none"/>
          <w:lang w:eastAsia="zh-CN"/>
        </w:rPr>
        <w:t>本公司郑重声明，根据《政府采购促进中小企业发展管理办法》（财</w:t>
      </w:r>
      <w:r>
        <w:rPr>
          <w:rFonts w:ascii="宋体" w:hAnsi="宋体" w:eastAsia="宋体" w:cs="宋体"/>
          <w:spacing w:val="12"/>
          <w:sz w:val="24"/>
          <w:szCs w:val="24"/>
          <w:highlight w:val="none"/>
          <w:lang w:eastAsia="zh-CN"/>
        </w:rPr>
        <w:t>库〔2020〕46</w:t>
      </w:r>
      <w:r>
        <w:rPr>
          <w:rFonts w:ascii="宋体" w:hAnsi="宋体" w:eastAsia="宋体" w:cs="宋体"/>
          <w:spacing w:val="59"/>
          <w:sz w:val="24"/>
          <w:szCs w:val="24"/>
          <w:highlight w:val="none"/>
          <w:lang w:eastAsia="zh-CN"/>
        </w:rPr>
        <w:t xml:space="preserve"> </w:t>
      </w:r>
      <w:r>
        <w:rPr>
          <w:rFonts w:ascii="宋体" w:hAnsi="宋体" w:eastAsia="宋体" w:cs="宋体"/>
          <w:spacing w:val="12"/>
          <w:sz w:val="24"/>
          <w:szCs w:val="24"/>
          <w:highlight w:val="none"/>
          <w:lang w:eastAsia="zh-CN"/>
        </w:rPr>
        <w:t>号）</w:t>
      </w:r>
      <w:r>
        <w:rPr>
          <w:rFonts w:ascii="宋体" w:hAnsi="宋体" w:eastAsia="宋体" w:cs="宋体"/>
          <w:spacing w:val="-56"/>
          <w:sz w:val="24"/>
          <w:szCs w:val="24"/>
          <w:highlight w:val="none"/>
          <w:lang w:eastAsia="zh-CN"/>
        </w:rPr>
        <w:t xml:space="preserve"> </w:t>
      </w:r>
      <w:r>
        <w:rPr>
          <w:rFonts w:ascii="宋体" w:hAnsi="宋体" w:eastAsia="宋体" w:cs="宋体"/>
          <w:spacing w:val="12"/>
          <w:sz w:val="24"/>
          <w:szCs w:val="24"/>
          <w:highlight w:val="none"/>
          <w:lang w:eastAsia="zh-CN"/>
        </w:rPr>
        <w:t>的规定，</w:t>
      </w:r>
      <w:r>
        <w:rPr>
          <w:rFonts w:ascii="宋体" w:hAnsi="宋体" w:eastAsia="宋体" w:cs="宋体"/>
          <w:spacing w:val="-72"/>
          <w:sz w:val="24"/>
          <w:szCs w:val="24"/>
          <w:highlight w:val="none"/>
          <w:lang w:eastAsia="zh-CN"/>
        </w:rPr>
        <w:t xml:space="preserve"> </w:t>
      </w:r>
      <w:r>
        <w:rPr>
          <w:rFonts w:ascii="宋体" w:hAnsi="宋体" w:eastAsia="宋体" w:cs="宋体"/>
          <w:spacing w:val="12"/>
          <w:sz w:val="24"/>
          <w:szCs w:val="24"/>
          <w:highlight w:val="none"/>
          <w:lang w:eastAsia="zh-CN"/>
        </w:rPr>
        <w:t>本公司（联合体）</w:t>
      </w:r>
      <w:r>
        <w:rPr>
          <w:rFonts w:ascii="宋体" w:hAnsi="宋体" w:eastAsia="宋体" w:cs="宋体"/>
          <w:spacing w:val="-68"/>
          <w:sz w:val="24"/>
          <w:szCs w:val="24"/>
          <w:highlight w:val="none"/>
          <w:lang w:eastAsia="zh-CN"/>
        </w:rPr>
        <w:t xml:space="preserve"> </w:t>
      </w:r>
      <w:r>
        <w:rPr>
          <w:rFonts w:ascii="宋体" w:hAnsi="宋体" w:eastAsia="宋体" w:cs="宋体"/>
          <w:spacing w:val="12"/>
          <w:sz w:val="24"/>
          <w:szCs w:val="24"/>
          <w:highlight w:val="none"/>
          <w:lang w:eastAsia="zh-CN"/>
        </w:rPr>
        <w:t>参加</w:t>
      </w:r>
      <w:r>
        <w:rPr>
          <w:rFonts w:ascii="宋体" w:hAnsi="宋体" w:eastAsia="宋体" w:cs="宋体"/>
          <w:spacing w:val="12"/>
          <w:sz w:val="24"/>
          <w:szCs w:val="24"/>
          <w:highlight w:val="none"/>
          <w:u w:val="single"/>
          <w:lang w:eastAsia="zh-CN"/>
        </w:rPr>
        <w:t>（</w:t>
      </w:r>
      <w:r>
        <w:rPr>
          <w:rFonts w:ascii="宋体" w:hAnsi="宋体" w:eastAsia="宋体" w:cs="宋体"/>
          <w:spacing w:val="11"/>
          <w:sz w:val="24"/>
          <w:szCs w:val="24"/>
          <w:highlight w:val="none"/>
          <w:u w:val="single"/>
          <w:lang w:eastAsia="zh-CN"/>
        </w:rPr>
        <w:t>单位名称）</w:t>
      </w:r>
      <w:r>
        <w:rPr>
          <w:rFonts w:ascii="宋体" w:hAnsi="宋体" w:eastAsia="宋体" w:cs="宋体"/>
          <w:spacing w:val="-49"/>
          <w:sz w:val="24"/>
          <w:szCs w:val="24"/>
          <w:highlight w:val="none"/>
          <w:u w:val="single"/>
          <w:lang w:eastAsia="zh-CN"/>
        </w:rPr>
        <w:t xml:space="preserve"> </w:t>
      </w:r>
      <w:r>
        <w:rPr>
          <w:rFonts w:ascii="宋体" w:hAnsi="宋体" w:eastAsia="宋体" w:cs="宋体"/>
          <w:spacing w:val="11"/>
          <w:sz w:val="24"/>
          <w:szCs w:val="24"/>
          <w:highlight w:val="none"/>
          <w:lang w:eastAsia="zh-CN"/>
        </w:rPr>
        <w:t>的</w:t>
      </w:r>
      <w:r>
        <w:rPr>
          <w:rFonts w:ascii="宋体" w:hAnsi="宋体" w:eastAsia="宋体" w:cs="宋体"/>
          <w:spacing w:val="11"/>
          <w:sz w:val="24"/>
          <w:szCs w:val="24"/>
          <w:highlight w:val="none"/>
          <w:u w:val="single"/>
          <w:lang w:eastAsia="zh-CN"/>
        </w:rPr>
        <w:t>（项</w:t>
      </w:r>
      <w:r>
        <w:rPr>
          <w:rFonts w:ascii="宋体" w:hAnsi="宋体" w:eastAsia="宋体" w:cs="宋体"/>
          <w:spacing w:val="24"/>
          <w:sz w:val="24"/>
          <w:szCs w:val="24"/>
          <w:highlight w:val="none"/>
          <w:u w:val="single"/>
          <w:lang w:eastAsia="zh-CN"/>
        </w:rPr>
        <w:t>目名称）</w:t>
      </w:r>
      <w:r>
        <w:rPr>
          <w:rFonts w:ascii="宋体" w:hAnsi="宋体" w:eastAsia="宋体" w:cs="宋体"/>
          <w:spacing w:val="-40"/>
          <w:sz w:val="24"/>
          <w:szCs w:val="24"/>
          <w:highlight w:val="none"/>
          <w:u w:val="single"/>
          <w:lang w:eastAsia="zh-CN"/>
        </w:rPr>
        <w:t xml:space="preserve"> </w:t>
      </w:r>
      <w:r>
        <w:rPr>
          <w:rFonts w:ascii="宋体" w:hAnsi="宋体" w:eastAsia="宋体" w:cs="宋体"/>
          <w:spacing w:val="24"/>
          <w:sz w:val="24"/>
          <w:szCs w:val="24"/>
          <w:highlight w:val="none"/>
          <w:lang w:eastAsia="zh-CN"/>
        </w:rPr>
        <w:t>采购活动。服务全部由符合正常要求的中小企业承接。相关企</w:t>
      </w:r>
      <w:r>
        <w:rPr>
          <w:rFonts w:ascii="宋体" w:hAnsi="宋体" w:eastAsia="宋体" w:cs="宋体"/>
          <w:spacing w:val="20"/>
          <w:sz w:val="24"/>
          <w:szCs w:val="24"/>
          <w:highlight w:val="none"/>
          <w:lang w:eastAsia="zh-CN"/>
        </w:rPr>
        <w:t>业的具体情况如下：</w:t>
      </w:r>
    </w:p>
    <w:p w14:paraId="0203E0AB">
      <w:pPr>
        <w:spacing w:before="1" w:line="219" w:lineRule="auto"/>
        <w:ind w:left="523"/>
        <w:rPr>
          <w:rFonts w:ascii="宋体" w:hAnsi="宋体" w:eastAsia="宋体" w:cs="宋体"/>
          <w:sz w:val="24"/>
          <w:szCs w:val="24"/>
          <w:highlight w:val="none"/>
          <w:lang w:eastAsia="zh-CN"/>
        </w:rPr>
      </w:pPr>
      <w:r>
        <w:rPr>
          <w:rFonts w:ascii="宋体" w:hAnsi="宋体" w:eastAsia="宋体" w:cs="宋体"/>
          <w:spacing w:val="18"/>
          <w:sz w:val="24"/>
          <w:szCs w:val="24"/>
          <w:highlight w:val="none"/>
          <w:lang w:eastAsia="zh-CN"/>
        </w:rPr>
        <w:t>1、</w:t>
      </w:r>
      <w:r>
        <w:rPr>
          <w:rFonts w:ascii="宋体" w:hAnsi="宋体" w:eastAsia="宋体" w:cs="宋体"/>
          <w:spacing w:val="18"/>
          <w:sz w:val="24"/>
          <w:szCs w:val="24"/>
          <w:highlight w:val="none"/>
          <w:u w:val="single"/>
          <w:lang w:eastAsia="zh-CN"/>
        </w:rPr>
        <w:t>（标的名称</w:t>
      </w:r>
      <w:r>
        <w:rPr>
          <w:rFonts w:ascii="宋体" w:hAnsi="宋体" w:eastAsia="宋体" w:cs="宋体"/>
          <w:spacing w:val="3"/>
          <w:sz w:val="24"/>
          <w:szCs w:val="24"/>
          <w:highlight w:val="none"/>
          <w:u w:val="single"/>
          <w:lang w:eastAsia="zh-CN"/>
        </w:rPr>
        <w:t>）</w:t>
      </w:r>
      <w:r>
        <w:rPr>
          <w:rFonts w:ascii="宋体" w:hAnsi="宋体" w:eastAsia="宋体" w:cs="宋体"/>
          <w:spacing w:val="-32"/>
          <w:sz w:val="24"/>
          <w:szCs w:val="24"/>
          <w:highlight w:val="none"/>
          <w:u w:val="single"/>
          <w:lang w:eastAsia="zh-CN"/>
        </w:rPr>
        <w:t xml:space="preserve"> </w:t>
      </w:r>
      <w:r>
        <w:rPr>
          <w:rFonts w:ascii="宋体" w:hAnsi="宋体" w:eastAsia="宋体" w:cs="宋体"/>
          <w:spacing w:val="3"/>
          <w:sz w:val="24"/>
          <w:szCs w:val="24"/>
          <w:highlight w:val="none"/>
          <w:lang w:eastAsia="zh-CN"/>
        </w:rPr>
        <w:t>，</w:t>
      </w:r>
      <w:r>
        <w:rPr>
          <w:rFonts w:ascii="宋体" w:hAnsi="宋体" w:eastAsia="宋体" w:cs="宋体"/>
          <w:spacing w:val="18"/>
          <w:sz w:val="24"/>
          <w:szCs w:val="24"/>
          <w:highlight w:val="none"/>
          <w:lang w:eastAsia="zh-CN"/>
        </w:rPr>
        <w:t>属于</w:t>
      </w:r>
      <w:r>
        <w:rPr>
          <w:rFonts w:ascii="宋体" w:hAnsi="宋体" w:eastAsia="宋体" w:cs="宋体"/>
          <w:spacing w:val="-91"/>
          <w:sz w:val="24"/>
          <w:szCs w:val="24"/>
          <w:highlight w:val="none"/>
          <w:lang w:eastAsia="zh-CN"/>
        </w:rPr>
        <w:t xml:space="preserve"> </w:t>
      </w:r>
      <w:r>
        <w:rPr>
          <w:rFonts w:ascii="宋体" w:hAnsi="宋体" w:eastAsia="宋体" w:cs="宋体"/>
          <w:spacing w:val="6"/>
          <w:sz w:val="24"/>
          <w:szCs w:val="24"/>
          <w:highlight w:val="none"/>
          <w:u w:val="single"/>
          <w:lang w:eastAsia="zh-CN"/>
        </w:rPr>
        <w:t xml:space="preserve">       </w:t>
      </w:r>
      <w:r>
        <w:rPr>
          <w:rFonts w:ascii="宋体" w:hAnsi="宋体" w:eastAsia="宋体" w:cs="宋体"/>
          <w:spacing w:val="-100"/>
          <w:sz w:val="24"/>
          <w:szCs w:val="24"/>
          <w:highlight w:val="none"/>
          <w:lang w:eastAsia="zh-CN"/>
        </w:rPr>
        <w:t xml:space="preserve"> </w:t>
      </w:r>
      <w:r>
        <w:rPr>
          <w:rFonts w:ascii="宋体" w:hAnsi="宋体" w:eastAsia="宋体" w:cs="宋体"/>
          <w:spacing w:val="18"/>
          <w:sz w:val="24"/>
          <w:szCs w:val="24"/>
          <w:highlight w:val="none"/>
          <w:lang w:eastAsia="zh-CN"/>
        </w:rPr>
        <w:t>行业：</w:t>
      </w:r>
      <w:r>
        <w:rPr>
          <w:rFonts w:ascii="宋体" w:hAnsi="宋体" w:eastAsia="宋体" w:cs="宋体"/>
          <w:spacing w:val="-59"/>
          <w:sz w:val="24"/>
          <w:szCs w:val="24"/>
          <w:highlight w:val="none"/>
          <w:lang w:eastAsia="zh-CN"/>
        </w:rPr>
        <w:t xml:space="preserve"> </w:t>
      </w:r>
      <w:r>
        <w:rPr>
          <w:rFonts w:ascii="宋体" w:hAnsi="宋体" w:eastAsia="宋体" w:cs="宋体"/>
          <w:spacing w:val="18"/>
          <w:sz w:val="24"/>
          <w:szCs w:val="24"/>
          <w:highlight w:val="none"/>
          <w:lang w:eastAsia="zh-CN"/>
        </w:rPr>
        <w:t>承接企业为</w:t>
      </w:r>
      <w:r>
        <w:rPr>
          <w:rFonts w:ascii="宋体" w:hAnsi="宋体" w:eastAsia="宋体" w:cs="宋体"/>
          <w:spacing w:val="18"/>
          <w:sz w:val="24"/>
          <w:szCs w:val="24"/>
          <w:highlight w:val="none"/>
          <w:u w:val="single"/>
          <w:lang w:eastAsia="zh-CN"/>
        </w:rPr>
        <w:t>（企业名称</w:t>
      </w:r>
      <w:r>
        <w:rPr>
          <w:rFonts w:ascii="宋体" w:hAnsi="宋体" w:eastAsia="宋体" w:cs="宋体"/>
          <w:spacing w:val="3"/>
          <w:sz w:val="24"/>
          <w:szCs w:val="24"/>
          <w:highlight w:val="none"/>
          <w:u w:val="single"/>
          <w:lang w:eastAsia="zh-CN"/>
        </w:rPr>
        <w:t>）</w:t>
      </w:r>
      <w:r>
        <w:rPr>
          <w:rFonts w:ascii="宋体" w:hAnsi="宋体" w:eastAsia="宋体" w:cs="宋体"/>
          <w:spacing w:val="-61"/>
          <w:sz w:val="24"/>
          <w:szCs w:val="24"/>
          <w:highlight w:val="none"/>
          <w:u w:val="single"/>
          <w:lang w:eastAsia="zh-CN"/>
        </w:rPr>
        <w:t xml:space="preserve"> </w:t>
      </w:r>
      <w:r>
        <w:rPr>
          <w:rFonts w:ascii="宋体" w:hAnsi="宋体" w:eastAsia="宋体" w:cs="宋体"/>
          <w:spacing w:val="3"/>
          <w:sz w:val="24"/>
          <w:szCs w:val="24"/>
          <w:highlight w:val="none"/>
          <w:lang w:eastAsia="zh-CN"/>
        </w:rPr>
        <w:t>，</w:t>
      </w:r>
    </w:p>
    <w:p w14:paraId="3DC1BE4C">
      <w:pPr>
        <w:spacing w:before="215" w:line="302" w:lineRule="auto"/>
        <w:ind w:left="30" w:right="102" w:hanging="4"/>
        <w:rPr>
          <w:rFonts w:ascii="宋体" w:hAnsi="宋体" w:eastAsia="宋体" w:cs="宋体"/>
          <w:sz w:val="24"/>
          <w:szCs w:val="24"/>
          <w:highlight w:val="none"/>
          <w:lang w:eastAsia="zh-CN"/>
        </w:rPr>
      </w:pPr>
      <w:r>
        <w:rPr>
          <w:rFonts w:ascii="宋体" w:hAnsi="宋体" w:eastAsia="宋体" w:cs="宋体"/>
          <w:spacing w:val="9"/>
          <w:sz w:val="24"/>
          <w:szCs w:val="24"/>
          <w:highlight w:val="none"/>
          <w:lang w:eastAsia="zh-CN"/>
        </w:rPr>
        <w:t>从业人员</w:t>
      </w:r>
      <w:r>
        <w:rPr>
          <w:rFonts w:ascii="宋体" w:hAnsi="宋体" w:eastAsia="宋体" w:cs="宋体"/>
          <w:spacing w:val="-94"/>
          <w:sz w:val="24"/>
          <w:szCs w:val="24"/>
          <w:highlight w:val="none"/>
          <w:lang w:eastAsia="zh-CN"/>
        </w:rPr>
        <w:t xml:space="preserve"> </w:t>
      </w:r>
      <w:r>
        <w:rPr>
          <w:rFonts w:ascii="宋体" w:hAnsi="宋体" w:eastAsia="宋体" w:cs="宋体"/>
          <w:spacing w:val="34"/>
          <w:sz w:val="24"/>
          <w:szCs w:val="24"/>
          <w:highlight w:val="none"/>
          <w:u w:val="single"/>
          <w:lang w:eastAsia="zh-CN"/>
        </w:rPr>
        <w:t xml:space="preserve">  </w:t>
      </w:r>
      <w:r>
        <w:rPr>
          <w:rFonts w:ascii="宋体" w:hAnsi="宋体" w:eastAsia="宋体" w:cs="宋体"/>
          <w:spacing w:val="9"/>
          <w:sz w:val="24"/>
          <w:szCs w:val="24"/>
          <w:highlight w:val="none"/>
          <w:u w:val="single"/>
          <w:lang w:eastAsia="zh-CN"/>
        </w:rPr>
        <w:t>人</w:t>
      </w:r>
      <w:r>
        <w:rPr>
          <w:rFonts w:ascii="宋体" w:hAnsi="宋体" w:eastAsia="宋体" w:cs="宋体"/>
          <w:spacing w:val="9"/>
          <w:sz w:val="24"/>
          <w:szCs w:val="24"/>
          <w:highlight w:val="none"/>
          <w:lang w:eastAsia="zh-CN"/>
        </w:rPr>
        <w:t>，营业收入为</w:t>
      </w:r>
      <w:r>
        <w:rPr>
          <w:rFonts w:ascii="宋体" w:hAnsi="宋体" w:eastAsia="宋体" w:cs="宋体"/>
          <w:spacing w:val="-89"/>
          <w:sz w:val="24"/>
          <w:szCs w:val="24"/>
          <w:highlight w:val="none"/>
          <w:lang w:eastAsia="zh-CN"/>
        </w:rPr>
        <w:t xml:space="preserve"> </w:t>
      </w:r>
      <w:r>
        <w:rPr>
          <w:rFonts w:ascii="宋体" w:hAnsi="宋体" w:eastAsia="宋体" w:cs="宋体"/>
          <w:spacing w:val="1"/>
          <w:sz w:val="24"/>
          <w:szCs w:val="24"/>
          <w:highlight w:val="none"/>
          <w:u w:val="single"/>
          <w:lang w:eastAsia="zh-CN"/>
        </w:rPr>
        <w:t xml:space="preserve">     </w:t>
      </w:r>
      <w:r>
        <w:rPr>
          <w:rFonts w:ascii="宋体" w:hAnsi="宋体" w:eastAsia="宋体" w:cs="宋体"/>
          <w:spacing w:val="9"/>
          <w:sz w:val="24"/>
          <w:szCs w:val="24"/>
          <w:highlight w:val="none"/>
          <w:u w:val="single"/>
          <w:lang w:eastAsia="zh-CN"/>
        </w:rPr>
        <w:t>万元</w:t>
      </w:r>
      <w:r>
        <w:rPr>
          <w:rFonts w:ascii="宋体" w:hAnsi="宋体" w:eastAsia="宋体" w:cs="宋体"/>
          <w:spacing w:val="9"/>
          <w:sz w:val="24"/>
          <w:szCs w:val="24"/>
          <w:highlight w:val="none"/>
          <w:lang w:eastAsia="zh-CN"/>
        </w:rPr>
        <w:t>，资产总额为</w:t>
      </w:r>
      <w:r>
        <w:rPr>
          <w:rFonts w:ascii="宋体" w:hAnsi="宋体" w:eastAsia="宋体" w:cs="宋体"/>
          <w:spacing w:val="-91"/>
          <w:sz w:val="24"/>
          <w:szCs w:val="24"/>
          <w:highlight w:val="none"/>
          <w:lang w:eastAsia="zh-CN"/>
        </w:rPr>
        <w:t xml:space="preserve"> </w:t>
      </w:r>
      <w:r>
        <w:rPr>
          <w:rFonts w:ascii="宋体" w:hAnsi="宋体" w:eastAsia="宋体" w:cs="宋体"/>
          <w:spacing w:val="9"/>
          <w:sz w:val="24"/>
          <w:szCs w:val="24"/>
          <w:highlight w:val="none"/>
          <w:u w:val="single"/>
          <w:lang w:eastAsia="zh-CN"/>
        </w:rPr>
        <w:t xml:space="preserve">      万元</w:t>
      </w:r>
      <w:r>
        <w:rPr>
          <w:rFonts w:ascii="宋体" w:hAnsi="宋体" w:eastAsia="宋体" w:cs="宋体"/>
          <w:spacing w:val="8"/>
          <w:sz w:val="24"/>
          <w:szCs w:val="24"/>
          <w:highlight w:val="none"/>
          <w:lang w:eastAsia="zh-CN"/>
        </w:rPr>
        <w:t>，属于</w:t>
      </w:r>
      <w:r>
        <w:rPr>
          <w:rFonts w:ascii="宋体" w:hAnsi="宋体" w:eastAsia="宋体" w:cs="宋体"/>
          <w:spacing w:val="8"/>
          <w:sz w:val="24"/>
          <w:szCs w:val="24"/>
          <w:highlight w:val="none"/>
          <w:u w:val="single"/>
          <w:lang w:eastAsia="zh-CN"/>
        </w:rPr>
        <w:t>（中</w:t>
      </w:r>
      <w:r>
        <w:rPr>
          <w:rFonts w:ascii="宋体" w:hAnsi="宋体" w:eastAsia="宋体" w:cs="宋体"/>
          <w:spacing w:val="24"/>
          <w:sz w:val="24"/>
          <w:szCs w:val="24"/>
          <w:highlight w:val="none"/>
          <w:u w:val="single"/>
          <w:lang w:eastAsia="zh-CN"/>
        </w:rPr>
        <w:t>型企业、小型企业、微型企业</w:t>
      </w:r>
      <w:r>
        <w:rPr>
          <w:rFonts w:ascii="宋体" w:hAnsi="宋体" w:eastAsia="宋体" w:cs="宋体"/>
          <w:spacing w:val="2"/>
          <w:sz w:val="24"/>
          <w:szCs w:val="24"/>
          <w:highlight w:val="none"/>
          <w:u w:val="single"/>
          <w:lang w:eastAsia="zh-CN"/>
        </w:rPr>
        <w:t>）</w:t>
      </w:r>
      <w:r>
        <w:rPr>
          <w:rFonts w:ascii="宋体" w:hAnsi="宋体" w:eastAsia="宋体" w:cs="宋体"/>
          <w:spacing w:val="-60"/>
          <w:sz w:val="24"/>
          <w:szCs w:val="24"/>
          <w:highlight w:val="none"/>
          <w:u w:val="single"/>
          <w:lang w:eastAsia="zh-CN"/>
        </w:rPr>
        <w:t xml:space="preserve"> </w:t>
      </w:r>
      <w:r>
        <w:rPr>
          <w:rFonts w:ascii="宋体" w:hAnsi="宋体" w:eastAsia="宋体" w:cs="宋体"/>
          <w:spacing w:val="2"/>
          <w:sz w:val="24"/>
          <w:szCs w:val="24"/>
          <w:highlight w:val="none"/>
          <w:lang w:eastAsia="zh-CN"/>
        </w:rPr>
        <w:t>；</w:t>
      </w:r>
    </w:p>
    <w:p w14:paraId="4CC68304">
      <w:pPr>
        <w:spacing w:before="213" w:line="330" w:lineRule="auto"/>
        <w:ind w:left="26" w:firstLine="482"/>
        <w:rPr>
          <w:rFonts w:ascii="宋体" w:hAnsi="宋体" w:eastAsia="宋体" w:cs="宋体"/>
          <w:sz w:val="24"/>
          <w:szCs w:val="24"/>
          <w:highlight w:val="none"/>
          <w:lang w:eastAsia="zh-CN"/>
        </w:rPr>
      </w:pPr>
      <w:r>
        <w:rPr>
          <w:rFonts w:ascii="宋体" w:hAnsi="宋体" w:eastAsia="宋体" w:cs="宋体"/>
          <w:spacing w:val="18"/>
          <w:sz w:val="24"/>
          <w:szCs w:val="24"/>
          <w:highlight w:val="none"/>
          <w:lang w:eastAsia="zh-CN"/>
        </w:rPr>
        <w:t>2、</w:t>
      </w:r>
      <w:r>
        <w:rPr>
          <w:rFonts w:ascii="宋体" w:hAnsi="宋体" w:eastAsia="宋体" w:cs="宋体"/>
          <w:spacing w:val="18"/>
          <w:sz w:val="24"/>
          <w:szCs w:val="24"/>
          <w:highlight w:val="none"/>
          <w:u w:val="single"/>
          <w:lang w:eastAsia="zh-CN"/>
        </w:rPr>
        <w:t>（标</w:t>
      </w:r>
      <w:r>
        <w:rPr>
          <w:rFonts w:ascii="宋体" w:hAnsi="宋体" w:eastAsia="宋体" w:cs="宋体"/>
          <w:spacing w:val="-59"/>
          <w:sz w:val="24"/>
          <w:szCs w:val="24"/>
          <w:highlight w:val="none"/>
          <w:u w:val="single"/>
          <w:lang w:eastAsia="zh-CN"/>
        </w:rPr>
        <w:t xml:space="preserve"> </w:t>
      </w:r>
      <w:r>
        <w:rPr>
          <w:rFonts w:ascii="宋体" w:hAnsi="宋体" w:eastAsia="宋体" w:cs="宋体"/>
          <w:spacing w:val="18"/>
          <w:sz w:val="24"/>
          <w:szCs w:val="24"/>
          <w:highlight w:val="none"/>
          <w:u w:val="single"/>
          <w:lang w:eastAsia="zh-CN"/>
        </w:rPr>
        <w:t>的名称</w:t>
      </w:r>
      <w:r>
        <w:rPr>
          <w:rFonts w:ascii="宋体" w:hAnsi="宋体" w:eastAsia="宋体" w:cs="宋体"/>
          <w:spacing w:val="-55"/>
          <w:sz w:val="24"/>
          <w:szCs w:val="24"/>
          <w:highlight w:val="none"/>
          <w:u w:val="single"/>
          <w:lang w:eastAsia="zh-CN"/>
        </w:rPr>
        <w:t xml:space="preserve"> </w:t>
      </w:r>
      <w:r>
        <w:rPr>
          <w:rFonts w:ascii="宋体" w:hAnsi="宋体" w:eastAsia="宋体" w:cs="宋体"/>
          <w:spacing w:val="-17"/>
          <w:sz w:val="24"/>
          <w:szCs w:val="24"/>
          <w:highlight w:val="none"/>
          <w:u w:val="single"/>
          <w:lang w:eastAsia="zh-CN"/>
        </w:rPr>
        <w:t>）</w:t>
      </w:r>
      <w:r>
        <w:rPr>
          <w:rFonts w:ascii="宋体" w:hAnsi="宋体" w:eastAsia="宋体" w:cs="宋体"/>
          <w:spacing w:val="-60"/>
          <w:sz w:val="24"/>
          <w:szCs w:val="24"/>
          <w:highlight w:val="none"/>
          <w:u w:val="single"/>
          <w:lang w:eastAsia="zh-CN"/>
        </w:rPr>
        <w:t xml:space="preserve"> </w:t>
      </w:r>
      <w:r>
        <w:rPr>
          <w:rFonts w:ascii="宋体" w:hAnsi="宋体" w:eastAsia="宋体" w:cs="宋体"/>
          <w:spacing w:val="-17"/>
          <w:sz w:val="24"/>
          <w:szCs w:val="24"/>
          <w:highlight w:val="none"/>
          <w:lang w:eastAsia="zh-CN"/>
        </w:rPr>
        <w:t>，</w:t>
      </w:r>
      <w:r>
        <w:rPr>
          <w:rFonts w:ascii="宋体" w:hAnsi="宋体" w:eastAsia="宋体" w:cs="宋体"/>
          <w:spacing w:val="18"/>
          <w:sz w:val="24"/>
          <w:szCs w:val="24"/>
          <w:highlight w:val="none"/>
          <w:lang w:eastAsia="zh-CN"/>
        </w:rPr>
        <w:t>属于</w:t>
      </w:r>
      <w:r>
        <w:rPr>
          <w:rFonts w:ascii="宋体" w:hAnsi="宋体" w:eastAsia="宋体" w:cs="宋体"/>
          <w:spacing w:val="-88"/>
          <w:sz w:val="24"/>
          <w:szCs w:val="24"/>
          <w:highlight w:val="none"/>
          <w:lang w:eastAsia="zh-CN"/>
        </w:rPr>
        <w:t xml:space="preserve"> </w:t>
      </w:r>
      <w:r>
        <w:rPr>
          <w:rFonts w:ascii="宋体" w:hAnsi="宋体" w:eastAsia="宋体" w:cs="宋体"/>
          <w:spacing w:val="11"/>
          <w:sz w:val="24"/>
          <w:szCs w:val="24"/>
          <w:highlight w:val="none"/>
          <w:u w:val="single"/>
          <w:lang w:eastAsia="zh-CN"/>
        </w:rPr>
        <w:t xml:space="preserve">        </w:t>
      </w:r>
      <w:r>
        <w:rPr>
          <w:rFonts w:ascii="宋体" w:hAnsi="宋体" w:eastAsia="宋体" w:cs="宋体"/>
          <w:spacing w:val="-102"/>
          <w:sz w:val="24"/>
          <w:szCs w:val="24"/>
          <w:highlight w:val="none"/>
          <w:lang w:eastAsia="zh-CN"/>
        </w:rPr>
        <w:t xml:space="preserve"> </w:t>
      </w:r>
      <w:r>
        <w:rPr>
          <w:rFonts w:ascii="宋体" w:hAnsi="宋体" w:eastAsia="宋体" w:cs="宋体"/>
          <w:spacing w:val="18"/>
          <w:sz w:val="24"/>
          <w:szCs w:val="24"/>
          <w:highlight w:val="none"/>
          <w:lang w:eastAsia="zh-CN"/>
        </w:rPr>
        <w:t>行业</w:t>
      </w:r>
      <w:r>
        <w:rPr>
          <w:rFonts w:ascii="宋体" w:hAnsi="宋体" w:eastAsia="宋体" w:cs="宋体"/>
          <w:spacing w:val="-59"/>
          <w:sz w:val="24"/>
          <w:szCs w:val="24"/>
          <w:highlight w:val="none"/>
          <w:lang w:eastAsia="zh-CN"/>
        </w:rPr>
        <w:t xml:space="preserve"> </w:t>
      </w:r>
      <w:r>
        <w:rPr>
          <w:rFonts w:ascii="宋体" w:hAnsi="宋体" w:eastAsia="宋体" w:cs="宋体"/>
          <w:spacing w:val="18"/>
          <w:sz w:val="24"/>
          <w:szCs w:val="24"/>
          <w:highlight w:val="none"/>
          <w:lang w:eastAsia="zh-CN"/>
        </w:rPr>
        <w:t>：承接企业为</w:t>
      </w:r>
      <w:r>
        <w:rPr>
          <w:rFonts w:ascii="宋体" w:hAnsi="宋体" w:eastAsia="宋体" w:cs="宋体"/>
          <w:spacing w:val="18"/>
          <w:sz w:val="24"/>
          <w:szCs w:val="24"/>
          <w:highlight w:val="none"/>
          <w:u w:val="single"/>
          <w:lang w:eastAsia="zh-CN"/>
        </w:rPr>
        <w:t>（企业名称</w:t>
      </w:r>
      <w:r>
        <w:rPr>
          <w:rFonts w:ascii="宋体" w:hAnsi="宋体" w:eastAsia="宋体" w:cs="宋体"/>
          <w:spacing w:val="-51"/>
          <w:sz w:val="24"/>
          <w:szCs w:val="24"/>
          <w:highlight w:val="none"/>
          <w:u w:val="single"/>
          <w:lang w:eastAsia="zh-CN"/>
        </w:rPr>
        <w:t xml:space="preserve"> </w:t>
      </w:r>
      <w:r>
        <w:rPr>
          <w:rFonts w:ascii="宋体" w:hAnsi="宋体" w:eastAsia="宋体" w:cs="宋体"/>
          <w:spacing w:val="-17"/>
          <w:sz w:val="24"/>
          <w:szCs w:val="24"/>
          <w:highlight w:val="none"/>
          <w:u w:val="single"/>
          <w:lang w:eastAsia="zh-CN"/>
        </w:rPr>
        <w:t>）</w:t>
      </w:r>
      <w:r>
        <w:rPr>
          <w:rFonts w:ascii="宋体" w:hAnsi="宋体" w:eastAsia="宋体" w:cs="宋体"/>
          <w:spacing w:val="-17"/>
          <w:sz w:val="24"/>
          <w:szCs w:val="24"/>
          <w:highlight w:val="none"/>
          <w:lang w:eastAsia="zh-CN"/>
        </w:rPr>
        <w:t>，</w:t>
      </w:r>
      <w:r>
        <w:rPr>
          <w:rFonts w:ascii="宋体" w:hAnsi="宋体" w:eastAsia="宋体" w:cs="宋体"/>
          <w:spacing w:val="9"/>
          <w:sz w:val="24"/>
          <w:szCs w:val="24"/>
          <w:highlight w:val="none"/>
          <w:lang w:eastAsia="zh-CN"/>
        </w:rPr>
        <w:t>从业人员</w:t>
      </w:r>
      <w:r>
        <w:rPr>
          <w:rFonts w:ascii="宋体" w:hAnsi="宋体" w:eastAsia="宋体" w:cs="宋体"/>
          <w:spacing w:val="-94"/>
          <w:sz w:val="24"/>
          <w:szCs w:val="24"/>
          <w:highlight w:val="none"/>
          <w:lang w:eastAsia="zh-CN"/>
        </w:rPr>
        <w:t xml:space="preserve"> </w:t>
      </w:r>
      <w:r>
        <w:rPr>
          <w:rFonts w:ascii="宋体" w:hAnsi="宋体" w:eastAsia="宋体" w:cs="宋体"/>
          <w:spacing w:val="34"/>
          <w:sz w:val="24"/>
          <w:szCs w:val="24"/>
          <w:highlight w:val="none"/>
          <w:u w:val="single"/>
          <w:lang w:eastAsia="zh-CN"/>
        </w:rPr>
        <w:t xml:space="preserve">  </w:t>
      </w:r>
      <w:r>
        <w:rPr>
          <w:rFonts w:ascii="宋体" w:hAnsi="宋体" w:eastAsia="宋体" w:cs="宋体"/>
          <w:spacing w:val="9"/>
          <w:sz w:val="24"/>
          <w:szCs w:val="24"/>
          <w:highlight w:val="none"/>
          <w:u w:val="single"/>
          <w:lang w:eastAsia="zh-CN"/>
        </w:rPr>
        <w:t>人</w:t>
      </w:r>
      <w:r>
        <w:rPr>
          <w:rFonts w:ascii="宋体" w:hAnsi="宋体" w:eastAsia="宋体" w:cs="宋体"/>
          <w:spacing w:val="9"/>
          <w:sz w:val="24"/>
          <w:szCs w:val="24"/>
          <w:highlight w:val="none"/>
          <w:lang w:eastAsia="zh-CN"/>
        </w:rPr>
        <w:t>，营业收入为</w:t>
      </w:r>
      <w:r>
        <w:rPr>
          <w:rFonts w:ascii="宋体" w:hAnsi="宋体" w:eastAsia="宋体" w:cs="宋体"/>
          <w:spacing w:val="-89"/>
          <w:sz w:val="24"/>
          <w:szCs w:val="24"/>
          <w:highlight w:val="none"/>
          <w:lang w:eastAsia="zh-CN"/>
        </w:rPr>
        <w:t xml:space="preserve"> </w:t>
      </w:r>
      <w:r>
        <w:rPr>
          <w:rFonts w:ascii="宋体" w:hAnsi="宋体" w:eastAsia="宋体" w:cs="宋体"/>
          <w:spacing w:val="1"/>
          <w:sz w:val="24"/>
          <w:szCs w:val="24"/>
          <w:highlight w:val="none"/>
          <w:u w:val="single"/>
          <w:lang w:eastAsia="zh-CN"/>
        </w:rPr>
        <w:t xml:space="preserve">     </w:t>
      </w:r>
      <w:r>
        <w:rPr>
          <w:rFonts w:ascii="宋体" w:hAnsi="宋体" w:eastAsia="宋体" w:cs="宋体"/>
          <w:spacing w:val="9"/>
          <w:sz w:val="24"/>
          <w:szCs w:val="24"/>
          <w:highlight w:val="none"/>
          <w:u w:val="single"/>
          <w:lang w:eastAsia="zh-CN"/>
        </w:rPr>
        <w:t>万元</w:t>
      </w:r>
      <w:r>
        <w:rPr>
          <w:rFonts w:ascii="宋体" w:hAnsi="宋体" w:eastAsia="宋体" w:cs="宋体"/>
          <w:spacing w:val="9"/>
          <w:sz w:val="24"/>
          <w:szCs w:val="24"/>
          <w:highlight w:val="none"/>
          <w:lang w:eastAsia="zh-CN"/>
        </w:rPr>
        <w:t>，资产总额为</w:t>
      </w:r>
      <w:r>
        <w:rPr>
          <w:rFonts w:ascii="宋体" w:hAnsi="宋体" w:eastAsia="宋体" w:cs="宋体"/>
          <w:spacing w:val="-91"/>
          <w:sz w:val="24"/>
          <w:szCs w:val="24"/>
          <w:highlight w:val="none"/>
          <w:lang w:eastAsia="zh-CN"/>
        </w:rPr>
        <w:t xml:space="preserve"> </w:t>
      </w:r>
      <w:r>
        <w:rPr>
          <w:rFonts w:ascii="宋体" w:hAnsi="宋体" w:eastAsia="宋体" w:cs="宋体"/>
          <w:spacing w:val="9"/>
          <w:sz w:val="24"/>
          <w:szCs w:val="24"/>
          <w:highlight w:val="none"/>
          <w:u w:val="single"/>
          <w:lang w:eastAsia="zh-CN"/>
        </w:rPr>
        <w:t xml:space="preserve">      万元</w:t>
      </w:r>
      <w:r>
        <w:rPr>
          <w:rFonts w:ascii="宋体" w:hAnsi="宋体" w:eastAsia="宋体" w:cs="宋体"/>
          <w:spacing w:val="8"/>
          <w:sz w:val="24"/>
          <w:szCs w:val="24"/>
          <w:highlight w:val="none"/>
          <w:lang w:eastAsia="zh-CN"/>
        </w:rPr>
        <w:t>，属于</w:t>
      </w:r>
      <w:r>
        <w:rPr>
          <w:rFonts w:ascii="宋体" w:hAnsi="宋体" w:eastAsia="宋体" w:cs="宋体"/>
          <w:spacing w:val="8"/>
          <w:sz w:val="24"/>
          <w:szCs w:val="24"/>
          <w:highlight w:val="none"/>
          <w:u w:val="single"/>
          <w:lang w:eastAsia="zh-CN"/>
        </w:rPr>
        <w:t>（中</w:t>
      </w:r>
      <w:r>
        <w:rPr>
          <w:rFonts w:ascii="宋体" w:hAnsi="宋体" w:eastAsia="宋体" w:cs="宋体"/>
          <w:spacing w:val="24"/>
          <w:sz w:val="24"/>
          <w:szCs w:val="24"/>
          <w:highlight w:val="none"/>
          <w:u w:val="single"/>
          <w:lang w:eastAsia="zh-CN"/>
        </w:rPr>
        <w:t>型企业、小型企业、微型企业</w:t>
      </w:r>
      <w:r>
        <w:rPr>
          <w:rFonts w:ascii="宋体" w:hAnsi="宋体" w:eastAsia="宋体" w:cs="宋体"/>
          <w:spacing w:val="5"/>
          <w:sz w:val="24"/>
          <w:szCs w:val="24"/>
          <w:highlight w:val="none"/>
          <w:u w:val="single"/>
          <w:lang w:eastAsia="zh-CN"/>
        </w:rPr>
        <w:t>）</w:t>
      </w:r>
      <w:r>
        <w:rPr>
          <w:rFonts w:ascii="宋体" w:hAnsi="宋体" w:eastAsia="宋体" w:cs="宋体"/>
          <w:spacing w:val="-62"/>
          <w:sz w:val="24"/>
          <w:szCs w:val="24"/>
          <w:highlight w:val="none"/>
          <w:u w:val="single"/>
          <w:lang w:eastAsia="zh-CN"/>
        </w:rPr>
        <w:t xml:space="preserve"> </w:t>
      </w:r>
      <w:r>
        <w:rPr>
          <w:rFonts w:ascii="宋体" w:hAnsi="宋体" w:eastAsia="宋体" w:cs="宋体"/>
          <w:spacing w:val="5"/>
          <w:sz w:val="24"/>
          <w:szCs w:val="24"/>
          <w:highlight w:val="none"/>
          <w:lang w:eastAsia="zh-CN"/>
        </w:rPr>
        <w:t>；</w:t>
      </w:r>
    </w:p>
    <w:p w14:paraId="20724F80">
      <w:pPr>
        <w:spacing w:before="214" w:line="378" w:lineRule="exact"/>
        <w:ind w:left="521"/>
        <w:rPr>
          <w:rFonts w:ascii="宋体" w:hAnsi="宋体" w:eastAsia="宋体" w:cs="宋体"/>
          <w:sz w:val="24"/>
          <w:szCs w:val="24"/>
          <w:highlight w:val="none"/>
          <w:lang w:eastAsia="zh-CN"/>
        </w:rPr>
      </w:pPr>
      <w:r>
        <w:rPr>
          <w:rFonts w:ascii="宋体" w:hAnsi="宋体" w:eastAsia="宋体" w:cs="宋体"/>
          <w:spacing w:val="2"/>
          <w:position w:val="3"/>
          <w:sz w:val="24"/>
          <w:szCs w:val="24"/>
          <w:highlight w:val="none"/>
          <w:lang w:eastAsia="zh-CN"/>
        </w:rPr>
        <w:t>……</w:t>
      </w:r>
    </w:p>
    <w:p w14:paraId="4FE6518B">
      <w:pPr>
        <w:spacing w:before="124" w:line="384" w:lineRule="auto"/>
        <w:ind w:left="24" w:right="137" w:firstLine="508"/>
        <w:rPr>
          <w:rFonts w:ascii="宋体" w:hAnsi="宋体" w:eastAsia="宋体" w:cs="宋体"/>
          <w:sz w:val="24"/>
          <w:szCs w:val="24"/>
          <w:highlight w:val="none"/>
          <w:lang w:eastAsia="zh-CN"/>
        </w:rPr>
      </w:pPr>
      <w:r>
        <w:rPr>
          <w:rFonts w:ascii="宋体" w:hAnsi="宋体" w:eastAsia="宋体" w:cs="宋体"/>
          <w:spacing w:val="21"/>
          <w:sz w:val="24"/>
          <w:szCs w:val="24"/>
          <w:highlight w:val="none"/>
          <w:lang w:eastAsia="zh-CN"/>
        </w:rPr>
        <w:t>以上企业，</w:t>
      </w:r>
      <w:r>
        <w:rPr>
          <w:rFonts w:ascii="宋体" w:hAnsi="宋体" w:eastAsia="宋体" w:cs="宋体"/>
          <w:spacing w:val="-52"/>
          <w:sz w:val="24"/>
          <w:szCs w:val="24"/>
          <w:highlight w:val="none"/>
          <w:lang w:eastAsia="zh-CN"/>
        </w:rPr>
        <w:t xml:space="preserve"> </w:t>
      </w:r>
      <w:r>
        <w:rPr>
          <w:rFonts w:ascii="宋体" w:hAnsi="宋体" w:eastAsia="宋体" w:cs="宋体"/>
          <w:spacing w:val="21"/>
          <w:sz w:val="24"/>
          <w:szCs w:val="24"/>
          <w:highlight w:val="none"/>
          <w:lang w:eastAsia="zh-CN"/>
        </w:rPr>
        <w:t>不属于大企业的分支机构，</w:t>
      </w:r>
      <w:r>
        <w:rPr>
          <w:rFonts w:ascii="宋体" w:hAnsi="宋体" w:eastAsia="宋体" w:cs="宋体"/>
          <w:spacing w:val="-52"/>
          <w:sz w:val="24"/>
          <w:szCs w:val="24"/>
          <w:highlight w:val="none"/>
          <w:lang w:eastAsia="zh-CN"/>
        </w:rPr>
        <w:t xml:space="preserve"> </w:t>
      </w:r>
      <w:r>
        <w:rPr>
          <w:rFonts w:ascii="宋体" w:hAnsi="宋体" w:eastAsia="宋体" w:cs="宋体"/>
          <w:spacing w:val="21"/>
          <w:sz w:val="24"/>
          <w:szCs w:val="24"/>
          <w:highlight w:val="none"/>
          <w:lang w:eastAsia="zh-CN"/>
        </w:rPr>
        <w:t>不存在控股股东</w:t>
      </w:r>
      <w:r>
        <w:rPr>
          <w:rFonts w:ascii="宋体" w:hAnsi="宋体" w:eastAsia="宋体" w:cs="宋体"/>
          <w:spacing w:val="20"/>
          <w:sz w:val="24"/>
          <w:szCs w:val="24"/>
          <w:highlight w:val="none"/>
          <w:lang w:eastAsia="zh-CN"/>
        </w:rPr>
        <w:t>为大企业的</w:t>
      </w:r>
      <w:r>
        <w:rPr>
          <w:rFonts w:ascii="宋体" w:hAnsi="宋体" w:eastAsia="宋体" w:cs="宋体"/>
          <w:spacing w:val="19"/>
          <w:sz w:val="24"/>
          <w:szCs w:val="24"/>
          <w:highlight w:val="none"/>
          <w:lang w:eastAsia="zh-CN"/>
        </w:rPr>
        <w:t>情形，</w:t>
      </w:r>
      <w:r>
        <w:rPr>
          <w:rFonts w:ascii="宋体" w:hAnsi="宋体" w:eastAsia="宋体" w:cs="宋体"/>
          <w:spacing w:val="-43"/>
          <w:sz w:val="24"/>
          <w:szCs w:val="24"/>
          <w:highlight w:val="none"/>
          <w:lang w:eastAsia="zh-CN"/>
        </w:rPr>
        <w:t xml:space="preserve"> </w:t>
      </w:r>
      <w:r>
        <w:rPr>
          <w:rFonts w:ascii="宋体" w:hAnsi="宋体" w:eastAsia="宋体" w:cs="宋体"/>
          <w:spacing w:val="19"/>
          <w:sz w:val="24"/>
          <w:szCs w:val="24"/>
          <w:highlight w:val="none"/>
          <w:lang w:eastAsia="zh-CN"/>
        </w:rPr>
        <w:t>也不存在与大企业的负责人为</w:t>
      </w:r>
      <w:r>
        <w:rPr>
          <w:rFonts w:ascii="宋体" w:hAnsi="宋体" w:eastAsia="宋体" w:cs="宋体"/>
          <w:spacing w:val="-56"/>
          <w:sz w:val="24"/>
          <w:szCs w:val="24"/>
          <w:highlight w:val="none"/>
          <w:lang w:eastAsia="zh-CN"/>
        </w:rPr>
        <w:t xml:space="preserve"> </w:t>
      </w:r>
      <w:r>
        <w:rPr>
          <w:rFonts w:ascii="宋体" w:hAnsi="宋体" w:eastAsia="宋体" w:cs="宋体"/>
          <w:spacing w:val="19"/>
          <w:sz w:val="24"/>
          <w:szCs w:val="24"/>
          <w:highlight w:val="none"/>
          <w:lang w:eastAsia="zh-CN"/>
        </w:rPr>
        <w:t>同一人的情形。</w:t>
      </w:r>
    </w:p>
    <w:p w14:paraId="30C1BE55">
      <w:pPr>
        <w:spacing w:before="2" w:line="384" w:lineRule="auto"/>
        <w:ind w:left="32" w:right="137" w:firstLine="474"/>
        <w:rPr>
          <w:rFonts w:ascii="宋体" w:hAnsi="宋体" w:eastAsia="宋体" w:cs="宋体"/>
          <w:sz w:val="24"/>
          <w:szCs w:val="24"/>
          <w:highlight w:val="none"/>
          <w:lang w:eastAsia="zh-CN"/>
        </w:rPr>
      </w:pPr>
      <w:r>
        <w:rPr>
          <w:rFonts w:ascii="宋体" w:hAnsi="宋体" w:eastAsia="宋体" w:cs="宋体"/>
          <w:spacing w:val="24"/>
          <w:sz w:val="24"/>
          <w:szCs w:val="24"/>
          <w:highlight w:val="none"/>
          <w:lang w:eastAsia="zh-CN"/>
        </w:rPr>
        <w:t>本企业对上述声明内容的真实性负责。如有虚假，</w:t>
      </w:r>
      <w:r>
        <w:rPr>
          <w:rFonts w:ascii="宋体" w:hAnsi="宋体" w:eastAsia="宋体" w:cs="宋体"/>
          <w:spacing w:val="-50"/>
          <w:sz w:val="24"/>
          <w:szCs w:val="24"/>
          <w:highlight w:val="none"/>
          <w:lang w:eastAsia="zh-CN"/>
        </w:rPr>
        <w:t xml:space="preserve"> </w:t>
      </w:r>
      <w:r>
        <w:rPr>
          <w:rFonts w:ascii="宋体" w:hAnsi="宋体" w:eastAsia="宋体" w:cs="宋体"/>
          <w:spacing w:val="24"/>
          <w:sz w:val="24"/>
          <w:szCs w:val="24"/>
          <w:highlight w:val="none"/>
          <w:lang w:eastAsia="zh-CN"/>
        </w:rPr>
        <w:t>将依法承担相应</w:t>
      </w:r>
      <w:r>
        <w:rPr>
          <w:rFonts w:ascii="宋体" w:hAnsi="宋体" w:eastAsia="宋体" w:cs="宋体"/>
          <w:spacing w:val="1"/>
          <w:sz w:val="24"/>
          <w:szCs w:val="24"/>
          <w:highlight w:val="none"/>
          <w:lang w:eastAsia="zh-CN"/>
        </w:rPr>
        <w:t>责任。</w:t>
      </w:r>
    </w:p>
    <w:p w14:paraId="3E45C1E3">
      <w:pPr>
        <w:spacing w:before="1" w:line="218" w:lineRule="auto"/>
        <w:ind w:left="506"/>
        <w:rPr>
          <w:rFonts w:ascii="宋体" w:hAnsi="宋体" w:eastAsia="宋体" w:cs="宋体"/>
          <w:spacing w:val="23"/>
          <w:sz w:val="24"/>
          <w:szCs w:val="24"/>
          <w:highlight w:val="none"/>
          <w:lang w:eastAsia="zh-CN"/>
        </w:rPr>
      </w:pPr>
    </w:p>
    <w:p w14:paraId="1C32E0E8">
      <w:pPr>
        <w:spacing w:before="1" w:line="218" w:lineRule="auto"/>
        <w:ind w:left="506"/>
        <w:rPr>
          <w:rFonts w:ascii="宋体" w:hAnsi="宋体" w:eastAsia="宋体" w:cs="宋体"/>
          <w:sz w:val="24"/>
          <w:szCs w:val="24"/>
          <w:highlight w:val="none"/>
          <w:lang w:eastAsia="zh-CN"/>
        </w:rPr>
      </w:pPr>
      <w:r>
        <w:rPr>
          <w:rFonts w:ascii="宋体" w:hAnsi="宋体" w:eastAsia="宋体" w:cs="宋体"/>
          <w:spacing w:val="23"/>
          <w:sz w:val="24"/>
          <w:szCs w:val="24"/>
          <w:highlight w:val="none"/>
          <w:lang w:eastAsia="zh-CN"/>
        </w:rPr>
        <w:t>供应商（</w:t>
      </w:r>
      <w:r>
        <w:rPr>
          <w:rFonts w:hint="eastAsia" w:ascii="宋体" w:hAnsi="宋体" w:eastAsia="宋体" w:cs="宋体"/>
          <w:spacing w:val="23"/>
          <w:sz w:val="24"/>
          <w:szCs w:val="24"/>
          <w:highlight w:val="none"/>
          <w:lang w:eastAsia="zh-CN"/>
        </w:rPr>
        <w:t>单位</w:t>
      </w:r>
      <w:r>
        <w:rPr>
          <w:rFonts w:ascii="宋体" w:hAnsi="宋体" w:eastAsia="宋体" w:cs="宋体"/>
          <w:spacing w:val="23"/>
          <w:sz w:val="24"/>
          <w:szCs w:val="24"/>
          <w:highlight w:val="none"/>
          <w:lang w:eastAsia="zh-CN"/>
        </w:rPr>
        <w:t>电子章</w:t>
      </w:r>
      <w:r>
        <w:rPr>
          <w:rFonts w:ascii="宋体" w:hAnsi="宋体" w:eastAsia="宋体" w:cs="宋体"/>
          <w:spacing w:val="3"/>
          <w:sz w:val="24"/>
          <w:szCs w:val="24"/>
          <w:highlight w:val="none"/>
          <w:lang w:eastAsia="zh-CN"/>
        </w:rPr>
        <w:t>）</w:t>
      </w:r>
      <w:r>
        <w:rPr>
          <w:rFonts w:ascii="宋体" w:hAnsi="宋体" w:eastAsia="宋体" w:cs="宋体"/>
          <w:spacing w:val="-65"/>
          <w:sz w:val="24"/>
          <w:szCs w:val="24"/>
          <w:highlight w:val="none"/>
          <w:lang w:eastAsia="zh-CN"/>
        </w:rPr>
        <w:t xml:space="preserve"> </w:t>
      </w:r>
      <w:r>
        <w:rPr>
          <w:rFonts w:ascii="宋体" w:hAnsi="宋体" w:eastAsia="宋体" w:cs="宋体"/>
          <w:spacing w:val="3"/>
          <w:sz w:val="24"/>
          <w:szCs w:val="24"/>
          <w:highlight w:val="none"/>
          <w:lang w:eastAsia="zh-CN"/>
        </w:rPr>
        <w:t>：</w:t>
      </w:r>
    </w:p>
    <w:p w14:paraId="162ADD41">
      <w:pPr>
        <w:spacing w:before="215" w:line="220" w:lineRule="auto"/>
        <w:ind w:left="547"/>
        <w:rPr>
          <w:rFonts w:ascii="宋体" w:hAnsi="宋体" w:eastAsia="宋体" w:cs="宋体"/>
          <w:sz w:val="24"/>
          <w:szCs w:val="24"/>
          <w:highlight w:val="none"/>
          <w:lang w:eastAsia="zh-CN"/>
        </w:rPr>
      </w:pPr>
      <w:r>
        <w:rPr>
          <w:rFonts w:ascii="宋体" w:hAnsi="宋体" w:eastAsia="宋体" w:cs="宋体"/>
          <w:spacing w:val="-11"/>
          <w:sz w:val="24"/>
          <w:szCs w:val="24"/>
          <w:highlight w:val="none"/>
          <w:lang w:eastAsia="zh-CN"/>
        </w:rPr>
        <w:t>日期：</w:t>
      </w:r>
      <w:r>
        <w:rPr>
          <w:rFonts w:ascii="宋体" w:hAnsi="宋体" w:eastAsia="宋体" w:cs="宋体"/>
          <w:sz w:val="24"/>
          <w:szCs w:val="24"/>
          <w:highlight w:val="none"/>
          <w:u w:val="single"/>
          <w:lang w:eastAsia="zh-CN"/>
        </w:rPr>
        <w:t xml:space="preserve">     </w:t>
      </w:r>
      <w:r>
        <w:rPr>
          <w:rFonts w:ascii="宋体" w:hAnsi="宋体" w:eastAsia="宋体" w:cs="宋体"/>
          <w:spacing w:val="-109"/>
          <w:sz w:val="24"/>
          <w:szCs w:val="24"/>
          <w:highlight w:val="none"/>
          <w:lang w:eastAsia="zh-CN"/>
        </w:rPr>
        <w:t xml:space="preserve"> </w:t>
      </w:r>
      <w:r>
        <w:rPr>
          <w:rFonts w:ascii="宋体" w:hAnsi="宋体" w:eastAsia="宋体" w:cs="宋体"/>
          <w:spacing w:val="-13"/>
          <w:sz w:val="24"/>
          <w:szCs w:val="24"/>
          <w:highlight w:val="none"/>
          <w:lang w:eastAsia="zh-CN"/>
        </w:rPr>
        <w:t>年</w:t>
      </w:r>
      <w:r>
        <w:rPr>
          <w:rFonts w:ascii="宋体" w:hAnsi="宋体" w:eastAsia="宋体" w:cs="宋体"/>
          <w:spacing w:val="-120"/>
          <w:sz w:val="24"/>
          <w:szCs w:val="24"/>
          <w:highlight w:val="none"/>
          <w:lang w:eastAsia="zh-CN"/>
        </w:rPr>
        <w:t xml:space="preserve"> </w:t>
      </w:r>
      <w:r>
        <w:rPr>
          <w:rFonts w:ascii="宋体" w:hAnsi="宋体" w:eastAsia="宋体" w:cs="宋体"/>
          <w:sz w:val="24"/>
          <w:szCs w:val="24"/>
          <w:highlight w:val="none"/>
          <w:u w:val="single"/>
          <w:lang w:eastAsia="zh-CN"/>
        </w:rPr>
        <w:t xml:space="preserve">     </w:t>
      </w:r>
      <w:r>
        <w:rPr>
          <w:rFonts w:ascii="宋体" w:hAnsi="宋体" w:eastAsia="宋体" w:cs="宋体"/>
          <w:spacing w:val="-105"/>
          <w:sz w:val="24"/>
          <w:szCs w:val="24"/>
          <w:highlight w:val="none"/>
          <w:lang w:eastAsia="zh-CN"/>
        </w:rPr>
        <w:t xml:space="preserve"> </w:t>
      </w:r>
      <w:r>
        <w:rPr>
          <w:rFonts w:ascii="宋体" w:hAnsi="宋体" w:eastAsia="宋体" w:cs="宋体"/>
          <w:spacing w:val="-13"/>
          <w:sz w:val="24"/>
          <w:szCs w:val="24"/>
          <w:highlight w:val="none"/>
          <w:lang w:eastAsia="zh-CN"/>
        </w:rPr>
        <w:t>月</w:t>
      </w:r>
      <w:r>
        <w:rPr>
          <w:rFonts w:ascii="宋体" w:hAnsi="宋体" w:eastAsia="宋体" w:cs="宋体"/>
          <w:spacing w:val="30"/>
          <w:sz w:val="24"/>
          <w:szCs w:val="24"/>
          <w:highlight w:val="none"/>
          <w:u w:val="single"/>
          <w:lang w:eastAsia="zh-CN"/>
        </w:rPr>
        <w:t xml:space="preserve">    </w:t>
      </w:r>
      <w:r>
        <w:rPr>
          <w:rFonts w:ascii="宋体" w:hAnsi="宋体" w:eastAsia="宋体" w:cs="宋体"/>
          <w:spacing w:val="-69"/>
          <w:sz w:val="24"/>
          <w:szCs w:val="24"/>
          <w:highlight w:val="none"/>
          <w:lang w:eastAsia="zh-CN"/>
        </w:rPr>
        <w:t xml:space="preserve"> </w:t>
      </w:r>
      <w:r>
        <w:rPr>
          <w:rFonts w:ascii="宋体" w:hAnsi="宋体" w:eastAsia="宋体" w:cs="宋体"/>
          <w:spacing w:val="-13"/>
          <w:sz w:val="24"/>
          <w:szCs w:val="24"/>
          <w:highlight w:val="none"/>
          <w:lang w:eastAsia="zh-CN"/>
        </w:rPr>
        <w:t>日</w:t>
      </w:r>
    </w:p>
    <w:p w14:paraId="5A236574">
      <w:pPr>
        <w:spacing w:before="124" w:line="384" w:lineRule="auto"/>
        <w:ind w:left="24" w:right="137" w:firstLine="508"/>
        <w:rPr>
          <w:rFonts w:ascii="宋体" w:hAnsi="宋体" w:eastAsia="宋体" w:cs="宋体"/>
          <w:spacing w:val="21"/>
          <w:sz w:val="24"/>
          <w:szCs w:val="24"/>
          <w:highlight w:val="none"/>
          <w:lang w:eastAsia="zh-CN"/>
        </w:rPr>
      </w:pPr>
      <w:r>
        <w:rPr>
          <w:rFonts w:ascii="宋体" w:hAnsi="宋体" w:eastAsia="宋体" w:cs="宋体"/>
          <w:spacing w:val="21"/>
          <w:sz w:val="24"/>
          <w:szCs w:val="24"/>
          <w:highlight w:val="none"/>
          <w:lang w:eastAsia="zh-CN"/>
        </w:rPr>
        <w:t>注：</w:t>
      </w:r>
      <w:r>
        <w:rPr>
          <w:rFonts w:hint="eastAsia" w:ascii="宋体" w:hAnsi="宋体" w:eastAsia="宋体" w:cs="宋体"/>
          <w:spacing w:val="21"/>
          <w:sz w:val="24"/>
          <w:szCs w:val="24"/>
          <w:highlight w:val="none"/>
          <w:lang w:eastAsia="zh-CN"/>
        </w:rPr>
        <w:t>1、从业人员、营业收入、资产总额填报上一年度数据，无上一年度数据的新成立企业可不填报。</w:t>
      </w:r>
    </w:p>
    <w:p w14:paraId="3A6749FB">
      <w:pPr>
        <w:spacing w:before="124" w:line="384" w:lineRule="auto"/>
        <w:ind w:left="24" w:right="137" w:firstLine="508"/>
        <w:rPr>
          <w:highlight w:val="none"/>
          <w:lang w:eastAsia="zh-CN"/>
        </w:rPr>
      </w:pPr>
      <w:r>
        <w:rPr>
          <w:rFonts w:hint="eastAsia" w:ascii="宋体" w:hAnsi="宋体" w:eastAsia="宋体" w:cs="宋体"/>
          <w:spacing w:val="21"/>
          <w:sz w:val="24"/>
          <w:szCs w:val="24"/>
          <w:highlight w:val="none"/>
          <w:lang w:eastAsia="zh-CN"/>
        </w:rPr>
        <w:t>2、填写前请认真阅读《关于印发中小企业划型标准规定的通知》（工信部联企业[2011]300号）和《关于印发＜政府采购促进中小企业发展管理办法＞的通知》(财库﹝2020﹞46 号  )相关规定。</w:t>
      </w:r>
    </w:p>
    <w:p w14:paraId="1C49AF39">
      <w:pPr>
        <w:spacing w:before="91" w:line="220" w:lineRule="auto"/>
        <w:jc w:val="center"/>
        <w:rPr>
          <w:rFonts w:ascii="宋体" w:hAnsi="宋体" w:eastAsia="宋体" w:cs="宋体"/>
          <w:b/>
          <w:bCs/>
          <w:spacing w:val="-3"/>
          <w:sz w:val="28"/>
          <w:szCs w:val="28"/>
          <w:highlight w:val="none"/>
          <w:lang w:eastAsia="zh-CN"/>
        </w:rPr>
      </w:pPr>
    </w:p>
    <w:p w14:paraId="73620C0B">
      <w:pPr>
        <w:kinsoku/>
        <w:autoSpaceDE/>
        <w:autoSpaceDN/>
        <w:adjustRightInd/>
        <w:snapToGrid/>
        <w:textAlignment w:val="auto"/>
        <w:rPr>
          <w:rFonts w:ascii="宋体" w:hAnsi="宋体" w:eastAsia="宋体" w:cs="宋体"/>
          <w:b/>
          <w:bCs/>
          <w:spacing w:val="-3"/>
          <w:sz w:val="28"/>
          <w:szCs w:val="28"/>
          <w:highlight w:val="none"/>
          <w:lang w:eastAsia="zh-CN"/>
        </w:rPr>
      </w:pPr>
      <w:r>
        <w:rPr>
          <w:rFonts w:ascii="宋体" w:hAnsi="宋体" w:eastAsia="宋体" w:cs="宋体"/>
          <w:b/>
          <w:bCs/>
          <w:spacing w:val="-3"/>
          <w:sz w:val="28"/>
          <w:szCs w:val="28"/>
          <w:highlight w:val="none"/>
          <w:lang w:eastAsia="zh-CN"/>
        </w:rPr>
        <w:br w:type="page"/>
      </w:r>
    </w:p>
    <w:p w14:paraId="3FBF56D5">
      <w:pPr>
        <w:spacing w:before="91" w:line="220" w:lineRule="auto"/>
        <w:jc w:val="center"/>
        <w:rPr>
          <w:rFonts w:ascii="宋体" w:hAnsi="宋体" w:eastAsia="宋体" w:cs="宋体"/>
          <w:sz w:val="28"/>
          <w:szCs w:val="28"/>
          <w:highlight w:val="none"/>
          <w:lang w:eastAsia="zh-CN"/>
        </w:rPr>
      </w:pPr>
      <w:r>
        <w:rPr>
          <w:rFonts w:ascii="宋体" w:hAnsi="宋体" w:eastAsia="宋体" w:cs="宋体"/>
          <w:b/>
          <w:bCs/>
          <w:spacing w:val="-3"/>
          <w:sz w:val="28"/>
          <w:szCs w:val="28"/>
          <w:highlight w:val="none"/>
          <w:lang w:eastAsia="zh-CN"/>
        </w:rPr>
        <w:t>2、残疾人福利性单位声明函</w:t>
      </w:r>
    </w:p>
    <w:p w14:paraId="64968351">
      <w:pPr>
        <w:spacing w:before="151" w:line="220" w:lineRule="auto"/>
        <w:ind w:left="810"/>
        <w:rPr>
          <w:rFonts w:ascii="宋体" w:hAnsi="宋体" w:eastAsia="宋体" w:cs="宋体"/>
          <w:sz w:val="24"/>
          <w:szCs w:val="24"/>
          <w:highlight w:val="none"/>
          <w:lang w:eastAsia="zh-CN"/>
        </w:rPr>
      </w:pPr>
      <w:r>
        <w:rPr>
          <w:rFonts w:ascii="宋体" w:hAnsi="宋体" w:eastAsia="宋体" w:cs="宋体"/>
          <w:b/>
          <w:bCs/>
          <w:spacing w:val="-3"/>
          <w:sz w:val="24"/>
          <w:szCs w:val="24"/>
          <w:highlight w:val="none"/>
          <w:lang w:eastAsia="zh-CN"/>
        </w:rPr>
        <w:t>（属于残疾人福利性单位的填写，不属于的无需填写此项内容）</w:t>
      </w:r>
    </w:p>
    <w:p w14:paraId="635F2CB3">
      <w:pPr>
        <w:pStyle w:val="4"/>
        <w:spacing w:line="246" w:lineRule="auto"/>
        <w:rPr>
          <w:highlight w:val="none"/>
          <w:lang w:eastAsia="zh-CN"/>
        </w:rPr>
      </w:pPr>
    </w:p>
    <w:p w14:paraId="786C64D1">
      <w:pPr>
        <w:pStyle w:val="4"/>
        <w:spacing w:line="247" w:lineRule="auto"/>
        <w:rPr>
          <w:highlight w:val="none"/>
          <w:lang w:eastAsia="zh-CN"/>
        </w:rPr>
      </w:pPr>
    </w:p>
    <w:p w14:paraId="7E11CF07">
      <w:pPr>
        <w:spacing w:before="78" w:line="360" w:lineRule="auto"/>
        <w:ind w:left="22" w:right="12" w:firstLine="481"/>
        <w:jc w:val="both"/>
        <w:rPr>
          <w:rFonts w:ascii="宋体" w:hAnsi="宋体" w:eastAsia="宋体" w:cs="宋体"/>
          <w:sz w:val="24"/>
          <w:szCs w:val="24"/>
          <w:highlight w:val="none"/>
          <w:lang w:eastAsia="zh-CN"/>
        </w:rPr>
      </w:pPr>
      <w:r>
        <w:rPr>
          <w:rFonts w:ascii="宋体" w:hAnsi="宋体" w:eastAsia="宋体" w:cs="宋体"/>
          <w:spacing w:val="-6"/>
          <w:sz w:val="24"/>
          <w:szCs w:val="24"/>
          <w:highlight w:val="none"/>
          <w:lang w:eastAsia="zh-CN"/>
        </w:rPr>
        <w:t>本单位郑重声明，根据《财政部民政部中国残疾人联合会关于促进残疾人</w:t>
      </w:r>
      <w:r>
        <w:rPr>
          <w:rFonts w:ascii="宋体" w:hAnsi="宋体" w:eastAsia="宋体" w:cs="宋体"/>
          <w:sz w:val="24"/>
          <w:szCs w:val="24"/>
          <w:highlight w:val="none"/>
          <w:lang w:eastAsia="zh-CN"/>
        </w:rPr>
        <w:t>就业政府采购政策的通知》（财库〔2017〕1</w:t>
      </w:r>
      <w:r>
        <w:rPr>
          <w:rFonts w:ascii="宋体" w:hAnsi="宋体" w:eastAsia="宋体" w:cs="宋体"/>
          <w:spacing w:val="-1"/>
          <w:sz w:val="24"/>
          <w:szCs w:val="24"/>
          <w:highlight w:val="none"/>
          <w:lang w:eastAsia="zh-CN"/>
        </w:rPr>
        <w:t>41号）的规定，本单位为符合条</w:t>
      </w:r>
      <w:r>
        <w:rPr>
          <w:rFonts w:ascii="宋体" w:hAnsi="宋体" w:eastAsia="宋体" w:cs="宋体"/>
          <w:spacing w:val="-2"/>
          <w:sz w:val="24"/>
          <w:szCs w:val="24"/>
          <w:highlight w:val="none"/>
          <w:lang w:eastAsia="zh-CN"/>
        </w:rPr>
        <w:t>件的残疾人福利性单位，且本单位参加</w:t>
      </w:r>
      <w:r>
        <w:rPr>
          <w:rFonts w:ascii="Calibri" w:hAnsi="Calibri" w:eastAsia="Calibri" w:cs="Calibri"/>
          <w:spacing w:val="-2"/>
          <w:sz w:val="24"/>
          <w:szCs w:val="24"/>
          <w:highlight w:val="none"/>
          <w:lang w:eastAsia="zh-CN"/>
        </w:rPr>
        <w:t>______</w:t>
      </w:r>
      <w:r>
        <w:rPr>
          <w:rFonts w:ascii="宋体" w:hAnsi="宋体" w:eastAsia="宋体" w:cs="宋体"/>
          <w:spacing w:val="-2"/>
          <w:sz w:val="24"/>
          <w:szCs w:val="24"/>
          <w:highlight w:val="none"/>
          <w:lang w:eastAsia="zh-CN"/>
        </w:rPr>
        <w:t>单位的</w:t>
      </w:r>
      <w:r>
        <w:rPr>
          <w:rFonts w:ascii="Calibri" w:hAnsi="Calibri" w:eastAsia="Calibri" w:cs="Calibri"/>
          <w:spacing w:val="-2"/>
          <w:sz w:val="24"/>
          <w:szCs w:val="24"/>
          <w:highlight w:val="none"/>
          <w:lang w:eastAsia="zh-CN"/>
        </w:rPr>
        <w:t>_</w:t>
      </w:r>
      <w:r>
        <w:rPr>
          <w:rFonts w:ascii="Calibri" w:hAnsi="Calibri" w:eastAsia="Calibri" w:cs="Calibri"/>
          <w:spacing w:val="-3"/>
          <w:sz w:val="24"/>
          <w:szCs w:val="24"/>
          <w:highlight w:val="none"/>
          <w:lang w:eastAsia="zh-CN"/>
        </w:rPr>
        <w:t>_____</w:t>
      </w:r>
      <w:r>
        <w:rPr>
          <w:rFonts w:ascii="宋体" w:hAnsi="宋体" w:eastAsia="宋体" w:cs="宋体"/>
          <w:spacing w:val="-3"/>
          <w:sz w:val="24"/>
          <w:szCs w:val="24"/>
          <w:highlight w:val="none"/>
          <w:lang w:eastAsia="zh-CN"/>
        </w:rPr>
        <w:t>项目采购活动，提供本单位制造的货物</w:t>
      </w:r>
      <w:r>
        <w:rPr>
          <w:rFonts w:hint="eastAsia" w:ascii="宋体" w:hAnsi="Courier New"/>
          <w:sz w:val="24"/>
          <w:szCs w:val="28"/>
          <w:highlight w:val="none"/>
          <w:lang w:eastAsia="zh-CN"/>
        </w:rPr>
        <w:t>（由本单位承担工程/</w:t>
      </w:r>
      <w:r>
        <w:rPr>
          <w:rFonts w:ascii="宋体" w:hAnsi="宋体" w:eastAsia="宋体" w:cs="宋体"/>
          <w:spacing w:val="-3"/>
          <w:sz w:val="24"/>
          <w:szCs w:val="24"/>
          <w:highlight w:val="none"/>
          <w:lang w:eastAsia="zh-CN"/>
        </w:rPr>
        <w:t>提供</w:t>
      </w:r>
      <w:r>
        <w:rPr>
          <w:rFonts w:hint="eastAsia" w:ascii="宋体" w:hAnsi="Courier New"/>
          <w:sz w:val="24"/>
          <w:szCs w:val="28"/>
          <w:highlight w:val="none"/>
          <w:lang w:eastAsia="zh-CN"/>
        </w:rPr>
        <w:t>服务）</w:t>
      </w:r>
      <w:r>
        <w:rPr>
          <w:rFonts w:ascii="宋体" w:hAnsi="宋体" w:eastAsia="宋体" w:cs="宋体"/>
          <w:spacing w:val="-3"/>
          <w:sz w:val="24"/>
          <w:szCs w:val="24"/>
          <w:highlight w:val="none"/>
          <w:lang w:eastAsia="zh-CN"/>
        </w:rPr>
        <w:t>，或者提供其他残疾人福利性单位制造的货物（不包括使用非残疾人福利性单位注册商标的货物）。</w:t>
      </w:r>
    </w:p>
    <w:p w14:paraId="083AB74F">
      <w:pPr>
        <w:spacing w:before="1" w:line="218" w:lineRule="auto"/>
        <w:ind w:left="504"/>
        <w:rPr>
          <w:rFonts w:ascii="宋体" w:hAnsi="宋体" w:eastAsia="宋体" w:cs="宋体"/>
          <w:sz w:val="24"/>
          <w:szCs w:val="24"/>
          <w:highlight w:val="none"/>
          <w:lang w:eastAsia="zh-CN"/>
        </w:rPr>
      </w:pPr>
      <w:r>
        <w:rPr>
          <w:rFonts w:ascii="宋体" w:hAnsi="宋体" w:eastAsia="宋体" w:cs="宋体"/>
          <w:spacing w:val="-2"/>
          <w:sz w:val="24"/>
          <w:szCs w:val="24"/>
          <w:highlight w:val="none"/>
          <w:lang w:eastAsia="zh-CN"/>
        </w:rPr>
        <w:t>本单位对上述声明的真实性负责。如有虚假，将依法承担相应责任。</w:t>
      </w:r>
    </w:p>
    <w:p w14:paraId="77E1DFC1">
      <w:pPr>
        <w:pStyle w:val="4"/>
        <w:spacing w:line="241" w:lineRule="auto"/>
        <w:rPr>
          <w:highlight w:val="none"/>
          <w:lang w:eastAsia="zh-CN"/>
        </w:rPr>
      </w:pPr>
    </w:p>
    <w:p w14:paraId="466B04D1">
      <w:pPr>
        <w:pStyle w:val="4"/>
        <w:spacing w:line="241" w:lineRule="auto"/>
        <w:rPr>
          <w:highlight w:val="none"/>
          <w:lang w:eastAsia="zh-CN"/>
        </w:rPr>
      </w:pPr>
    </w:p>
    <w:p w14:paraId="42C9C33F">
      <w:pPr>
        <w:pStyle w:val="4"/>
        <w:spacing w:line="242" w:lineRule="auto"/>
        <w:rPr>
          <w:highlight w:val="none"/>
          <w:lang w:eastAsia="zh-CN"/>
        </w:rPr>
      </w:pPr>
    </w:p>
    <w:p w14:paraId="483DC160">
      <w:pPr>
        <w:spacing w:before="78" w:line="219" w:lineRule="auto"/>
        <w:ind w:left="503"/>
        <w:rPr>
          <w:rFonts w:ascii="宋体" w:hAnsi="宋体" w:eastAsia="宋体" w:cs="宋体"/>
          <w:sz w:val="24"/>
          <w:szCs w:val="24"/>
          <w:highlight w:val="none"/>
          <w:lang w:eastAsia="zh-CN"/>
        </w:rPr>
      </w:pPr>
      <w:r>
        <w:rPr>
          <w:rFonts w:ascii="宋体" w:hAnsi="宋体" w:eastAsia="宋体" w:cs="宋体"/>
          <w:spacing w:val="-2"/>
          <w:sz w:val="24"/>
          <w:szCs w:val="24"/>
          <w:highlight w:val="none"/>
          <w:lang w:eastAsia="zh-CN"/>
        </w:rPr>
        <w:t>供应商（</w:t>
      </w:r>
      <w:r>
        <w:rPr>
          <w:rFonts w:hint="eastAsia" w:ascii="宋体" w:hAnsi="宋体" w:eastAsia="宋体" w:cs="宋体"/>
          <w:spacing w:val="23"/>
          <w:sz w:val="24"/>
          <w:szCs w:val="24"/>
          <w:highlight w:val="none"/>
          <w:lang w:eastAsia="zh-CN"/>
        </w:rPr>
        <w:t>单位</w:t>
      </w:r>
      <w:r>
        <w:rPr>
          <w:rFonts w:ascii="宋体" w:hAnsi="宋体" w:eastAsia="宋体" w:cs="宋体"/>
          <w:spacing w:val="23"/>
          <w:sz w:val="24"/>
          <w:szCs w:val="24"/>
          <w:highlight w:val="none"/>
          <w:lang w:eastAsia="zh-CN"/>
        </w:rPr>
        <w:t>电子章</w:t>
      </w:r>
      <w:r>
        <w:rPr>
          <w:rFonts w:ascii="宋体" w:hAnsi="宋体" w:eastAsia="宋体" w:cs="宋体"/>
          <w:spacing w:val="1"/>
          <w:sz w:val="24"/>
          <w:szCs w:val="24"/>
          <w:highlight w:val="none"/>
          <w:lang w:eastAsia="zh-CN"/>
        </w:rPr>
        <w:t>）：</w:t>
      </w:r>
      <w:r>
        <w:rPr>
          <w:rFonts w:ascii="宋体" w:hAnsi="宋体" w:eastAsia="宋体" w:cs="宋体"/>
          <w:sz w:val="24"/>
          <w:szCs w:val="24"/>
          <w:highlight w:val="none"/>
          <w:u w:val="single"/>
          <w:lang w:eastAsia="zh-CN"/>
        </w:rPr>
        <w:t xml:space="preserve">          </w:t>
      </w:r>
    </w:p>
    <w:p w14:paraId="3C6C38C4">
      <w:pPr>
        <w:spacing w:before="183" w:line="220" w:lineRule="auto"/>
        <w:ind w:left="545"/>
        <w:rPr>
          <w:rFonts w:ascii="宋体" w:hAnsi="宋体" w:eastAsia="宋体" w:cs="宋体"/>
          <w:spacing w:val="-13"/>
          <w:sz w:val="24"/>
          <w:szCs w:val="24"/>
          <w:highlight w:val="none"/>
        </w:rPr>
      </w:pPr>
      <w:r>
        <w:rPr>
          <w:rFonts w:ascii="宋体" w:hAnsi="宋体" w:eastAsia="宋体" w:cs="宋体"/>
          <w:spacing w:val="-13"/>
          <w:sz w:val="24"/>
          <w:szCs w:val="24"/>
          <w:highlight w:val="none"/>
        </w:rPr>
        <w:t>日期：</w:t>
      </w:r>
      <w:r>
        <w:rPr>
          <w:rFonts w:ascii="宋体" w:hAnsi="宋体" w:eastAsia="宋体" w:cs="宋体"/>
          <w:sz w:val="24"/>
          <w:szCs w:val="24"/>
          <w:highlight w:val="none"/>
          <w:u w:val="single"/>
        </w:rPr>
        <w:t xml:space="preserve">     </w:t>
      </w:r>
      <w:r>
        <w:rPr>
          <w:rFonts w:ascii="宋体" w:hAnsi="宋体" w:eastAsia="宋体" w:cs="宋体"/>
          <w:spacing w:val="-109"/>
          <w:sz w:val="24"/>
          <w:szCs w:val="24"/>
          <w:highlight w:val="none"/>
        </w:rPr>
        <w:t xml:space="preserve"> </w:t>
      </w:r>
      <w:r>
        <w:rPr>
          <w:rFonts w:ascii="宋体" w:hAnsi="宋体" w:eastAsia="宋体" w:cs="宋体"/>
          <w:spacing w:val="-13"/>
          <w:sz w:val="24"/>
          <w:szCs w:val="24"/>
          <w:highlight w:val="none"/>
        </w:rPr>
        <w:t>年</w:t>
      </w:r>
      <w:r>
        <w:rPr>
          <w:rFonts w:ascii="宋体" w:hAnsi="宋体" w:eastAsia="宋体" w:cs="宋体"/>
          <w:spacing w:val="-120"/>
          <w:sz w:val="24"/>
          <w:szCs w:val="24"/>
          <w:highlight w:val="none"/>
        </w:rPr>
        <w:t xml:space="preserve"> </w:t>
      </w:r>
      <w:r>
        <w:rPr>
          <w:rFonts w:ascii="宋体" w:hAnsi="宋体" w:eastAsia="宋体" w:cs="宋体"/>
          <w:sz w:val="24"/>
          <w:szCs w:val="24"/>
          <w:highlight w:val="none"/>
          <w:u w:val="single"/>
        </w:rPr>
        <w:t xml:space="preserve">     </w:t>
      </w:r>
      <w:r>
        <w:rPr>
          <w:rFonts w:ascii="宋体" w:hAnsi="宋体" w:eastAsia="宋体" w:cs="宋体"/>
          <w:spacing w:val="-105"/>
          <w:sz w:val="24"/>
          <w:szCs w:val="24"/>
          <w:highlight w:val="none"/>
        </w:rPr>
        <w:t xml:space="preserve"> </w:t>
      </w:r>
      <w:r>
        <w:rPr>
          <w:rFonts w:ascii="宋体" w:hAnsi="宋体" w:eastAsia="宋体" w:cs="宋体"/>
          <w:spacing w:val="-13"/>
          <w:sz w:val="24"/>
          <w:szCs w:val="24"/>
          <w:highlight w:val="none"/>
        </w:rPr>
        <w:t>月</w:t>
      </w:r>
      <w:r>
        <w:rPr>
          <w:rFonts w:ascii="宋体" w:hAnsi="宋体" w:eastAsia="宋体" w:cs="宋体"/>
          <w:spacing w:val="30"/>
          <w:sz w:val="24"/>
          <w:szCs w:val="24"/>
          <w:highlight w:val="none"/>
          <w:u w:val="single"/>
        </w:rPr>
        <w:t xml:space="preserve">    </w:t>
      </w:r>
      <w:r>
        <w:rPr>
          <w:rFonts w:ascii="宋体" w:hAnsi="宋体" w:eastAsia="宋体" w:cs="宋体"/>
          <w:spacing w:val="-69"/>
          <w:sz w:val="24"/>
          <w:szCs w:val="24"/>
          <w:highlight w:val="none"/>
        </w:rPr>
        <w:t xml:space="preserve"> </w:t>
      </w:r>
      <w:r>
        <w:rPr>
          <w:rFonts w:ascii="宋体" w:hAnsi="宋体" w:eastAsia="宋体" w:cs="宋体"/>
          <w:spacing w:val="-13"/>
          <w:sz w:val="24"/>
          <w:szCs w:val="24"/>
          <w:highlight w:val="none"/>
        </w:rPr>
        <w:t>日</w:t>
      </w:r>
    </w:p>
    <w:p w14:paraId="3C05A9E1">
      <w:pPr>
        <w:spacing w:line="299" w:lineRule="auto"/>
        <w:rPr>
          <w:highlight w:val="none"/>
        </w:rPr>
      </w:pPr>
    </w:p>
    <w:p w14:paraId="7AA29052">
      <w:pPr>
        <w:spacing w:line="299" w:lineRule="auto"/>
        <w:rPr>
          <w:highlight w:val="none"/>
        </w:rPr>
      </w:pPr>
    </w:p>
    <w:p w14:paraId="057151C5">
      <w:pPr>
        <w:spacing w:line="300" w:lineRule="auto"/>
        <w:rPr>
          <w:highlight w:val="none"/>
        </w:rPr>
      </w:pPr>
    </w:p>
    <w:p w14:paraId="57ADAB02">
      <w:pPr>
        <w:rPr>
          <w:spacing w:val="-2"/>
          <w:sz w:val="28"/>
          <w:szCs w:val="28"/>
          <w:highlight w:val="none"/>
        </w:rPr>
      </w:pPr>
      <w:r>
        <w:rPr>
          <w:spacing w:val="-2"/>
          <w:sz w:val="28"/>
          <w:szCs w:val="28"/>
          <w:highlight w:val="none"/>
        </w:rPr>
        <w:br w:type="page"/>
      </w:r>
    </w:p>
    <w:p w14:paraId="30E796F4">
      <w:pPr>
        <w:spacing w:before="91" w:line="220" w:lineRule="auto"/>
        <w:jc w:val="center"/>
        <w:rPr>
          <w:rFonts w:ascii="宋体" w:hAnsi="宋体" w:eastAsia="宋体" w:cs="宋体"/>
          <w:b/>
          <w:bCs/>
          <w:spacing w:val="-3"/>
          <w:sz w:val="28"/>
          <w:szCs w:val="28"/>
          <w:highlight w:val="none"/>
          <w:lang w:eastAsia="zh-CN"/>
        </w:rPr>
      </w:pPr>
    </w:p>
    <w:p w14:paraId="32BD6392">
      <w:pPr>
        <w:numPr>
          <w:ilvl w:val="0"/>
          <w:numId w:val="1"/>
        </w:numPr>
        <w:spacing w:before="91" w:line="220" w:lineRule="auto"/>
        <w:jc w:val="center"/>
        <w:rPr>
          <w:rFonts w:ascii="宋体" w:hAnsi="宋体" w:eastAsia="宋体" w:cs="宋体"/>
          <w:b/>
          <w:bCs/>
          <w:spacing w:val="-3"/>
          <w:sz w:val="28"/>
          <w:szCs w:val="28"/>
          <w:highlight w:val="none"/>
        </w:rPr>
      </w:pPr>
      <w:r>
        <w:rPr>
          <w:rFonts w:ascii="宋体" w:hAnsi="宋体" w:eastAsia="宋体" w:cs="宋体"/>
          <w:b/>
          <w:bCs/>
          <w:spacing w:val="-3"/>
          <w:sz w:val="28"/>
          <w:szCs w:val="28"/>
          <w:highlight w:val="none"/>
        </w:rPr>
        <w:t>监狱企业证明文件</w:t>
      </w:r>
    </w:p>
    <w:p w14:paraId="45D46083">
      <w:pPr>
        <w:spacing w:before="151" w:line="220" w:lineRule="auto"/>
        <w:ind w:left="810"/>
        <w:rPr>
          <w:rFonts w:ascii="宋体" w:hAnsi="宋体" w:eastAsia="宋体" w:cs="宋体"/>
          <w:sz w:val="24"/>
          <w:szCs w:val="24"/>
          <w:highlight w:val="none"/>
          <w:lang w:eastAsia="zh-CN"/>
        </w:rPr>
      </w:pPr>
      <w:r>
        <w:rPr>
          <w:rFonts w:ascii="宋体" w:hAnsi="宋体" w:eastAsia="宋体" w:cs="宋体"/>
          <w:b/>
          <w:bCs/>
          <w:spacing w:val="-3"/>
          <w:sz w:val="24"/>
          <w:szCs w:val="24"/>
          <w:highlight w:val="none"/>
          <w:lang w:eastAsia="zh-CN"/>
        </w:rPr>
        <w:t>（属于监狱企业的填写，不属于的无需填写此项内容）</w:t>
      </w:r>
    </w:p>
    <w:p w14:paraId="4641515D">
      <w:pPr>
        <w:spacing w:line="259" w:lineRule="auto"/>
        <w:rPr>
          <w:highlight w:val="none"/>
          <w:lang w:eastAsia="zh-CN"/>
        </w:rPr>
      </w:pPr>
    </w:p>
    <w:p w14:paraId="6D1839F1">
      <w:pPr>
        <w:spacing w:line="260" w:lineRule="auto"/>
        <w:rPr>
          <w:highlight w:val="none"/>
          <w:lang w:eastAsia="zh-CN"/>
        </w:rPr>
      </w:pPr>
    </w:p>
    <w:p w14:paraId="48B6B3B7">
      <w:pPr>
        <w:spacing w:line="260" w:lineRule="auto"/>
        <w:rPr>
          <w:highlight w:val="none"/>
          <w:lang w:eastAsia="zh-CN"/>
        </w:rPr>
      </w:pPr>
    </w:p>
    <w:p w14:paraId="0DCCF0D4">
      <w:pPr>
        <w:pStyle w:val="4"/>
        <w:spacing w:before="91" w:line="361" w:lineRule="auto"/>
        <w:ind w:left="21" w:right="8" w:firstLine="568"/>
        <w:jc w:val="both"/>
        <w:rPr>
          <w:sz w:val="28"/>
          <w:szCs w:val="28"/>
          <w:highlight w:val="none"/>
          <w:lang w:eastAsia="zh-CN"/>
        </w:rPr>
      </w:pPr>
      <w:r>
        <w:rPr>
          <w:spacing w:val="-4"/>
          <w:sz w:val="28"/>
          <w:szCs w:val="28"/>
          <w:highlight w:val="none"/>
          <w:lang w:eastAsia="zh-CN"/>
        </w:rPr>
        <w:t>（监狱企业参加政府采购活动时，应当提供由省级以上监狱管理</w:t>
      </w:r>
      <w:r>
        <w:rPr>
          <w:spacing w:val="-3"/>
          <w:sz w:val="28"/>
          <w:szCs w:val="28"/>
          <w:highlight w:val="none"/>
          <w:lang w:eastAsia="zh-CN"/>
        </w:rPr>
        <w:t>局、戒毒管理局(含新疆生产建设兵团)出具的属于监狱企业</w:t>
      </w:r>
      <w:r>
        <w:rPr>
          <w:spacing w:val="-4"/>
          <w:sz w:val="28"/>
          <w:szCs w:val="28"/>
          <w:highlight w:val="none"/>
          <w:lang w:eastAsia="zh-CN"/>
        </w:rPr>
        <w:t>的证明文</w:t>
      </w:r>
      <w:r>
        <w:rPr>
          <w:spacing w:val="-13"/>
          <w:sz w:val="28"/>
          <w:szCs w:val="28"/>
          <w:highlight w:val="none"/>
          <w:lang w:eastAsia="zh-CN"/>
        </w:rPr>
        <w:t>件。</w:t>
      </w:r>
    </w:p>
    <w:p w14:paraId="51FEEAA4">
      <w:pPr>
        <w:spacing w:line="268" w:lineRule="auto"/>
        <w:rPr>
          <w:highlight w:val="none"/>
          <w:lang w:eastAsia="zh-CN"/>
        </w:rPr>
      </w:pPr>
    </w:p>
    <w:p w14:paraId="1BA59AF8">
      <w:pPr>
        <w:spacing w:line="268" w:lineRule="auto"/>
        <w:rPr>
          <w:highlight w:val="none"/>
          <w:lang w:eastAsia="zh-CN"/>
        </w:rPr>
      </w:pPr>
    </w:p>
    <w:p w14:paraId="7EEB0428">
      <w:pPr>
        <w:spacing w:before="1" w:line="218" w:lineRule="auto"/>
        <w:ind w:left="506"/>
        <w:rPr>
          <w:rFonts w:ascii="宋体" w:hAnsi="宋体" w:eastAsia="宋体" w:cs="宋体"/>
          <w:sz w:val="24"/>
          <w:szCs w:val="24"/>
          <w:highlight w:val="none"/>
          <w:lang w:eastAsia="zh-CN"/>
        </w:rPr>
      </w:pPr>
      <w:r>
        <w:rPr>
          <w:rFonts w:ascii="宋体" w:hAnsi="宋体" w:eastAsia="宋体" w:cs="宋体"/>
          <w:spacing w:val="23"/>
          <w:sz w:val="24"/>
          <w:szCs w:val="24"/>
          <w:highlight w:val="none"/>
          <w:lang w:eastAsia="zh-CN"/>
        </w:rPr>
        <w:t>供应商（</w:t>
      </w:r>
      <w:r>
        <w:rPr>
          <w:rFonts w:hint="eastAsia" w:ascii="宋体" w:hAnsi="宋体" w:eastAsia="宋体" w:cs="宋体"/>
          <w:spacing w:val="23"/>
          <w:sz w:val="24"/>
          <w:szCs w:val="24"/>
          <w:highlight w:val="none"/>
          <w:lang w:eastAsia="zh-CN"/>
        </w:rPr>
        <w:t>单位</w:t>
      </w:r>
      <w:r>
        <w:rPr>
          <w:rFonts w:ascii="宋体" w:hAnsi="宋体" w:eastAsia="宋体" w:cs="宋体"/>
          <w:spacing w:val="23"/>
          <w:sz w:val="24"/>
          <w:szCs w:val="24"/>
          <w:highlight w:val="none"/>
          <w:lang w:eastAsia="zh-CN"/>
        </w:rPr>
        <w:t>电子章</w:t>
      </w:r>
      <w:r>
        <w:rPr>
          <w:rFonts w:ascii="宋体" w:hAnsi="宋体" w:eastAsia="宋体" w:cs="宋体"/>
          <w:spacing w:val="3"/>
          <w:sz w:val="24"/>
          <w:szCs w:val="24"/>
          <w:highlight w:val="none"/>
          <w:lang w:eastAsia="zh-CN"/>
        </w:rPr>
        <w:t>）</w:t>
      </w:r>
      <w:r>
        <w:rPr>
          <w:rFonts w:ascii="宋体" w:hAnsi="宋体" w:eastAsia="宋体" w:cs="宋体"/>
          <w:spacing w:val="-65"/>
          <w:sz w:val="24"/>
          <w:szCs w:val="24"/>
          <w:highlight w:val="none"/>
          <w:lang w:eastAsia="zh-CN"/>
        </w:rPr>
        <w:t xml:space="preserve"> </w:t>
      </w:r>
      <w:r>
        <w:rPr>
          <w:rFonts w:ascii="宋体" w:hAnsi="宋体" w:eastAsia="宋体" w:cs="宋体"/>
          <w:spacing w:val="3"/>
          <w:sz w:val="24"/>
          <w:szCs w:val="24"/>
          <w:highlight w:val="none"/>
          <w:lang w:eastAsia="zh-CN"/>
        </w:rPr>
        <w:t>：</w:t>
      </w:r>
    </w:p>
    <w:p w14:paraId="180E9188">
      <w:pPr>
        <w:spacing w:before="215" w:line="220" w:lineRule="auto"/>
        <w:ind w:left="547"/>
        <w:rPr>
          <w:rFonts w:ascii="宋体" w:hAnsi="宋体" w:eastAsia="宋体" w:cs="宋体"/>
          <w:sz w:val="24"/>
          <w:szCs w:val="24"/>
          <w:highlight w:val="none"/>
          <w:lang w:eastAsia="zh-CN"/>
        </w:rPr>
      </w:pPr>
      <w:r>
        <w:rPr>
          <w:rFonts w:ascii="宋体" w:hAnsi="宋体" w:eastAsia="宋体" w:cs="宋体"/>
          <w:spacing w:val="-11"/>
          <w:sz w:val="24"/>
          <w:szCs w:val="24"/>
          <w:highlight w:val="none"/>
          <w:lang w:eastAsia="zh-CN"/>
        </w:rPr>
        <w:t>日期：</w:t>
      </w:r>
      <w:r>
        <w:rPr>
          <w:rFonts w:ascii="宋体" w:hAnsi="宋体" w:eastAsia="宋体" w:cs="宋体"/>
          <w:sz w:val="24"/>
          <w:szCs w:val="24"/>
          <w:highlight w:val="none"/>
          <w:u w:val="single"/>
          <w:lang w:eastAsia="zh-CN"/>
        </w:rPr>
        <w:t xml:space="preserve">     </w:t>
      </w:r>
      <w:r>
        <w:rPr>
          <w:rFonts w:ascii="宋体" w:hAnsi="宋体" w:eastAsia="宋体" w:cs="宋体"/>
          <w:spacing w:val="-109"/>
          <w:sz w:val="24"/>
          <w:szCs w:val="24"/>
          <w:highlight w:val="none"/>
          <w:lang w:eastAsia="zh-CN"/>
        </w:rPr>
        <w:t xml:space="preserve"> </w:t>
      </w:r>
      <w:r>
        <w:rPr>
          <w:rFonts w:ascii="宋体" w:hAnsi="宋体" w:eastAsia="宋体" w:cs="宋体"/>
          <w:spacing w:val="-13"/>
          <w:sz w:val="24"/>
          <w:szCs w:val="24"/>
          <w:highlight w:val="none"/>
          <w:lang w:eastAsia="zh-CN"/>
        </w:rPr>
        <w:t>年</w:t>
      </w:r>
      <w:r>
        <w:rPr>
          <w:rFonts w:ascii="宋体" w:hAnsi="宋体" w:eastAsia="宋体" w:cs="宋体"/>
          <w:spacing w:val="-120"/>
          <w:sz w:val="24"/>
          <w:szCs w:val="24"/>
          <w:highlight w:val="none"/>
          <w:lang w:eastAsia="zh-CN"/>
        </w:rPr>
        <w:t xml:space="preserve"> </w:t>
      </w:r>
      <w:r>
        <w:rPr>
          <w:rFonts w:ascii="宋体" w:hAnsi="宋体" w:eastAsia="宋体" w:cs="宋体"/>
          <w:sz w:val="24"/>
          <w:szCs w:val="24"/>
          <w:highlight w:val="none"/>
          <w:u w:val="single"/>
          <w:lang w:eastAsia="zh-CN"/>
        </w:rPr>
        <w:t xml:space="preserve">     </w:t>
      </w:r>
      <w:r>
        <w:rPr>
          <w:rFonts w:ascii="宋体" w:hAnsi="宋体" w:eastAsia="宋体" w:cs="宋体"/>
          <w:spacing w:val="-105"/>
          <w:sz w:val="24"/>
          <w:szCs w:val="24"/>
          <w:highlight w:val="none"/>
          <w:lang w:eastAsia="zh-CN"/>
        </w:rPr>
        <w:t xml:space="preserve"> </w:t>
      </w:r>
      <w:r>
        <w:rPr>
          <w:rFonts w:ascii="宋体" w:hAnsi="宋体" w:eastAsia="宋体" w:cs="宋体"/>
          <w:spacing w:val="-13"/>
          <w:sz w:val="24"/>
          <w:szCs w:val="24"/>
          <w:highlight w:val="none"/>
          <w:lang w:eastAsia="zh-CN"/>
        </w:rPr>
        <w:t>月</w:t>
      </w:r>
      <w:r>
        <w:rPr>
          <w:rFonts w:ascii="宋体" w:hAnsi="宋体" w:eastAsia="宋体" w:cs="宋体"/>
          <w:spacing w:val="30"/>
          <w:sz w:val="24"/>
          <w:szCs w:val="24"/>
          <w:highlight w:val="none"/>
          <w:u w:val="single"/>
          <w:lang w:eastAsia="zh-CN"/>
        </w:rPr>
        <w:t xml:space="preserve">    </w:t>
      </w:r>
      <w:r>
        <w:rPr>
          <w:rFonts w:ascii="宋体" w:hAnsi="宋体" w:eastAsia="宋体" w:cs="宋体"/>
          <w:spacing w:val="-69"/>
          <w:sz w:val="24"/>
          <w:szCs w:val="24"/>
          <w:highlight w:val="none"/>
          <w:lang w:eastAsia="zh-CN"/>
        </w:rPr>
        <w:t xml:space="preserve"> </w:t>
      </w:r>
      <w:r>
        <w:rPr>
          <w:rFonts w:ascii="宋体" w:hAnsi="宋体" w:eastAsia="宋体" w:cs="宋体"/>
          <w:spacing w:val="-13"/>
          <w:sz w:val="24"/>
          <w:szCs w:val="24"/>
          <w:highlight w:val="none"/>
          <w:lang w:eastAsia="zh-CN"/>
        </w:rPr>
        <w:t>日</w:t>
      </w:r>
    </w:p>
    <w:p w14:paraId="1A9B4A08">
      <w:pPr>
        <w:spacing w:line="268" w:lineRule="auto"/>
        <w:rPr>
          <w:highlight w:val="none"/>
          <w:lang w:eastAsia="zh-CN"/>
        </w:rPr>
      </w:pPr>
    </w:p>
    <w:p w14:paraId="3E05286D">
      <w:pPr>
        <w:spacing w:line="268" w:lineRule="auto"/>
        <w:rPr>
          <w:highlight w:val="none"/>
          <w:lang w:eastAsia="zh-CN"/>
        </w:rPr>
      </w:pPr>
    </w:p>
    <w:p w14:paraId="240B8B81">
      <w:pPr>
        <w:spacing w:line="269" w:lineRule="auto"/>
        <w:rPr>
          <w:highlight w:val="none"/>
          <w:lang w:eastAsia="zh-CN"/>
        </w:rPr>
      </w:pPr>
    </w:p>
    <w:p w14:paraId="0B5825C0">
      <w:pPr>
        <w:pStyle w:val="4"/>
        <w:spacing w:before="91" w:line="219" w:lineRule="auto"/>
        <w:ind w:left="582"/>
        <w:rPr>
          <w:sz w:val="28"/>
          <w:szCs w:val="28"/>
          <w:highlight w:val="none"/>
          <w:lang w:eastAsia="zh-CN"/>
        </w:rPr>
      </w:pPr>
      <w:r>
        <w:rPr>
          <w:spacing w:val="-1"/>
          <w:sz w:val="28"/>
          <w:szCs w:val="28"/>
          <w:highlight w:val="none"/>
          <w:lang w:eastAsia="zh-CN"/>
        </w:rPr>
        <w:t>注：在投标文件中附扫描件</w:t>
      </w:r>
    </w:p>
    <w:p w14:paraId="2662A6D9">
      <w:pPr>
        <w:spacing w:before="183" w:line="220" w:lineRule="auto"/>
        <w:rPr>
          <w:rFonts w:ascii="宋体" w:hAnsi="宋体" w:eastAsia="宋体" w:cs="宋体"/>
          <w:spacing w:val="-13"/>
          <w:sz w:val="24"/>
          <w:szCs w:val="24"/>
          <w:highlight w:val="none"/>
          <w:lang w:eastAsia="zh-CN"/>
        </w:rPr>
      </w:pPr>
    </w:p>
    <w:sectPr>
      <w:footerReference r:id="rId4" w:type="default"/>
      <w:pgSz w:w="11907" w:h="16839"/>
      <w:pgMar w:top="1134" w:right="1134" w:bottom="1134" w:left="1134" w:header="0" w:footer="988"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E8C22">
    <w:pPr>
      <w:pStyle w:val="11"/>
      <w:jc w:val="center"/>
    </w:pPr>
  </w:p>
  <w:p w14:paraId="2B095DB7">
    <w:pPr>
      <w:tabs>
        <w:tab w:val="left" w:pos="4937"/>
      </w:tabs>
      <w:spacing w:line="236" w:lineRule="auto"/>
      <w:rPr>
        <w:rFonts w:ascii="Calibri" w:hAnsi="Calibri" w:cs="Calibri" w:eastAsiaTheme="minorEastAsia"/>
        <w:sz w:val="18"/>
        <w:szCs w:val="18"/>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1802309"/>
    </w:sdtPr>
    <w:sdtContent>
      <w:p w14:paraId="7FA4374B">
        <w:pPr>
          <w:pStyle w:val="11"/>
          <w:jc w:val="center"/>
        </w:pPr>
        <w:r>
          <w:fldChar w:fldCharType="begin"/>
        </w:r>
        <w:r>
          <w:instrText xml:space="preserve">PAGE   \* MERGEFORMAT</w:instrText>
        </w:r>
        <w:r>
          <w:fldChar w:fldCharType="separate"/>
        </w:r>
        <w:r>
          <w:rPr>
            <w:lang w:val="zh-CN" w:eastAsia="zh-CN"/>
          </w:rPr>
          <w:t>6</w:t>
        </w:r>
        <w:r>
          <w:fldChar w:fldCharType="end"/>
        </w:r>
      </w:p>
    </w:sdtContent>
  </w:sdt>
  <w:p w14:paraId="5EABBBF3">
    <w:pPr>
      <w:tabs>
        <w:tab w:val="left" w:pos="4937"/>
      </w:tabs>
      <w:spacing w:line="236" w:lineRule="auto"/>
      <w:rPr>
        <w:rFonts w:ascii="Calibri" w:hAnsi="Calibri" w:cs="Calibri" w:eastAsiaTheme="minorEastAsia"/>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DAECD0"/>
    <w:multiLevelType w:val="singleLevel"/>
    <w:tmpl w:val="3BDAECD0"/>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
  <w:rsids>
    <w:rsidRoot w:val="007260C2"/>
    <w:rsid w:val="00005689"/>
    <w:rsid w:val="000059EC"/>
    <w:rsid w:val="00013862"/>
    <w:rsid w:val="00035E0F"/>
    <w:rsid w:val="00055146"/>
    <w:rsid w:val="00057E49"/>
    <w:rsid w:val="0006769B"/>
    <w:rsid w:val="00067F80"/>
    <w:rsid w:val="00091054"/>
    <w:rsid w:val="000A754F"/>
    <w:rsid w:val="000C04AE"/>
    <w:rsid w:val="0012089B"/>
    <w:rsid w:val="001242D5"/>
    <w:rsid w:val="00125AE4"/>
    <w:rsid w:val="00136030"/>
    <w:rsid w:val="00150C49"/>
    <w:rsid w:val="00162774"/>
    <w:rsid w:val="00164454"/>
    <w:rsid w:val="001841D6"/>
    <w:rsid w:val="001850E4"/>
    <w:rsid w:val="00196AB1"/>
    <w:rsid w:val="001B0550"/>
    <w:rsid w:val="001B47A9"/>
    <w:rsid w:val="001E4FF0"/>
    <w:rsid w:val="00203E6E"/>
    <w:rsid w:val="00207EF3"/>
    <w:rsid w:val="00210FF4"/>
    <w:rsid w:val="00212E27"/>
    <w:rsid w:val="002240EF"/>
    <w:rsid w:val="00224C20"/>
    <w:rsid w:val="00225378"/>
    <w:rsid w:val="0022557B"/>
    <w:rsid w:val="00243C22"/>
    <w:rsid w:val="00246AB2"/>
    <w:rsid w:val="00272CA2"/>
    <w:rsid w:val="00274DBB"/>
    <w:rsid w:val="00280A8F"/>
    <w:rsid w:val="002B29B7"/>
    <w:rsid w:val="002B4E05"/>
    <w:rsid w:val="002B5933"/>
    <w:rsid w:val="002C4AA6"/>
    <w:rsid w:val="003028B9"/>
    <w:rsid w:val="003046A4"/>
    <w:rsid w:val="00305F54"/>
    <w:rsid w:val="003178E0"/>
    <w:rsid w:val="00324BB8"/>
    <w:rsid w:val="00331C2C"/>
    <w:rsid w:val="003563D2"/>
    <w:rsid w:val="00357173"/>
    <w:rsid w:val="00373664"/>
    <w:rsid w:val="003A0C13"/>
    <w:rsid w:val="003C3878"/>
    <w:rsid w:val="003D4EB1"/>
    <w:rsid w:val="003D5C59"/>
    <w:rsid w:val="003E2764"/>
    <w:rsid w:val="003E4F92"/>
    <w:rsid w:val="003E5A0D"/>
    <w:rsid w:val="00411FBB"/>
    <w:rsid w:val="00426FC4"/>
    <w:rsid w:val="00452D5B"/>
    <w:rsid w:val="004569AC"/>
    <w:rsid w:val="00466F29"/>
    <w:rsid w:val="004730CB"/>
    <w:rsid w:val="00475A60"/>
    <w:rsid w:val="004C048F"/>
    <w:rsid w:val="004C29F1"/>
    <w:rsid w:val="004D0D46"/>
    <w:rsid w:val="004D169B"/>
    <w:rsid w:val="004D629C"/>
    <w:rsid w:val="004E5FF1"/>
    <w:rsid w:val="005002AD"/>
    <w:rsid w:val="005004BF"/>
    <w:rsid w:val="00505CFF"/>
    <w:rsid w:val="00507800"/>
    <w:rsid w:val="00524DDA"/>
    <w:rsid w:val="00531594"/>
    <w:rsid w:val="00543450"/>
    <w:rsid w:val="005442DF"/>
    <w:rsid w:val="00552EFA"/>
    <w:rsid w:val="00554CCD"/>
    <w:rsid w:val="0058262B"/>
    <w:rsid w:val="005859B4"/>
    <w:rsid w:val="00595566"/>
    <w:rsid w:val="005971C5"/>
    <w:rsid w:val="005A622D"/>
    <w:rsid w:val="005C3436"/>
    <w:rsid w:val="005C380F"/>
    <w:rsid w:val="005E567E"/>
    <w:rsid w:val="00606E63"/>
    <w:rsid w:val="00625A52"/>
    <w:rsid w:val="00632C97"/>
    <w:rsid w:val="0064406A"/>
    <w:rsid w:val="00646067"/>
    <w:rsid w:val="00667513"/>
    <w:rsid w:val="00687A9D"/>
    <w:rsid w:val="00691276"/>
    <w:rsid w:val="006A5340"/>
    <w:rsid w:val="006B21E8"/>
    <w:rsid w:val="006B54FA"/>
    <w:rsid w:val="006C11E2"/>
    <w:rsid w:val="006D69F4"/>
    <w:rsid w:val="006E0175"/>
    <w:rsid w:val="006F37A0"/>
    <w:rsid w:val="00704A93"/>
    <w:rsid w:val="007076D4"/>
    <w:rsid w:val="00722182"/>
    <w:rsid w:val="00725329"/>
    <w:rsid w:val="007260C2"/>
    <w:rsid w:val="0074046B"/>
    <w:rsid w:val="0074059C"/>
    <w:rsid w:val="007416DF"/>
    <w:rsid w:val="00760C91"/>
    <w:rsid w:val="00777B7E"/>
    <w:rsid w:val="007818DA"/>
    <w:rsid w:val="00783CF3"/>
    <w:rsid w:val="007A01DD"/>
    <w:rsid w:val="007A2AB7"/>
    <w:rsid w:val="007B1E39"/>
    <w:rsid w:val="007D3A51"/>
    <w:rsid w:val="007D6061"/>
    <w:rsid w:val="007E02D7"/>
    <w:rsid w:val="007E1C21"/>
    <w:rsid w:val="007E2E17"/>
    <w:rsid w:val="007F2FF4"/>
    <w:rsid w:val="008063EF"/>
    <w:rsid w:val="0083663B"/>
    <w:rsid w:val="0083723A"/>
    <w:rsid w:val="00841349"/>
    <w:rsid w:val="008418A8"/>
    <w:rsid w:val="0084784D"/>
    <w:rsid w:val="0086410B"/>
    <w:rsid w:val="00865D44"/>
    <w:rsid w:val="00865EB8"/>
    <w:rsid w:val="00872D3D"/>
    <w:rsid w:val="008A2CBC"/>
    <w:rsid w:val="008B0185"/>
    <w:rsid w:val="008B427E"/>
    <w:rsid w:val="008B51D9"/>
    <w:rsid w:val="008C5C33"/>
    <w:rsid w:val="008C6974"/>
    <w:rsid w:val="008C7EF0"/>
    <w:rsid w:val="009121ED"/>
    <w:rsid w:val="00916A46"/>
    <w:rsid w:val="0092127C"/>
    <w:rsid w:val="00921AAF"/>
    <w:rsid w:val="00954761"/>
    <w:rsid w:val="00965D65"/>
    <w:rsid w:val="009737E9"/>
    <w:rsid w:val="00991DC3"/>
    <w:rsid w:val="009A069C"/>
    <w:rsid w:val="009B05C3"/>
    <w:rsid w:val="009C5E6E"/>
    <w:rsid w:val="009D4390"/>
    <w:rsid w:val="009E3B36"/>
    <w:rsid w:val="00A22003"/>
    <w:rsid w:val="00A258DC"/>
    <w:rsid w:val="00A2734E"/>
    <w:rsid w:val="00A32431"/>
    <w:rsid w:val="00A35088"/>
    <w:rsid w:val="00A41A47"/>
    <w:rsid w:val="00A52EDD"/>
    <w:rsid w:val="00A90295"/>
    <w:rsid w:val="00AA1B4D"/>
    <w:rsid w:val="00AB3917"/>
    <w:rsid w:val="00AB77CD"/>
    <w:rsid w:val="00AC0F6E"/>
    <w:rsid w:val="00AE6FBD"/>
    <w:rsid w:val="00B03D6C"/>
    <w:rsid w:val="00B14D1E"/>
    <w:rsid w:val="00B26798"/>
    <w:rsid w:val="00B36B24"/>
    <w:rsid w:val="00B52127"/>
    <w:rsid w:val="00B55A95"/>
    <w:rsid w:val="00B640E5"/>
    <w:rsid w:val="00B71F7B"/>
    <w:rsid w:val="00B901C5"/>
    <w:rsid w:val="00BA0898"/>
    <w:rsid w:val="00BA3F8F"/>
    <w:rsid w:val="00BD1504"/>
    <w:rsid w:val="00BE2DD0"/>
    <w:rsid w:val="00BF226A"/>
    <w:rsid w:val="00C0141E"/>
    <w:rsid w:val="00C077F7"/>
    <w:rsid w:val="00C15573"/>
    <w:rsid w:val="00C2206B"/>
    <w:rsid w:val="00C325A4"/>
    <w:rsid w:val="00C33147"/>
    <w:rsid w:val="00C34B35"/>
    <w:rsid w:val="00C6212B"/>
    <w:rsid w:val="00C85DEE"/>
    <w:rsid w:val="00CA0D71"/>
    <w:rsid w:val="00CA5634"/>
    <w:rsid w:val="00CC1C7A"/>
    <w:rsid w:val="00CE6BDF"/>
    <w:rsid w:val="00D02E26"/>
    <w:rsid w:val="00D0537F"/>
    <w:rsid w:val="00D06FB9"/>
    <w:rsid w:val="00D14729"/>
    <w:rsid w:val="00D27877"/>
    <w:rsid w:val="00D35742"/>
    <w:rsid w:val="00D456E6"/>
    <w:rsid w:val="00D57CB3"/>
    <w:rsid w:val="00D743B4"/>
    <w:rsid w:val="00D77BF0"/>
    <w:rsid w:val="00D93E97"/>
    <w:rsid w:val="00D96107"/>
    <w:rsid w:val="00DC719D"/>
    <w:rsid w:val="00DD103A"/>
    <w:rsid w:val="00DF27AE"/>
    <w:rsid w:val="00DF72C7"/>
    <w:rsid w:val="00E0529D"/>
    <w:rsid w:val="00E05931"/>
    <w:rsid w:val="00E11AD5"/>
    <w:rsid w:val="00E21E05"/>
    <w:rsid w:val="00E2674D"/>
    <w:rsid w:val="00E44DDF"/>
    <w:rsid w:val="00E51BC4"/>
    <w:rsid w:val="00E6284A"/>
    <w:rsid w:val="00E67AAA"/>
    <w:rsid w:val="00E75E44"/>
    <w:rsid w:val="00E83E29"/>
    <w:rsid w:val="00E85686"/>
    <w:rsid w:val="00EA32B4"/>
    <w:rsid w:val="00EA3DBC"/>
    <w:rsid w:val="00EA6BBC"/>
    <w:rsid w:val="00EB5B3A"/>
    <w:rsid w:val="00EB6389"/>
    <w:rsid w:val="00ED56CC"/>
    <w:rsid w:val="00EF58EC"/>
    <w:rsid w:val="00F00A46"/>
    <w:rsid w:val="00F10F9C"/>
    <w:rsid w:val="00F77F4F"/>
    <w:rsid w:val="00F9786B"/>
    <w:rsid w:val="00FA0EBD"/>
    <w:rsid w:val="00FB4917"/>
    <w:rsid w:val="00FB5E71"/>
    <w:rsid w:val="00FC10F2"/>
    <w:rsid w:val="00FC449F"/>
    <w:rsid w:val="00FC5E24"/>
    <w:rsid w:val="00FF73F0"/>
    <w:rsid w:val="01E948C8"/>
    <w:rsid w:val="0284231A"/>
    <w:rsid w:val="029F0F02"/>
    <w:rsid w:val="02A46519"/>
    <w:rsid w:val="03981F66"/>
    <w:rsid w:val="03C54999"/>
    <w:rsid w:val="0464632A"/>
    <w:rsid w:val="046E5030"/>
    <w:rsid w:val="04934A97"/>
    <w:rsid w:val="04E86FA9"/>
    <w:rsid w:val="051C2760"/>
    <w:rsid w:val="05A97997"/>
    <w:rsid w:val="06585F98"/>
    <w:rsid w:val="066915A7"/>
    <w:rsid w:val="0721638A"/>
    <w:rsid w:val="076B1CFB"/>
    <w:rsid w:val="07FC0F94"/>
    <w:rsid w:val="081D1247"/>
    <w:rsid w:val="08253C58"/>
    <w:rsid w:val="09BA4874"/>
    <w:rsid w:val="09EA5159"/>
    <w:rsid w:val="0A717628"/>
    <w:rsid w:val="0B5F3925"/>
    <w:rsid w:val="0C6C454B"/>
    <w:rsid w:val="0CDD2D53"/>
    <w:rsid w:val="0CF20C5A"/>
    <w:rsid w:val="0D0C53E6"/>
    <w:rsid w:val="0DC61A39"/>
    <w:rsid w:val="0DE93979"/>
    <w:rsid w:val="0E211365"/>
    <w:rsid w:val="0EFD579A"/>
    <w:rsid w:val="0F2A5FF8"/>
    <w:rsid w:val="0F7B6853"/>
    <w:rsid w:val="0FBD50BE"/>
    <w:rsid w:val="0FC14BAE"/>
    <w:rsid w:val="0FF3288D"/>
    <w:rsid w:val="103C4234"/>
    <w:rsid w:val="10D97892"/>
    <w:rsid w:val="11A7392F"/>
    <w:rsid w:val="12040D82"/>
    <w:rsid w:val="12810624"/>
    <w:rsid w:val="128D79C0"/>
    <w:rsid w:val="12C66037"/>
    <w:rsid w:val="14506500"/>
    <w:rsid w:val="15F1786F"/>
    <w:rsid w:val="1615355E"/>
    <w:rsid w:val="16F2564D"/>
    <w:rsid w:val="17092996"/>
    <w:rsid w:val="1711641B"/>
    <w:rsid w:val="18585984"/>
    <w:rsid w:val="189F1A11"/>
    <w:rsid w:val="18A961DF"/>
    <w:rsid w:val="19AF7825"/>
    <w:rsid w:val="19DC4392"/>
    <w:rsid w:val="1A1B310D"/>
    <w:rsid w:val="1A9C2B4C"/>
    <w:rsid w:val="1AD761AB"/>
    <w:rsid w:val="1B1E5757"/>
    <w:rsid w:val="1B7B0307"/>
    <w:rsid w:val="1C3D736A"/>
    <w:rsid w:val="1CEB326A"/>
    <w:rsid w:val="1DE877AA"/>
    <w:rsid w:val="1E2F7187"/>
    <w:rsid w:val="1E917E41"/>
    <w:rsid w:val="1E933BB9"/>
    <w:rsid w:val="1EA25BAA"/>
    <w:rsid w:val="1EB2122E"/>
    <w:rsid w:val="1EE61F3B"/>
    <w:rsid w:val="1F157A6E"/>
    <w:rsid w:val="1F2C36C6"/>
    <w:rsid w:val="203660C0"/>
    <w:rsid w:val="20E57FD0"/>
    <w:rsid w:val="222B4109"/>
    <w:rsid w:val="223B434C"/>
    <w:rsid w:val="23FC0C66"/>
    <w:rsid w:val="242F6132"/>
    <w:rsid w:val="24354858"/>
    <w:rsid w:val="2492221D"/>
    <w:rsid w:val="253B4663"/>
    <w:rsid w:val="259A5D5E"/>
    <w:rsid w:val="25F806CE"/>
    <w:rsid w:val="269B185D"/>
    <w:rsid w:val="274517C9"/>
    <w:rsid w:val="278C3F63"/>
    <w:rsid w:val="29253660"/>
    <w:rsid w:val="298011DE"/>
    <w:rsid w:val="2A6E7289"/>
    <w:rsid w:val="2A7228D5"/>
    <w:rsid w:val="2B620B9B"/>
    <w:rsid w:val="2B795EE5"/>
    <w:rsid w:val="2BC2788C"/>
    <w:rsid w:val="2BFB4B4C"/>
    <w:rsid w:val="2DC01BA9"/>
    <w:rsid w:val="2E595142"/>
    <w:rsid w:val="2EA25753"/>
    <w:rsid w:val="2EBF00B3"/>
    <w:rsid w:val="2F416D1A"/>
    <w:rsid w:val="2FB92D54"/>
    <w:rsid w:val="300A35B0"/>
    <w:rsid w:val="30E402A4"/>
    <w:rsid w:val="30EB33E1"/>
    <w:rsid w:val="3106646D"/>
    <w:rsid w:val="314B0324"/>
    <w:rsid w:val="31A16195"/>
    <w:rsid w:val="31C33082"/>
    <w:rsid w:val="31FD161E"/>
    <w:rsid w:val="326E7E26"/>
    <w:rsid w:val="32A001FB"/>
    <w:rsid w:val="32BB6DE3"/>
    <w:rsid w:val="32FB3683"/>
    <w:rsid w:val="33C64FC6"/>
    <w:rsid w:val="33DA14EB"/>
    <w:rsid w:val="34142C4F"/>
    <w:rsid w:val="34425A0E"/>
    <w:rsid w:val="344C063B"/>
    <w:rsid w:val="351C625F"/>
    <w:rsid w:val="356D507A"/>
    <w:rsid w:val="358B6F41"/>
    <w:rsid w:val="35A6483F"/>
    <w:rsid w:val="36BB1AA7"/>
    <w:rsid w:val="36E56B24"/>
    <w:rsid w:val="38A8605B"/>
    <w:rsid w:val="38BC166D"/>
    <w:rsid w:val="39CB0253"/>
    <w:rsid w:val="3AFB2473"/>
    <w:rsid w:val="3B190B4B"/>
    <w:rsid w:val="3D0870C9"/>
    <w:rsid w:val="3D233F03"/>
    <w:rsid w:val="3DF82424"/>
    <w:rsid w:val="3E261EFC"/>
    <w:rsid w:val="3F174D83"/>
    <w:rsid w:val="3F217CA4"/>
    <w:rsid w:val="3F870779"/>
    <w:rsid w:val="3FA17924"/>
    <w:rsid w:val="3FB928FC"/>
    <w:rsid w:val="40193780"/>
    <w:rsid w:val="40626FEA"/>
    <w:rsid w:val="40844CB8"/>
    <w:rsid w:val="41343812"/>
    <w:rsid w:val="41524DB6"/>
    <w:rsid w:val="41A27D12"/>
    <w:rsid w:val="41A30F3F"/>
    <w:rsid w:val="42274827"/>
    <w:rsid w:val="43014CE6"/>
    <w:rsid w:val="4396542E"/>
    <w:rsid w:val="446E0C7E"/>
    <w:rsid w:val="44A91191"/>
    <w:rsid w:val="454B2248"/>
    <w:rsid w:val="45513D03"/>
    <w:rsid w:val="45725A27"/>
    <w:rsid w:val="45AF4585"/>
    <w:rsid w:val="45C1250B"/>
    <w:rsid w:val="45EA380F"/>
    <w:rsid w:val="46731A57"/>
    <w:rsid w:val="47043C81"/>
    <w:rsid w:val="474D22A8"/>
    <w:rsid w:val="485853A8"/>
    <w:rsid w:val="4A253513"/>
    <w:rsid w:val="4A6C6EE9"/>
    <w:rsid w:val="4AEE3DA2"/>
    <w:rsid w:val="4B667DDC"/>
    <w:rsid w:val="4BA83F51"/>
    <w:rsid w:val="4C653BF0"/>
    <w:rsid w:val="4C7958ED"/>
    <w:rsid w:val="4DEB6377"/>
    <w:rsid w:val="4E39001B"/>
    <w:rsid w:val="4E807407"/>
    <w:rsid w:val="4EED1BAD"/>
    <w:rsid w:val="4F5476D0"/>
    <w:rsid w:val="4F620C8C"/>
    <w:rsid w:val="4F824AB9"/>
    <w:rsid w:val="50681F00"/>
    <w:rsid w:val="50DD28EE"/>
    <w:rsid w:val="51477D68"/>
    <w:rsid w:val="51556929"/>
    <w:rsid w:val="51B353FD"/>
    <w:rsid w:val="51C4760A"/>
    <w:rsid w:val="53195734"/>
    <w:rsid w:val="53230361"/>
    <w:rsid w:val="53360094"/>
    <w:rsid w:val="53370970"/>
    <w:rsid w:val="533B38FC"/>
    <w:rsid w:val="54A31759"/>
    <w:rsid w:val="55472A2C"/>
    <w:rsid w:val="564C6149"/>
    <w:rsid w:val="56657ED3"/>
    <w:rsid w:val="56665134"/>
    <w:rsid w:val="576F1DC6"/>
    <w:rsid w:val="57911D3D"/>
    <w:rsid w:val="57CC7219"/>
    <w:rsid w:val="58300AA6"/>
    <w:rsid w:val="58937D37"/>
    <w:rsid w:val="58A15514"/>
    <w:rsid w:val="58BF28DA"/>
    <w:rsid w:val="59657925"/>
    <w:rsid w:val="59D14CAE"/>
    <w:rsid w:val="5A2A6479"/>
    <w:rsid w:val="5A6E45B7"/>
    <w:rsid w:val="5BD668B8"/>
    <w:rsid w:val="5D3E2967"/>
    <w:rsid w:val="5DE7009E"/>
    <w:rsid w:val="5EA358EB"/>
    <w:rsid w:val="5F1D035A"/>
    <w:rsid w:val="5F24401D"/>
    <w:rsid w:val="5F2711D9"/>
    <w:rsid w:val="5FA32F55"/>
    <w:rsid w:val="60714E01"/>
    <w:rsid w:val="61406582"/>
    <w:rsid w:val="62377985"/>
    <w:rsid w:val="6271733B"/>
    <w:rsid w:val="63041F5D"/>
    <w:rsid w:val="63185A08"/>
    <w:rsid w:val="63BC6393"/>
    <w:rsid w:val="63E37DC4"/>
    <w:rsid w:val="640862C1"/>
    <w:rsid w:val="64093C11"/>
    <w:rsid w:val="65401246"/>
    <w:rsid w:val="655D260C"/>
    <w:rsid w:val="65BA6903"/>
    <w:rsid w:val="665925BF"/>
    <w:rsid w:val="669058B5"/>
    <w:rsid w:val="67087B42"/>
    <w:rsid w:val="681D13CB"/>
    <w:rsid w:val="6826685B"/>
    <w:rsid w:val="68721F23"/>
    <w:rsid w:val="68795708"/>
    <w:rsid w:val="68BB130F"/>
    <w:rsid w:val="692F13B6"/>
    <w:rsid w:val="6994390F"/>
    <w:rsid w:val="69B378FD"/>
    <w:rsid w:val="69EE74C3"/>
    <w:rsid w:val="6A554E4C"/>
    <w:rsid w:val="6A5567D1"/>
    <w:rsid w:val="6A9E2C97"/>
    <w:rsid w:val="6AAB0F10"/>
    <w:rsid w:val="6ADE205B"/>
    <w:rsid w:val="6B4E646B"/>
    <w:rsid w:val="6C5C0714"/>
    <w:rsid w:val="6C991E31"/>
    <w:rsid w:val="6CDA788A"/>
    <w:rsid w:val="6CF92406"/>
    <w:rsid w:val="6D766E7A"/>
    <w:rsid w:val="6DAB4FF7"/>
    <w:rsid w:val="6F0E6E37"/>
    <w:rsid w:val="6FE729EA"/>
    <w:rsid w:val="701E2040"/>
    <w:rsid w:val="70B76860"/>
    <w:rsid w:val="70F57389"/>
    <w:rsid w:val="711F61B4"/>
    <w:rsid w:val="71235CA4"/>
    <w:rsid w:val="721D26F3"/>
    <w:rsid w:val="73724428"/>
    <w:rsid w:val="737427E7"/>
    <w:rsid w:val="740A4EF9"/>
    <w:rsid w:val="743B50B2"/>
    <w:rsid w:val="74445119"/>
    <w:rsid w:val="74994169"/>
    <w:rsid w:val="752008EB"/>
    <w:rsid w:val="758331B5"/>
    <w:rsid w:val="75A153E9"/>
    <w:rsid w:val="75A82C1C"/>
    <w:rsid w:val="76393874"/>
    <w:rsid w:val="763E0E8A"/>
    <w:rsid w:val="76FA1255"/>
    <w:rsid w:val="771816DB"/>
    <w:rsid w:val="77CB0E43"/>
    <w:rsid w:val="782D38E4"/>
    <w:rsid w:val="783C764B"/>
    <w:rsid w:val="78DB550B"/>
    <w:rsid w:val="78EC72C3"/>
    <w:rsid w:val="79053EE1"/>
    <w:rsid w:val="791800B8"/>
    <w:rsid w:val="7A262361"/>
    <w:rsid w:val="7A522D6B"/>
    <w:rsid w:val="7A831561"/>
    <w:rsid w:val="7ACE4ED2"/>
    <w:rsid w:val="7AD63D87"/>
    <w:rsid w:val="7ADE49EA"/>
    <w:rsid w:val="7C110C5B"/>
    <w:rsid w:val="7C3C40BE"/>
    <w:rsid w:val="7CF16C56"/>
    <w:rsid w:val="7D080444"/>
    <w:rsid w:val="7D7D498E"/>
    <w:rsid w:val="7DB12889"/>
    <w:rsid w:val="7E3A63DB"/>
    <w:rsid w:val="7E5D031B"/>
    <w:rsid w:val="7EDB02A8"/>
    <w:rsid w:val="7F0A245B"/>
    <w:rsid w:val="7F4219EB"/>
    <w:rsid w:val="7F565496"/>
    <w:rsid w:val="7F7D5A97"/>
    <w:rsid w:val="7F8813C8"/>
    <w:rsid w:val="7FB64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eastAsia="黑体"/>
      <w:b/>
      <w:sz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semiHidden/>
    <w:qFormat/>
    <w:uiPriority w:val="0"/>
  </w:style>
  <w:style w:type="paragraph" w:customStyle="1" w:styleId="5">
    <w:name w:val="Default"/>
    <w:next w:val="6"/>
    <w:qFormat/>
    <w:uiPriority w:val="0"/>
    <w:pPr>
      <w:widowControl w:val="0"/>
      <w:autoSpaceDE w:val="0"/>
      <w:autoSpaceDN w:val="0"/>
      <w:adjustRightInd w:val="0"/>
    </w:pPr>
    <w:rPr>
      <w:rFonts w:ascii="宋体" w:hAnsi="Times New Roman" w:eastAsia="宋体" w:cs="Times New Roman"/>
      <w:color w:val="000000"/>
      <w:kern w:val="2"/>
      <w:sz w:val="24"/>
      <w:szCs w:val="24"/>
      <w:lang w:val="en-US" w:eastAsia="zh-CN" w:bidi="ar-SA"/>
    </w:rPr>
  </w:style>
  <w:style w:type="paragraph" w:styleId="6">
    <w:name w:val="table of figures"/>
    <w:basedOn w:val="1"/>
    <w:next w:val="1"/>
    <w:unhideWhenUsed/>
    <w:qFormat/>
    <w:uiPriority w:val="99"/>
    <w:pPr>
      <w:ind w:left="200" w:leftChars="200" w:hanging="200" w:hangingChars="200"/>
    </w:pPr>
  </w:style>
  <w:style w:type="paragraph" w:styleId="7">
    <w:name w:val="Body Text Indent"/>
    <w:basedOn w:val="1"/>
    <w:next w:val="8"/>
    <w:unhideWhenUsed/>
    <w:qFormat/>
    <w:uiPriority w:val="99"/>
    <w:pPr>
      <w:spacing w:after="120"/>
      <w:ind w:left="420" w:leftChars="200"/>
    </w:pPr>
  </w:style>
  <w:style w:type="paragraph" w:styleId="8">
    <w:name w:val="envelope return"/>
    <w:basedOn w:val="1"/>
    <w:qFormat/>
    <w:uiPriority w:val="0"/>
  </w:style>
  <w:style w:type="paragraph" w:styleId="9">
    <w:name w:val="toc 3"/>
    <w:basedOn w:val="1"/>
    <w:next w:val="1"/>
    <w:autoRedefine/>
    <w:unhideWhenUsed/>
    <w:qFormat/>
    <w:uiPriority w:val="39"/>
    <w:pPr>
      <w:kinsoku/>
      <w:autoSpaceDE/>
      <w:autoSpaceDN/>
      <w:adjustRightInd/>
      <w:snapToGrid/>
      <w:spacing w:after="100" w:line="276" w:lineRule="auto"/>
      <w:ind w:left="440"/>
      <w:textAlignment w:val="auto"/>
    </w:pPr>
    <w:rPr>
      <w:rFonts w:asciiTheme="minorHAnsi" w:hAnsiTheme="minorHAnsi" w:eastAsiaTheme="minorEastAsia" w:cstheme="minorBidi"/>
      <w:snapToGrid/>
      <w:color w:val="auto"/>
      <w:sz w:val="22"/>
      <w:szCs w:val="22"/>
      <w:lang w:eastAsia="zh-CN"/>
    </w:rPr>
  </w:style>
  <w:style w:type="paragraph" w:styleId="10">
    <w:name w:val="Balloon Text"/>
    <w:basedOn w:val="1"/>
    <w:link w:val="34"/>
    <w:qFormat/>
    <w:uiPriority w:val="0"/>
    <w:rPr>
      <w:sz w:val="18"/>
      <w:szCs w:val="18"/>
    </w:rPr>
  </w:style>
  <w:style w:type="paragraph" w:styleId="11">
    <w:name w:val="footer"/>
    <w:basedOn w:val="1"/>
    <w:link w:val="36"/>
    <w:qFormat/>
    <w:uiPriority w:val="99"/>
    <w:pPr>
      <w:tabs>
        <w:tab w:val="center" w:pos="4153"/>
        <w:tab w:val="right" w:pos="8306"/>
      </w:tabs>
    </w:pPr>
    <w:rPr>
      <w:sz w:val="18"/>
      <w:szCs w:val="18"/>
    </w:rPr>
  </w:style>
  <w:style w:type="paragraph" w:styleId="12">
    <w:name w:val="header"/>
    <w:basedOn w:val="1"/>
    <w:link w:val="35"/>
    <w:qFormat/>
    <w:uiPriority w:val="0"/>
    <w:pPr>
      <w:pBdr>
        <w:bottom w:val="single" w:color="auto" w:sz="6" w:space="1"/>
      </w:pBdr>
      <w:tabs>
        <w:tab w:val="center" w:pos="4153"/>
        <w:tab w:val="right" w:pos="8306"/>
      </w:tabs>
      <w:jc w:val="center"/>
    </w:pPr>
    <w:rPr>
      <w:sz w:val="18"/>
      <w:szCs w:val="18"/>
    </w:rPr>
  </w:style>
  <w:style w:type="paragraph" w:styleId="13">
    <w:name w:val="toc 1"/>
    <w:basedOn w:val="1"/>
    <w:next w:val="1"/>
    <w:autoRedefine/>
    <w:unhideWhenUsed/>
    <w:qFormat/>
    <w:uiPriority w:val="39"/>
    <w:pPr>
      <w:kinsoku/>
      <w:autoSpaceDE/>
      <w:autoSpaceDN/>
      <w:adjustRightInd/>
      <w:snapToGrid/>
      <w:spacing w:after="100" w:line="276" w:lineRule="auto"/>
      <w:textAlignment w:val="auto"/>
    </w:pPr>
    <w:rPr>
      <w:rFonts w:asciiTheme="minorHAnsi" w:hAnsiTheme="minorHAnsi" w:eastAsiaTheme="minorEastAsia" w:cstheme="minorBidi"/>
      <w:snapToGrid/>
      <w:color w:val="auto"/>
      <w:sz w:val="22"/>
      <w:szCs w:val="22"/>
      <w:lang w:eastAsia="zh-CN"/>
    </w:rPr>
  </w:style>
  <w:style w:type="paragraph" w:styleId="14">
    <w:name w:val="toc 2"/>
    <w:basedOn w:val="1"/>
    <w:next w:val="1"/>
    <w:autoRedefine/>
    <w:unhideWhenUsed/>
    <w:qFormat/>
    <w:uiPriority w:val="39"/>
    <w:pPr>
      <w:kinsoku/>
      <w:autoSpaceDE/>
      <w:autoSpaceDN/>
      <w:adjustRightInd/>
      <w:snapToGrid/>
      <w:spacing w:after="100" w:line="276" w:lineRule="auto"/>
      <w:ind w:left="220"/>
      <w:textAlignment w:val="auto"/>
    </w:pPr>
    <w:rPr>
      <w:rFonts w:asciiTheme="minorHAnsi" w:hAnsiTheme="minorHAnsi" w:eastAsiaTheme="minorEastAsia" w:cstheme="minorBidi"/>
      <w:snapToGrid/>
      <w:color w:val="auto"/>
      <w:sz w:val="22"/>
      <w:szCs w:val="22"/>
      <w:lang w:eastAsia="zh-CN"/>
    </w:rPr>
  </w:style>
  <w:style w:type="paragraph" w:styleId="15">
    <w:name w:val="Body Text First Indent"/>
    <w:basedOn w:val="4"/>
    <w:next w:val="16"/>
    <w:unhideWhenUsed/>
    <w:qFormat/>
    <w:uiPriority w:val="99"/>
    <w:pPr>
      <w:ind w:firstLine="420" w:firstLineChars="100"/>
    </w:pPr>
  </w:style>
  <w:style w:type="paragraph" w:styleId="16">
    <w:name w:val="Body Text First Indent 2"/>
    <w:basedOn w:val="7"/>
    <w:next w:val="1"/>
    <w:qFormat/>
    <w:uiPriority w:val="0"/>
    <w:pPr>
      <w:ind w:firstLine="420" w:firstLineChars="200"/>
    </w:pPr>
    <w:rPr>
      <w:rFonts w:ascii="Tahoma" w:hAnsi="Tahoma" w:eastAsia="微软雅黑"/>
      <w:sz w:val="22"/>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FollowedHyperlink"/>
    <w:basedOn w:val="19"/>
    <w:qFormat/>
    <w:uiPriority w:val="0"/>
    <w:rPr>
      <w:color w:val="800080"/>
      <w:u w:val="none"/>
    </w:rPr>
  </w:style>
  <w:style w:type="character" w:styleId="22">
    <w:name w:val="Emphasis"/>
    <w:basedOn w:val="19"/>
    <w:qFormat/>
    <w:uiPriority w:val="0"/>
    <w:rPr>
      <w:b/>
      <w:bCs/>
    </w:rPr>
  </w:style>
  <w:style w:type="character" w:styleId="23">
    <w:name w:val="HTML Definition"/>
    <w:basedOn w:val="19"/>
    <w:qFormat/>
    <w:uiPriority w:val="0"/>
  </w:style>
  <w:style w:type="character" w:styleId="24">
    <w:name w:val="HTML Typewriter"/>
    <w:basedOn w:val="19"/>
    <w:qFormat/>
    <w:uiPriority w:val="0"/>
    <w:rPr>
      <w:rFonts w:hint="default" w:ascii="monospace" w:hAnsi="monospace" w:eastAsia="monospace" w:cs="monospace"/>
      <w:sz w:val="20"/>
    </w:rPr>
  </w:style>
  <w:style w:type="character" w:styleId="25">
    <w:name w:val="HTML Acronym"/>
    <w:basedOn w:val="19"/>
    <w:qFormat/>
    <w:uiPriority w:val="0"/>
  </w:style>
  <w:style w:type="character" w:styleId="26">
    <w:name w:val="HTML Variable"/>
    <w:basedOn w:val="19"/>
    <w:qFormat/>
    <w:uiPriority w:val="0"/>
  </w:style>
  <w:style w:type="character" w:styleId="27">
    <w:name w:val="Hyperlink"/>
    <w:basedOn w:val="19"/>
    <w:unhideWhenUsed/>
    <w:qFormat/>
    <w:uiPriority w:val="99"/>
    <w:rPr>
      <w:color w:val="0000FF" w:themeColor="hyperlink"/>
      <w:u w:val="single"/>
      <w14:textFill>
        <w14:solidFill>
          <w14:schemeClr w14:val="hlink"/>
        </w14:solidFill>
      </w14:textFill>
    </w:rPr>
  </w:style>
  <w:style w:type="character" w:styleId="28">
    <w:name w:val="HTML Code"/>
    <w:basedOn w:val="19"/>
    <w:qFormat/>
    <w:uiPriority w:val="0"/>
    <w:rPr>
      <w:rFonts w:ascii="monospace" w:hAnsi="monospace" w:eastAsia="monospace" w:cs="monospace"/>
      <w:sz w:val="20"/>
    </w:rPr>
  </w:style>
  <w:style w:type="character" w:styleId="29">
    <w:name w:val="HTML Cite"/>
    <w:basedOn w:val="19"/>
    <w:qFormat/>
    <w:uiPriority w:val="0"/>
  </w:style>
  <w:style w:type="character" w:styleId="30">
    <w:name w:val="HTML Keyboard"/>
    <w:basedOn w:val="19"/>
    <w:qFormat/>
    <w:uiPriority w:val="0"/>
    <w:rPr>
      <w:rFonts w:hint="default" w:ascii="monospace" w:hAnsi="monospace" w:eastAsia="monospace" w:cs="monospace"/>
      <w:sz w:val="20"/>
    </w:rPr>
  </w:style>
  <w:style w:type="character" w:styleId="31">
    <w:name w:val="HTML Sample"/>
    <w:basedOn w:val="19"/>
    <w:qFormat/>
    <w:uiPriority w:val="0"/>
    <w:rPr>
      <w:rFonts w:hint="default" w:ascii="monospace" w:hAnsi="monospace" w:eastAsia="monospace" w:cs="monospace"/>
    </w:rPr>
  </w:style>
  <w:style w:type="table" w:customStyle="1" w:styleId="32">
    <w:name w:val="Table Normal"/>
    <w:semiHidden/>
    <w:unhideWhenUsed/>
    <w:qFormat/>
    <w:uiPriority w:val="0"/>
    <w:tblPr>
      <w:tblCellMar>
        <w:top w:w="0" w:type="dxa"/>
        <w:left w:w="0" w:type="dxa"/>
        <w:bottom w:w="0" w:type="dxa"/>
        <w:right w:w="0" w:type="dxa"/>
      </w:tblCellMar>
    </w:tblPr>
  </w:style>
  <w:style w:type="paragraph" w:customStyle="1" w:styleId="33">
    <w:name w:val="Table Text"/>
    <w:basedOn w:val="1"/>
    <w:semiHidden/>
    <w:qFormat/>
    <w:uiPriority w:val="0"/>
    <w:rPr>
      <w:rFonts w:ascii="宋体" w:hAnsi="宋体" w:eastAsia="宋体" w:cs="宋体"/>
      <w:sz w:val="24"/>
      <w:szCs w:val="24"/>
    </w:rPr>
  </w:style>
  <w:style w:type="character" w:customStyle="1" w:styleId="34">
    <w:name w:val="批注框文本 Char"/>
    <w:basedOn w:val="19"/>
    <w:link w:val="10"/>
    <w:qFormat/>
    <w:uiPriority w:val="0"/>
    <w:rPr>
      <w:rFonts w:eastAsia="Arial"/>
      <w:snapToGrid w:val="0"/>
      <w:color w:val="000000"/>
      <w:sz w:val="18"/>
      <w:szCs w:val="18"/>
      <w:lang w:eastAsia="en-US"/>
    </w:rPr>
  </w:style>
  <w:style w:type="character" w:customStyle="1" w:styleId="35">
    <w:name w:val="页眉 Char"/>
    <w:basedOn w:val="19"/>
    <w:link w:val="12"/>
    <w:qFormat/>
    <w:uiPriority w:val="0"/>
    <w:rPr>
      <w:rFonts w:eastAsia="Arial"/>
      <w:snapToGrid w:val="0"/>
      <w:color w:val="000000"/>
      <w:sz w:val="18"/>
      <w:szCs w:val="18"/>
      <w:lang w:eastAsia="en-US"/>
    </w:rPr>
  </w:style>
  <w:style w:type="character" w:customStyle="1" w:styleId="36">
    <w:name w:val="页脚 Char"/>
    <w:basedOn w:val="19"/>
    <w:link w:val="11"/>
    <w:qFormat/>
    <w:uiPriority w:val="99"/>
    <w:rPr>
      <w:rFonts w:eastAsia="Arial"/>
      <w:snapToGrid w:val="0"/>
      <w:color w:val="000000"/>
      <w:sz w:val="18"/>
      <w:szCs w:val="18"/>
      <w:lang w:eastAsia="en-US"/>
    </w:rPr>
  </w:style>
  <w:style w:type="paragraph" w:customStyle="1" w:styleId="37">
    <w:name w:val="TOC 标题1"/>
    <w:basedOn w:val="2"/>
    <w:next w:val="1"/>
    <w:semiHidden/>
    <w:unhideWhenUsed/>
    <w:qFormat/>
    <w:uiPriority w:val="39"/>
    <w:pPr>
      <w:kinsoku/>
      <w:autoSpaceDE/>
      <w:autoSpaceDN/>
      <w:adjustRightInd/>
      <w:snapToGrid/>
      <w:spacing w:before="480" w:after="0" w:line="276" w:lineRule="auto"/>
      <w:textAlignment w:val="auto"/>
      <w:outlineLvl w:val="9"/>
    </w:pPr>
    <w:rPr>
      <w:rFonts w:asciiTheme="majorHAnsi" w:hAnsiTheme="majorHAnsi" w:eastAsiaTheme="majorEastAsia" w:cstheme="majorBidi"/>
      <w:bCs/>
      <w:snapToGrid/>
      <w:color w:val="376092" w:themeColor="accent1" w:themeShade="BF"/>
      <w:kern w:val="0"/>
      <w:sz w:val="28"/>
      <w:szCs w:val="28"/>
      <w:lang w:eastAsia="zh-CN"/>
    </w:rPr>
  </w:style>
  <w:style w:type="table" w:customStyle="1" w:styleId="38">
    <w:name w:val="Table Normal1"/>
    <w:semiHidden/>
    <w:unhideWhenUsed/>
    <w:qFormat/>
    <w:uiPriority w:val="0"/>
    <w:tblPr>
      <w:tblCellMar>
        <w:top w:w="0" w:type="dxa"/>
        <w:left w:w="0" w:type="dxa"/>
        <w:bottom w:w="0" w:type="dxa"/>
        <w:right w:w="0" w:type="dxa"/>
      </w:tblCellMar>
    </w:tblPr>
  </w:style>
  <w:style w:type="table" w:customStyle="1" w:styleId="39">
    <w:name w:val="Table Normal2"/>
    <w:semiHidden/>
    <w:unhideWhenUsed/>
    <w:qFormat/>
    <w:uiPriority w:val="0"/>
    <w:tblPr>
      <w:tblCellMar>
        <w:top w:w="0" w:type="dxa"/>
        <w:left w:w="0" w:type="dxa"/>
        <w:bottom w:w="0" w:type="dxa"/>
        <w:right w:w="0" w:type="dxa"/>
      </w:tblCellMar>
    </w:tblPr>
  </w:style>
  <w:style w:type="character" w:customStyle="1" w:styleId="40">
    <w:name w:val="hover1"/>
    <w:basedOn w:val="19"/>
    <w:qFormat/>
    <w:uiPriority w:val="0"/>
    <w:rPr>
      <w:color w:val="2590EB"/>
    </w:rPr>
  </w:style>
  <w:style w:type="character" w:customStyle="1" w:styleId="41">
    <w:name w:val="hover2"/>
    <w:basedOn w:val="19"/>
    <w:qFormat/>
    <w:uiPriority w:val="0"/>
  </w:style>
  <w:style w:type="character" w:customStyle="1" w:styleId="42">
    <w:name w:val="hover3"/>
    <w:basedOn w:val="19"/>
    <w:qFormat/>
    <w:uiPriority w:val="0"/>
    <w:rPr>
      <w:color w:val="2590EB"/>
    </w:rPr>
  </w:style>
  <w:style w:type="character" w:customStyle="1" w:styleId="43">
    <w:name w:val="mini-outputtext1"/>
    <w:basedOn w:val="19"/>
    <w:qFormat/>
    <w:uiPriority w:val="0"/>
  </w:style>
  <w:style w:type="character" w:customStyle="1" w:styleId="44">
    <w:name w:val="hover"/>
    <w:basedOn w:val="19"/>
    <w:qFormat/>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6"/>
    <customShpInfo spid="_x0000_s1035"/>
    <customShpInfo spid="_x0000_s1034"/>
    <customShpInfo spid="_x0000_s1033"/>
    <customShpInfo spid="_x0000_s1032"/>
    <customShpInfo spid="_x0000_s1031"/>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8CA90E-A526-4FA4-B499-C3579AD53CF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63</Pages>
  <Words>1303</Words>
  <Characters>1547</Characters>
  <Lines>255</Lines>
  <Paragraphs>71</Paragraphs>
  <TotalTime>12</TotalTime>
  <ScaleCrop>false</ScaleCrop>
  <LinksUpToDate>false</LinksUpToDate>
  <CharactersWithSpaces>1573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2025-10-13T18:36:00Z</dcterms:created>
  <dc:creator>Administrator</dc:creator>
  <cp:lastModifiedBy>Administrator</cp:lastModifiedBy>
  <dcterms:modified xsi:type="dcterms:W3CDTF">2026-02-13T02:11:33Z</dcterms:modified>
  <cp:revision>611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2025-12-05T16:42:05Z</vt:filetime>
  </property>
  <property fmtid="{D5CDD505-2E9C-101B-9397-08002B2CF9AE}" pid="4" name="KSOTemplateDocerSaveRecord">
    <vt:lpwstr>eyJoZGlkIjoiOWY3NjUzMGYzOGU2YjEyMjczYmI5ZDJlOWQ3YjhkYTUiLCJ1c2VySWQiOiIxNTgxMDQ2NjUwIn0=</vt:lpwstr>
  </property>
  <property fmtid="{D5CDD505-2E9C-101B-9397-08002B2CF9AE}" pid="5" name="KSOProductBuildVer">
    <vt:lpwstr>2052-12.1.0.24657</vt:lpwstr>
  </property>
  <property fmtid="{D5CDD505-2E9C-101B-9397-08002B2CF9AE}" pid="6" name="ICV">
    <vt:lpwstr>C2D15C45080442FF9417186545D2BC66_13</vt:lpwstr>
  </property>
</Properties>
</file>