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19700">
      <w:pPr>
        <w:spacing w:beforeLines="100" w:afterLines="100" w:line="360" w:lineRule="auto"/>
        <w:jc w:val="center"/>
        <w:rPr>
          <w:rFonts w:hint="eastAsia" w:ascii="黑体" w:hAnsi="宋体" w:eastAsia="黑体" w:cs="宋体"/>
          <w:b w:val="0"/>
          <w:bCs w:val="0"/>
          <w:color w:val="000000"/>
          <w:sz w:val="48"/>
          <w:szCs w:val="48"/>
          <w:lang w:val="en-US" w:eastAsia="zh-CN"/>
        </w:rPr>
      </w:pPr>
      <w:bookmarkStart w:id="362" w:name="_GoBack"/>
      <w:bookmarkEnd w:id="362"/>
      <w:r>
        <w:rPr>
          <w:rFonts w:hint="eastAsia" w:ascii="黑体" w:hAnsi="宋体" w:eastAsia="黑体" w:cs="宋体"/>
          <w:b w:val="0"/>
          <w:bCs w:val="0"/>
          <w:color w:val="000000"/>
          <w:sz w:val="48"/>
          <w:szCs w:val="48"/>
          <w:lang w:val="en-US" w:eastAsia="zh-CN"/>
        </w:rPr>
        <w:t>灵宝市移民农产品物流园建设项目</w:t>
      </w:r>
    </w:p>
    <w:p w14:paraId="61F2FC16">
      <w:pPr>
        <w:spacing w:beforeLines="100" w:afterLines="100" w:line="360" w:lineRule="auto"/>
        <w:jc w:val="center"/>
        <w:rPr>
          <w:rFonts w:hint="eastAsia" w:ascii="黑体" w:hAnsi="宋体" w:eastAsia="黑体" w:cs="宋体"/>
          <w:b w:val="0"/>
          <w:bCs w:val="0"/>
          <w:color w:val="000000"/>
          <w:sz w:val="48"/>
          <w:szCs w:val="48"/>
          <w:lang w:val="en-US" w:eastAsia="zh-CN"/>
        </w:rPr>
      </w:pPr>
      <w:r>
        <w:rPr>
          <w:rFonts w:hint="eastAsia" w:ascii="黑体" w:hAnsi="宋体" w:eastAsia="黑体" w:cs="宋体"/>
          <w:b w:val="0"/>
          <w:bCs w:val="0"/>
          <w:color w:val="000000"/>
          <w:sz w:val="48"/>
          <w:szCs w:val="48"/>
          <w:lang w:val="en-US" w:eastAsia="zh-CN"/>
        </w:rPr>
        <w:t>监理服务</w:t>
      </w:r>
    </w:p>
    <w:p w14:paraId="5AB6AA48">
      <w:pPr>
        <w:pStyle w:val="4"/>
        <w:rPr>
          <w:rFonts w:hint="eastAsia"/>
          <w:lang w:val="en-US" w:eastAsia="zh-CN"/>
        </w:rPr>
      </w:pPr>
    </w:p>
    <w:p w14:paraId="7E9C9B49">
      <w:pPr>
        <w:spacing w:beforeLines="100" w:afterLines="100" w:line="360" w:lineRule="auto"/>
        <w:jc w:val="center"/>
        <w:rPr>
          <w:rFonts w:hint="eastAsia" w:ascii="黑体" w:hAnsi="宋体" w:eastAsia="黑体" w:cs="宋体"/>
          <w:b/>
          <w:bCs/>
          <w:color w:val="000000"/>
          <w:sz w:val="84"/>
          <w:szCs w:val="84"/>
        </w:rPr>
      </w:pPr>
      <w:r>
        <w:rPr>
          <w:rFonts w:hint="eastAsia" w:ascii="黑体" w:hAnsi="宋体" w:eastAsia="黑体" w:cs="宋体"/>
          <w:b/>
          <w:bCs/>
          <w:color w:val="000000"/>
          <w:sz w:val="84"/>
          <w:szCs w:val="84"/>
          <w:lang w:val="en-US" w:eastAsia="zh-CN"/>
        </w:rPr>
        <w:t>竞争性磋商</w:t>
      </w:r>
      <w:r>
        <w:rPr>
          <w:rFonts w:hint="eastAsia" w:ascii="黑体" w:hAnsi="宋体" w:eastAsia="黑体" w:cs="宋体"/>
          <w:b/>
          <w:bCs/>
          <w:color w:val="000000"/>
          <w:sz w:val="84"/>
          <w:szCs w:val="84"/>
        </w:rPr>
        <w:t>文件</w:t>
      </w:r>
    </w:p>
    <w:p w14:paraId="586B95A9">
      <w:pPr>
        <w:pStyle w:val="4"/>
        <w:ind w:left="0" w:leftChars="0" w:firstLine="0" w:firstLineChars="0"/>
        <w:jc w:val="center"/>
        <w:rPr>
          <w:rFonts w:hint="eastAsia" w:eastAsia="宋体"/>
          <w:lang w:eastAsia="zh-CN"/>
        </w:rPr>
      </w:pPr>
      <w:r>
        <w:rPr>
          <w:rFonts w:hint="eastAsia"/>
        </w:rPr>
        <w:t>项目编号：</w:t>
      </w:r>
      <w:r>
        <w:rPr>
          <w:rFonts w:hint="eastAsia"/>
          <w:lang w:eastAsia="zh-CN"/>
        </w:rPr>
        <w:t>灵宝竞磋采购-2026-16、LBGZ[2026]031-ZC026</w:t>
      </w:r>
    </w:p>
    <w:p w14:paraId="38C2FA8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hint="eastAsia" w:ascii="宋体" w:hAnsi="宋体" w:cs="宋体"/>
          <w:b/>
          <w:bCs/>
          <w:color w:val="auto"/>
          <w:kern w:val="0"/>
          <w:sz w:val="28"/>
          <w:szCs w:val="21"/>
          <w:highlight w:val="none"/>
        </w:rPr>
      </w:pPr>
    </w:p>
    <w:p w14:paraId="774F6683">
      <w:pPr>
        <w:pStyle w:val="4"/>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auto"/>
          <w:kern w:val="0"/>
          <w:sz w:val="28"/>
          <w:szCs w:val="21"/>
          <w:highlight w:val="none"/>
        </w:rPr>
      </w:pPr>
      <w:r>
        <w:rPr>
          <w:rFonts w:hint="eastAsia" w:eastAsia="宋体"/>
          <w:highlight w:val="none"/>
          <w:lang w:eastAsia="zh-CN"/>
        </w:rPr>
        <w:drawing>
          <wp:anchor distT="0" distB="0" distL="114300" distR="114300" simplePos="0" relativeHeight="251662336" behindDoc="0" locked="0" layoutInCell="1" allowOverlap="1">
            <wp:simplePos x="0" y="0"/>
            <wp:positionH relativeFrom="column">
              <wp:posOffset>1264920</wp:posOffset>
            </wp:positionH>
            <wp:positionV relativeFrom="paragraph">
              <wp:posOffset>290195</wp:posOffset>
            </wp:positionV>
            <wp:extent cx="3070860" cy="923290"/>
            <wp:effectExtent l="0" t="0" r="15240" b="10160"/>
            <wp:wrapNone/>
            <wp:docPr id="3" name="图片 2" descr="43ee683f7bd889a78e4a1839149b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3ee683f7bd889a78e4a1839149b90c"/>
                    <pic:cNvPicPr>
                      <a:picLocks noChangeAspect="1"/>
                    </pic:cNvPicPr>
                  </pic:nvPicPr>
                  <pic:blipFill>
                    <a:blip r:embed="rId13"/>
                    <a:srcRect l="14360" t="36688" r="7956" b="39981"/>
                    <a:stretch>
                      <a:fillRect/>
                    </a:stretch>
                  </pic:blipFill>
                  <pic:spPr>
                    <a:xfrm>
                      <a:off x="0" y="0"/>
                      <a:ext cx="3070860" cy="923290"/>
                    </a:xfrm>
                    <a:prstGeom prst="rect">
                      <a:avLst/>
                    </a:prstGeom>
                    <a:noFill/>
                    <a:ln>
                      <a:noFill/>
                    </a:ln>
                  </pic:spPr>
                </pic:pic>
              </a:graphicData>
            </a:graphic>
          </wp:anchor>
        </w:drawing>
      </w:r>
    </w:p>
    <w:p w14:paraId="6AD49063">
      <w:pPr>
        <w:pStyle w:val="4"/>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0"/>
          <w:sz w:val="28"/>
          <w:szCs w:val="21"/>
          <w:highlight w:val="none"/>
        </w:rPr>
      </w:pPr>
    </w:p>
    <w:p w14:paraId="4ED8D2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微软雅黑" w:hAnsi="微软雅黑" w:eastAsia="宋体" w:cs="微软雅黑"/>
          <w:color w:val="333333"/>
          <w:sz w:val="21"/>
          <w:szCs w:val="21"/>
          <w:lang w:val="en-US" w:eastAsia="zh-CN"/>
        </w:rPr>
      </w:pPr>
    </w:p>
    <w:p w14:paraId="54AEEA7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FF0000"/>
          <w:kern w:val="0"/>
          <w:sz w:val="28"/>
          <w:szCs w:val="21"/>
          <w:highlight w:val="none"/>
          <w:lang w:val="en-US" w:eastAsia="zh-CN"/>
        </w:rPr>
      </w:pPr>
    </w:p>
    <w:p w14:paraId="651A129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FF0000"/>
          <w:kern w:val="0"/>
          <w:sz w:val="28"/>
          <w:szCs w:val="21"/>
          <w:highlight w:val="none"/>
          <w:lang w:val="en-US" w:eastAsia="zh-CN"/>
        </w:rPr>
      </w:pPr>
    </w:p>
    <w:p w14:paraId="018A7ED2">
      <w:pPr>
        <w:pStyle w:val="4"/>
        <w:rPr>
          <w:rFonts w:hint="eastAsia" w:ascii="宋体" w:hAnsi="宋体" w:cs="宋体"/>
          <w:b/>
          <w:bCs/>
          <w:color w:val="FF0000"/>
          <w:kern w:val="0"/>
          <w:sz w:val="28"/>
          <w:szCs w:val="21"/>
          <w:highlight w:val="none"/>
          <w:lang w:val="en-US" w:eastAsia="zh-CN"/>
        </w:rPr>
      </w:pPr>
    </w:p>
    <w:p w14:paraId="16E2DEE4">
      <w:pPr>
        <w:pStyle w:val="4"/>
        <w:rPr>
          <w:rFonts w:hint="eastAsia" w:ascii="宋体" w:hAnsi="宋体" w:cs="宋体"/>
          <w:b/>
          <w:bCs/>
          <w:color w:val="FF0000"/>
          <w:kern w:val="0"/>
          <w:sz w:val="28"/>
          <w:szCs w:val="21"/>
          <w:highlight w:val="none"/>
          <w:lang w:val="en-US" w:eastAsia="zh-CN"/>
        </w:rPr>
      </w:pPr>
    </w:p>
    <w:p w14:paraId="774F75DC">
      <w:pPr>
        <w:jc w:val="center"/>
        <w:rPr>
          <w:rFonts w:hint="eastAsia"/>
        </w:rPr>
      </w:pPr>
      <w:r>
        <w:rPr>
          <w:rFonts w:hint="eastAsia" w:ascii="宋体" w:hAnsi="宋体" w:cs="宋体"/>
          <w:b/>
          <w:bCs/>
          <w:color w:val="FF0000"/>
          <w:kern w:val="0"/>
          <w:sz w:val="28"/>
          <w:szCs w:val="21"/>
          <w:highlight w:val="none"/>
          <w:lang w:val="en-US" w:eastAsia="zh-CN"/>
        </w:rPr>
        <w:t xml:space="preserve"> </w:t>
      </w:r>
      <w:r>
        <w:rPr>
          <w:rFonts w:hint="eastAsia" w:ascii="宋体" w:hAnsi="宋体" w:cs="宋体"/>
          <w:b/>
          <w:bCs/>
          <w:color w:val="000000"/>
          <w:kern w:val="0"/>
          <w:sz w:val="28"/>
          <w:szCs w:val="21"/>
          <w:highlight w:val="none"/>
        </w:rPr>
        <w:t xml:space="preserve">         </w:t>
      </w:r>
    </w:p>
    <w:p w14:paraId="79F21F92">
      <w:pPr>
        <w:spacing w:line="360" w:lineRule="auto"/>
        <w:ind w:firstLine="1285" w:firstLineChars="400"/>
        <w:jc w:val="left"/>
        <w:outlineLvl w:val="9"/>
        <w:rPr>
          <w:rFonts w:hint="default" w:ascii="黑体" w:hAnsi="宋体" w:eastAsia="黑体" w:cs="宋体"/>
          <w:b/>
          <w:bCs/>
          <w:color w:val="000000"/>
          <w:sz w:val="32"/>
          <w:szCs w:val="32"/>
          <w:lang w:val="en-US" w:eastAsia="zh-CN"/>
        </w:rPr>
      </w:pPr>
      <w:bookmarkStart w:id="0" w:name="_Toc24891"/>
      <w:bookmarkStart w:id="1" w:name="_Toc3749"/>
      <w:bookmarkStart w:id="2" w:name="_Toc5748"/>
      <w:bookmarkStart w:id="3" w:name="_Toc12669"/>
      <w:bookmarkStart w:id="4" w:name="_Toc17328"/>
      <w:r>
        <w:rPr>
          <w:rFonts w:hint="eastAsia" w:ascii="黑体" w:hAnsi="宋体" w:eastAsia="黑体" w:cs="宋体"/>
          <w:b/>
          <w:bCs/>
          <w:color w:val="000000"/>
          <w:sz w:val="32"/>
          <w:szCs w:val="32"/>
          <w:lang w:val="en-US" w:eastAsia="zh-CN"/>
        </w:rPr>
        <w:t xml:space="preserve">采  购  </w:t>
      </w:r>
      <w:r>
        <w:rPr>
          <w:rFonts w:hint="eastAsia" w:ascii="黑体" w:hAnsi="宋体" w:eastAsia="黑体" w:cs="宋体"/>
          <w:b/>
          <w:bCs/>
          <w:color w:val="000000"/>
          <w:sz w:val="32"/>
          <w:szCs w:val="32"/>
        </w:rPr>
        <w:t>人：</w:t>
      </w:r>
      <w:bookmarkEnd w:id="0"/>
      <w:bookmarkEnd w:id="1"/>
      <w:bookmarkEnd w:id="2"/>
      <w:bookmarkStart w:id="5" w:name="_Toc4624"/>
      <w:r>
        <w:rPr>
          <w:rFonts w:hint="eastAsia" w:ascii="黑体" w:hAnsi="宋体" w:eastAsia="黑体" w:cs="宋体"/>
          <w:b/>
          <w:bCs/>
          <w:color w:val="000000"/>
          <w:sz w:val="32"/>
          <w:szCs w:val="32"/>
          <w:lang w:val="en-US" w:eastAsia="zh-CN"/>
        </w:rPr>
        <w:t>灵宝市黄河河务局</w:t>
      </w:r>
      <w:bookmarkEnd w:id="3"/>
      <w:bookmarkEnd w:id="4"/>
    </w:p>
    <w:p w14:paraId="7735EEA8">
      <w:pPr>
        <w:spacing w:line="360" w:lineRule="auto"/>
        <w:ind w:firstLine="1285" w:firstLineChars="400"/>
        <w:jc w:val="left"/>
        <w:outlineLvl w:val="9"/>
        <w:rPr>
          <w:rFonts w:hint="eastAsia" w:ascii="黑体" w:hAnsi="宋体" w:eastAsia="黑体" w:cs="宋体"/>
          <w:b/>
          <w:bCs/>
          <w:color w:val="000000"/>
          <w:sz w:val="32"/>
          <w:szCs w:val="32"/>
          <w:lang w:eastAsia="zh-CN"/>
        </w:rPr>
      </w:pPr>
      <w:bookmarkStart w:id="6" w:name="_Toc1546"/>
      <w:bookmarkStart w:id="7" w:name="_Toc10427"/>
      <w:bookmarkStart w:id="8" w:name="_Toc26834"/>
      <w:bookmarkStart w:id="9" w:name="_Toc11877"/>
      <w:r>
        <w:rPr>
          <w:rFonts w:hint="eastAsia" w:ascii="黑体" w:hAnsi="宋体" w:eastAsia="黑体" w:cs="宋体"/>
          <w:b/>
          <w:bCs/>
          <w:color w:val="000000"/>
          <w:sz w:val="32"/>
          <w:szCs w:val="32"/>
        </w:rPr>
        <w:t>招标代理机构：</w:t>
      </w:r>
      <w:bookmarkEnd w:id="5"/>
      <w:bookmarkEnd w:id="6"/>
      <w:bookmarkEnd w:id="7"/>
      <w:r>
        <w:rPr>
          <w:rFonts w:hint="eastAsia" w:ascii="黑体" w:hAnsi="宋体" w:eastAsia="黑体" w:cs="宋体"/>
          <w:b/>
          <w:bCs/>
          <w:color w:val="000000"/>
          <w:sz w:val="32"/>
          <w:szCs w:val="32"/>
          <w:lang w:eastAsia="zh-CN"/>
        </w:rPr>
        <w:t>驿大项目管理有限公司</w:t>
      </w:r>
      <w:bookmarkEnd w:id="8"/>
      <w:bookmarkEnd w:id="9"/>
    </w:p>
    <w:p w14:paraId="29E91B7C">
      <w:pPr>
        <w:spacing w:line="360" w:lineRule="auto"/>
        <w:ind w:firstLine="1285" w:firstLineChars="400"/>
        <w:jc w:val="left"/>
        <w:outlineLvl w:val="9"/>
        <w:rPr>
          <w:rFonts w:hint="default" w:ascii="宋体" w:hAnsi="宋体"/>
          <w:b/>
          <w:color w:val="000000"/>
          <w:sz w:val="36"/>
          <w:szCs w:val="36"/>
          <w:lang w:val="en-US"/>
        </w:rPr>
        <w:sectPr>
          <w:footerReference r:id="rId6" w:type="first"/>
          <w:footerReference r:id="rId4" w:type="default"/>
          <w:headerReference r:id="rId3" w:type="even"/>
          <w:footerReference r:id="rId5" w:type="even"/>
          <w:pgSz w:w="11906" w:h="16838"/>
          <w:pgMar w:top="1440" w:right="1800" w:bottom="1440" w:left="1800" w:header="851" w:footer="992" w:gutter="0"/>
          <w:pgNumType w:fmt="decimal" w:start="1"/>
          <w:cols w:space="720" w:num="1"/>
          <w:titlePg/>
          <w:docGrid w:type="lines" w:linePitch="312" w:charSpace="0"/>
        </w:sectPr>
      </w:pPr>
      <w:bookmarkStart w:id="10" w:name="_Toc29110"/>
      <w:bookmarkStart w:id="11" w:name="_Toc15543"/>
      <w:bookmarkStart w:id="12" w:name="_Toc2154"/>
      <w:bookmarkStart w:id="13" w:name="_Toc12576"/>
      <w:bookmarkStart w:id="14" w:name="_Toc21778"/>
      <w:r>
        <w:rPr>
          <w:rFonts w:hint="eastAsia" w:ascii="黑体" w:hAnsi="宋体" w:eastAsia="黑体" w:cs="宋体"/>
          <w:b/>
          <w:bCs/>
          <w:color w:val="000000"/>
          <w:sz w:val="32"/>
          <w:szCs w:val="32"/>
        </w:rPr>
        <w:t>日      期：</w:t>
      </w:r>
      <w:bookmarkEnd w:id="10"/>
      <w:bookmarkEnd w:id="11"/>
      <w:bookmarkEnd w:id="12"/>
      <w:r>
        <w:rPr>
          <w:rFonts w:hint="eastAsia" w:ascii="黑体" w:hAnsi="宋体" w:eastAsia="黑体" w:cs="宋体"/>
          <w:b/>
          <w:bCs/>
          <w:color w:val="000000"/>
          <w:sz w:val="32"/>
          <w:szCs w:val="32"/>
        </w:rPr>
        <w:t>二〇二六年二月</w:t>
      </w:r>
      <w:bookmarkEnd w:id="13"/>
      <w:bookmarkEnd w:id="14"/>
    </w:p>
    <w:sdt>
      <w:sdtPr>
        <w:rPr>
          <w:rFonts w:ascii="宋体" w:hAnsi="宋体" w:eastAsia="宋体" w:cs="Times New Roman"/>
          <w:b/>
          <w:bCs/>
          <w:kern w:val="2"/>
          <w:sz w:val="32"/>
          <w:szCs w:val="32"/>
          <w:lang w:val="en-US" w:eastAsia="zh-CN" w:bidi="ar-SA"/>
        </w:rPr>
        <w:id w:val="147479401"/>
        <w15:color w:val="DBDBDB"/>
        <w:docPartObj>
          <w:docPartGallery w:val="Table of Contents"/>
          <w:docPartUnique/>
        </w:docPartObj>
      </w:sdtPr>
      <w:sdtEndPr>
        <w:rPr>
          <w:rFonts w:hint="eastAsia" w:ascii="Calibri" w:hAnsi="Calibri" w:eastAsia="宋体" w:cs="Times New Roman"/>
          <w:b/>
          <w:bCs/>
          <w:kern w:val="2"/>
          <w:sz w:val="21"/>
          <w:szCs w:val="24"/>
          <w:lang w:val="en-US" w:eastAsia="zh-CN" w:bidi="ar-SA"/>
        </w:rPr>
      </w:sdtEndPr>
      <w:sdtContent>
        <w:p w14:paraId="66488E60">
          <w:pPr>
            <w:spacing w:before="0" w:beforeLines="0" w:after="0" w:afterLines="0" w:line="480" w:lineRule="auto"/>
            <w:ind w:left="0" w:leftChars="0" w:right="0" w:rightChars="0" w:firstLine="0" w:firstLineChars="0"/>
            <w:jc w:val="center"/>
            <w:rPr>
              <w:b/>
              <w:bCs/>
              <w:sz w:val="32"/>
              <w:szCs w:val="32"/>
            </w:rPr>
          </w:pPr>
          <w:r>
            <w:rPr>
              <w:rFonts w:ascii="宋体" w:hAnsi="宋体" w:eastAsia="宋体"/>
              <w:b/>
              <w:bCs/>
              <w:sz w:val="32"/>
              <w:szCs w:val="32"/>
            </w:rPr>
            <w:t>目录</w:t>
          </w:r>
        </w:p>
        <w:p w14:paraId="533AEFCC">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TOC \o "1-9" \h \u </w:instrText>
          </w:r>
          <w:r>
            <w:rPr>
              <w:rFonts w:hint="eastAsia" w:ascii="Calibri" w:hAnsi="Calibri" w:eastAsia="宋体" w:cs="Times New Roman"/>
              <w:b/>
              <w:bCs/>
              <w:kern w:val="2"/>
              <w:sz w:val="30"/>
              <w:szCs w:val="30"/>
              <w:lang w:val="en-US" w:eastAsia="zh-CN" w:bidi="ar-SA"/>
            </w:rPr>
            <w:fldChar w:fldCharType="separate"/>
          </w: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_Toc22594 </w:instrText>
          </w:r>
          <w:r>
            <w:rPr>
              <w:rFonts w:hint="eastAsia" w:ascii="Calibri" w:hAnsi="Calibri" w:eastAsia="宋体" w:cs="Times New Roman"/>
              <w:b/>
              <w:bCs/>
              <w:kern w:val="2"/>
              <w:sz w:val="30"/>
              <w:szCs w:val="30"/>
              <w:lang w:val="en-US" w:eastAsia="zh-CN" w:bidi="ar-SA"/>
            </w:rPr>
            <w:fldChar w:fldCharType="separate"/>
          </w:r>
          <w:r>
            <w:rPr>
              <w:rFonts w:hint="eastAsia" w:ascii="Calibri" w:hAnsi="Calibri"/>
              <w:b/>
              <w:bCs/>
              <w:kern w:val="44"/>
              <w:sz w:val="30"/>
              <w:szCs w:val="30"/>
              <w:lang w:val="en-US" w:eastAsia="zh-CN" w:bidi="ar-SA"/>
            </w:rPr>
            <w:t>第一章</w:t>
          </w:r>
          <w:r>
            <w:rPr>
              <w:rFonts w:hint="eastAsia"/>
              <w:b/>
              <w:bCs/>
              <w:kern w:val="44"/>
              <w:sz w:val="30"/>
              <w:szCs w:val="30"/>
              <w:lang w:val="en-US" w:eastAsia="zh-CN" w:bidi="ar-SA"/>
            </w:rPr>
            <w:t xml:space="preserve"> </w:t>
          </w:r>
          <w:r>
            <w:rPr>
              <w:rFonts w:hint="eastAsia"/>
              <w:b/>
              <w:bCs/>
              <w:sz w:val="30"/>
              <w:szCs w:val="30"/>
              <w:lang w:val="en-US" w:eastAsia="zh-CN"/>
            </w:rPr>
            <w:t>竞争性磋商公告</w:t>
          </w:r>
          <w:r>
            <w:rPr>
              <w:b/>
              <w:bCs/>
              <w:sz w:val="30"/>
              <w:szCs w:val="30"/>
            </w:rPr>
            <w:tab/>
          </w:r>
          <w:r>
            <w:rPr>
              <w:b/>
              <w:bCs/>
              <w:sz w:val="30"/>
              <w:szCs w:val="30"/>
            </w:rPr>
            <w:fldChar w:fldCharType="begin"/>
          </w:r>
          <w:r>
            <w:rPr>
              <w:b/>
              <w:bCs/>
              <w:sz w:val="30"/>
              <w:szCs w:val="30"/>
            </w:rPr>
            <w:instrText xml:space="preserve"> PAGEREF _Toc22594 \h </w:instrText>
          </w:r>
          <w:r>
            <w:rPr>
              <w:b/>
              <w:bCs/>
              <w:sz w:val="30"/>
              <w:szCs w:val="30"/>
            </w:rPr>
            <w:fldChar w:fldCharType="separate"/>
          </w:r>
          <w:r>
            <w:rPr>
              <w:b/>
              <w:bCs/>
              <w:sz w:val="30"/>
              <w:szCs w:val="30"/>
            </w:rPr>
            <w:t>1</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2754325B">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_Toc9416 </w:instrText>
          </w:r>
          <w:r>
            <w:rPr>
              <w:rFonts w:hint="eastAsia" w:ascii="Calibri" w:hAnsi="Calibri" w:eastAsia="宋体" w:cs="Times New Roman"/>
              <w:b/>
              <w:bCs/>
              <w:kern w:val="2"/>
              <w:sz w:val="30"/>
              <w:szCs w:val="30"/>
              <w:lang w:val="en-US" w:eastAsia="zh-CN" w:bidi="ar-SA"/>
            </w:rPr>
            <w:fldChar w:fldCharType="separate"/>
          </w:r>
          <w:r>
            <w:rPr>
              <w:rFonts w:hint="eastAsia" w:ascii="Calibri" w:hAnsi="Calibri" w:eastAsia="宋体" w:cs="Times New Roman"/>
              <w:b/>
              <w:bCs/>
              <w:kern w:val="44"/>
              <w:sz w:val="30"/>
              <w:szCs w:val="30"/>
              <w:lang w:val="en-US" w:eastAsia="zh-CN" w:bidi="ar-SA"/>
            </w:rPr>
            <w:t>第二章</w:t>
          </w:r>
          <w:r>
            <w:rPr>
              <w:rFonts w:hint="eastAsia" w:eastAsia="宋体" w:cs="Times New Roman"/>
              <w:b/>
              <w:bCs/>
              <w:kern w:val="44"/>
              <w:sz w:val="30"/>
              <w:szCs w:val="30"/>
              <w:lang w:val="en-US" w:eastAsia="zh-CN" w:bidi="ar-SA"/>
            </w:rPr>
            <w:t xml:space="preserve"> 响应人</w:t>
          </w:r>
          <w:r>
            <w:rPr>
              <w:rFonts w:hint="eastAsia" w:ascii="Calibri" w:hAnsi="Calibri" w:eastAsia="宋体" w:cs="Times New Roman"/>
              <w:b/>
              <w:bCs/>
              <w:kern w:val="44"/>
              <w:sz w:val="30"/>
              <w:szCs w:val="30"/>
              <w:lang w:val="en-US" w:eastAsia="zh-CN" w:bidi="ar-SA"/>
            </w:rPr>
            <w:t>须知</w:t>
          </w:r>
          <w:r>
            <w:rPr>
              <w:b/>
              <w:bCs/>
              <w:sz w:val="30"/>
              <w:szCs w:val="30"/>
            </w:rPr>
            <w:tab/>
          </w:r>
          <w:r>
            <w:rPr>
              <w:b/>
              <w:bCs/>
              <w:sz w:val="30"/>
              <w:szCs w:val="30"/>
            </w:rPr>
            <w:fldChar w:fldCharType="begin"/>
          </w:r>
          <w:r>
            <w:rPr>
              <w:b/>
              <w:bCs/>
              <w:sz w:val="30"/>
              <w:szCs w:val="30"/>
            </w:rPr>
            <w:instrText xml:space="preserve"> PAGEREF _Toc9416 \h </w:instrText>
          </w:r>
          <w:r>
            <w:rPr>
              <w:b/>
              <w:bCs/>
              <w:sz w:val="30"/>
              <w:szCs w:val="30"/>
            </w:rPr>
            <w:fldChar w:fldCharType="separate"/>
          </w:r>
          <w:r>
            <w:rPr>
              <w:b/>
              <w:bCs/>
              <w:sz w:val="30"/>
              <w:szCs w:val="30"/>
            </w:rPr>
            <w:t>5</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29422A81">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_Toc30288 </w:instrText>
          </w:r>
          <w:r>
            <w:rPr>
              <w:rFonts w:hint="eastAsia" w:ascii="Calibri" w:hAnsi="Calibri" w:eastAsia="宋体" w:cs="Times New Roman"/>
              <w:b/>
              <w:bCs/>
              <w:kern w:val="2"/>
              <w:sz w:val="30"/>
              <w:szCs w:val="30"/>
              <w:lang w:val="en-US" w:eastAsia="zh-CN" w:bidi="ar-SA"/>
            </w:rPr>
            <w:fldChar w:fldCharType="separate"/>
          </w:r>
          <w:r>
            <w:rPr>
              <w:rFonts w:hint="eastAsia"/>
              <w:b/>
              <w:bCs/>
              <w:sz w:val="30"/>
              <w:szCs w:val="30"/>
            </w:rPr>
            <w:t>第三章 评标办法</w:t>
          </w:r>
          <w:r>
            <w:rPr>
              <w:b/>
              <w:bCs/>
              <w:sz w:val="30"/>
              <w:szCs w:val="30"/>
            </w:rPr>
            <w:tab/>
          </w:r>
          <w:r>
            <w:rPr>
              <w:b/>
              <w:bCs/>
              <w:sz w:val="30"/>
              <w:szCs w:val="30"/>
            </w:rPr>
            <w:fldChar w:fldCharType="begin"/>
          </w:r>
          <w:r>
            <w:rPr>
              <w:b/>
              <w:bCs/>
              <w:sz w:val="30"/>
              <w:szCs w:val="30"/>
            </w:rPr>
            <w:instrText xml:space="preserve"> PAGEREF _Toc30288 \h </w:instrText>
          </w:r>
          <w:r>
            <w:rPr>
              <w:b/>
              <w:bCs/>
              <w:sz w:val="30"/>
              <w:szCs w:val="30"/>
            </w:rPr>
            <w:fldChar w:fldCharType="separate"/>
          </w:r>
          <w:r>
            <w:rPr>
              <w:b/>
              <w:bCs/>
              <w:sz w:val="30"/>
              <w:szCs w:val="30"/>
            </w:rPr>
            <w:t>23</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53818E50">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_Toc16438 </w:instrText>
          </w:r>
          <w:r>
            <w:rPr>
              <w:rFonts w:hint="eastAsia" w:ascii="Calibri" w:hAnsi="Calibri" w:eastAsia="宋体" w:cs="Times New Roman"/>
              <w:b/>
              <w:bCs/>
              <w:kern w:val="2"/>
              <w:sz w:val="30"/>
              <w:szCs w:val="30"/>
              <w:lang w:val="en-US" w:eastAsia="zh-CN" w:bidi="ar-SA"/>
            </w:rPr>
            <w:fldChar w:fldCharType="separate"/>
          </w:r>
          <w:r>
            <w:rPr>
              <w:rFonts w:hint="eastAsia"/>
              <w:b/>
              <w:bCs/>
              <w:sz w:val="30"/>
              <w:szCs w:val="30"/>
              <w:lang w:val="en-US" w:eastAsia="zh-CN"/>
            </w:rPr>
            <w:t>第四章 合同条款及格式</w:t>
          </w:r>
          <w:r>
            <w:rPr>
              <w:b/>
              <w:bCs/>
              <w:sz w:val="30"/>
              <w:szCs w:val="30"/>
            </w:rPr>
            <w:tab/>
          </w:r>
          <w:r>
            <w:rPr>
              <w:b/>
              <w:bCs/>
              <w:sz w:val="30"/>
              <w:szCs w:val="30"/>
            </w:rPr>
            <w:fldChar w:fldCharType="begin"/>
          </w:r>
          <w:r>
            <w:rPr>
              <w:b/>
              <w:bCs/>
              <w:sz w:val="30"/>
              <w:szCs w:val="30"/>
            </w:rPr>
            <w:instrText xml:space="preserve"> PAGEREF _Toc16438 \h </w:instrText>
          </w:r>
          <w:r>
            <w:rPr>
              <w:b/>
              <w:bCs/>
              <w:sz w:val="30"/>
              <w:szCs w:val="30"/>
            </w:rPr>
            <w:fldChar w:fldCharType="separate"/>
          </w:r>
          <w:r>
            <w:rPr>
              <w:b/>
              <w:bCs/>
              <w:sz w:val="30"/>
              <w:szCs w:val="30"/>
            </w:rPr>
            <w:t>32</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48AE9397">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_Toc30640 </w:instrText>
          </w:r>
          <w:r>
            <w:rPr>
              <w:rFonts w:hint="eastAsia" w:ascii="Calibri" w:hAnsi="Calibri" w:eastAsia="宋体" w:cs="Times New Roman"/>
              <w:b/>
              <w:bCs/>
              <w:kern w:val="2"/>
              <w:sz w:val="30"/>
              <w:szCs w:val="30"/>
              <w:lang w:val="en-US" w:eastAsia="zh-CN" w:bidi="ar-SA"/>
            </w:rPr>
            <w:fldChar w:fldCharType="separate"/>
          </w:r>
          <w:r>
            <w:rPr>
              <w:rFonts w:hint="eastAsia" w:ascii="Times New Roman" w:hAnsi="Times New Roman" w:eastAsia="宋体" w:cs="Times New Roman"/>
              <w:b/>
              <w:bCs/>
              <w:sz w:val="30"/>
              <w:szCs w:val="30"/>
              <w:lang w:val="en-US" w:eastAsia="zh-CN"/>
            </w:rPr>
            <w:t>第五章 服务内容及要求</w:t>
          </w:r>
          <w:r>
            <w:rPr>
              <w:b/>
              <w:bCs/>
              <w:sz w:val="30"/>
              <w:szCs w:val="30"/>
            </w:rPr>
            <w:tab/>
          </w:r>
          <w:r>
            <w:rPr>
              <w:b/>
              <w:bCs/>
              <w:sz w:val="30"/>
              <w:szCs w:val="30"/>
            </w:rPr>
            <w:fldChar w:fldCharType="begin"/>
          </w:r>
          <w:r>
            <w:rPr>
              <w:b/>
              <w:bCs/>
              <w:sz w:val="30"/>
              <w:szCs w:val="30"/>
            </w:rPr>
            <w:instrText xml:space="preserve"> PAGEREF _Toc30640 \h </w:instrText>
          </w:r>
          <w:r>
            <w:rPr>
              <w:b/>
              <w:bCs/>
              <w:sz w:val="30"/>
              <w:szCs w:val="30"/>
            </w:rPr>
            <w:fldChar w:fldCharType="separate"/>
          </w:r>
          <w:r>
            <w:rPr>
              <w:b/>
              <w:bCs/>
              <w:sz w:val="30"/>
              <w:szCs w:val="30"/>
            </w:rPr>
            <w:t>36</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50E338FB">
          <w:pPr>
            <w:pStyle w:val="12"/>
            <w:tabs>
              <w:tab w:val="right" w:leader="hyphen" w:pos="8574"/>
            </w:tabs>
            <w:spacing w:line="480" w:lineRule="auto"/>
            <w:rPr>
              <w:b/>
              <w:bCs/>
              <w:sz w:val="30"/>
              <w:szCs w:val="30"/>
            </w:rPr>
          </w:pPr>
          <w:r>
            <w:rPr>
              <w:rFonts w:hint="eastAsia" w:ascii="Calibri" w:hAnsi="Calibri" w:eastAsia="宋体" w:cs="Times New Roman"/>
              <w:b/>
              <w:bCs/>
              <w:kern w:val="2"/>
              <w:sz w:val="30"/>
              <w:szCs w:val="30"/>
              <w:lang w:val="en-US" w:eastAsia="zh-CN" w:bidi="ar-SA"/>
            </w:rPr>
            <w:fldChar w:fldCharType="begin"/>
          </w:r>
          <w:r>
            <w:rPr>
              <w:rFonts w:hint="eastAsia" w:ascii="Calibri" w:hAnsi="Calibri" w:eastAsia="宋体" w:cs="Times New Roman"/>
              <w:b/>
              <w:bCs/>
              <w:kern w:val="2"/>
              <w:sz w:val="30"/>
              <w:szCs w:val="30"/>
              <w:lang w:val="en-US" w:eastAsia="zh-CN" w:bidi="ar-SA"/>
            </w:rPr>
            <w:instrText xml:space="preserve"> HYPERLINK \l _Toc1395 </w:instrText>
          </w:r>
          <w:r>
            <w:rPr>
              <w:rFonts w:hint="eastAsia" w:ascii="Calibri" w:hAnsi="Calibri" w:eastAsia="宋体" w:cs="Times New Roman"/>
              <w:b/>
              <w:bCs/>
              <w:kern w:val="2"/>
              <w:sz w:val="30"/>
              <w:szCs w:val="30"/>
              <w:lang w:val="en-US" w:eastAsia="zh-CN" w:bidi="ar-SA"/>
            </w:rPr>
            <w:fldChar w:fldCharType="separate"/>
          </w:r>
          <w:r>
            <w:rPr>
              <w:rFonts w:hint="eastAsia" w:ascii="Times New Roman" w:hAnsi="Times New Roman" w:eastAsia="宋体" w:cs="Times New Roman"/>
              <w:b/>
              <w:bCs/>
              <w:sz w:val="30"/>
              <w:szCs w:val="30"/>
              <w:lang w:val="en-US" w:eastAsia="zh-CN" w:bidi="ar-SA"/>
            </w:rPr>
            <w:t>第六章 响应文件格式</w:t>
          </w:r>
          <w:r>
            <w:rPr>
              <w:b/>
              <w:bCs/>
              <w:sz w:val="30"/>
              <w:szCs w:val="30"/>
            </w:rPr>
            <w:tab/>
          </w:r>
          <w:r>
            <w:rPr>
              <w:b/>
              <w:bCs/>
              <w:sz w:val="30"/>
              <w:szCs w:val="30"/>
            </w:rPr>
            <w:fldChar w:fldCharType="begin"/>
          </w:r>
          <w:r>
            <w:rPr>
              <w:b/>
              <w:bCs/>
              <w:sz w:val="30"/>
              <w:szCs w:val="30"/>
            </w:rPr>
            <w:instrText xml:space="preserve"> PAGEREF _Toc1395 \h </w:instrText>
          </w:r>
          <w:r>
            <w:rPr>
              <w:b/>
              <w:bCs/>
              <w:sz w:val="30"/>
              <w:szCs w:val="30"/>
            </w:rPr>
            <w:fldChar w:fldCharType="separate"/>
          </w:r>
          <w:r>
            <w:rPr>
              <w:b/>
              <w:bCs/>
              <w:sz w:val="30"/>
              <w:szCs w:val="30"/>
            </w:rPr>
            <w:t>39</w:t>
          </w:r>
          <w:r>
            <w:rPr>
              <w:b/>
              <w:bCs/>
              <w:sz w:val="30"/>
              <w:szCs w:val="30"/>
            </w:rPr>
            <w:fldChar w:fldCharType="end"/>
          </w:r>
          <w:r>
            <w:rPr>
              <w:rFonts w:hint="eastAsia" w:ascii="Calibri" w:hAnsi="Calibri" w:eastAsia="宋体" w:cs="Times New Roman"/>
              <w:b/>
              <w:bCs/>
              <w:kern w:val="2"/>
              <w:sz w:val="30"/>
              <w:szCs w:val="30"/>
              <w:lang w:val="en-US" w:eastAsia="zh-CN" w:bidi="ar-SA"/>
            </w:rPr>
            <w:fldChar w:fldCharType="end"/>
          </w:r>
        </w:p>
        <w:p w14:paraId="06BC0A88">
          <w:pPr>
            <w:spacing w:line="480" w:lineRule="auto"/>
            <w:rPr>
              <w:rFonts w:hint="eastAsia" w:ascii="Calibri" w:hAnsi="Calibri" w:eastAsia="宋体" w:cs="Times New Roman"/>
              <w:kern w:val="2"/>
              <w:sz w:val="21"/>
              <w:szCs w:val="24"/>
              <w:lang w:val="en-US" w:eastAsia="zh-CN" w:bidi="ar-SA"/>
            </w:rPr>
          </w:pPr>
          <w:r>
            <w:rPr>
              <w:rFonts w:hint="eastAsia" w:ascii="Calibri" w:hAnsi="Calibri" w:eastAsia="宋体" w:cs="Times New Roman"/>
              <w:b/>
              <w:bCs/>
              <w:kern w:val="2"/>
              <w:sz w:val="30"/>
              <w:szCs w:val="30"/>
              <w:lang w:val="en-US" w:eastAsia="zh-CN" w:bidi="ar-SA"/>
            </w:rPr>
            <w:fldChar w:fldCharType="end"/>
          </w:r>
        </w:p>
      </w:sdtContent>
    </w:sdt>
    <w:p w14:paraId="46810602">
      <w:pPr>
        <w:rPr>
          <w:rFonts w:hint="eastAsia" w:ascii="Calibri" w:hAnsi="Calibri" w:eastAsia="宋体" w:cs="Times New Roman"/>
          <w:kern w:val="2"/>
          <w:sz w:val="21"/>
          <w:szCs w:val="24"/>
          <w:lang w:val="en-US" w:eastAsia="zh-CN" w:bidi="ar-SA"/>
        </w:rPr>
        <w:sectPr>
          <w:headerReference r:id="rId7" w:type="default"/>
          <w:footerReference r:id="rId8" w:type="default"/>
          <w:pgSz w:w="11920" w:h="16840"/>
          <w:pgMar w:top="1361" w:right="1531" w:bottom="1361" w:left="1531" w:header="283" w:footer="720" w:gutter="284"/>
          <w:pgBorders>
            <w:top w:val="none" w:sz="0" w:space="0"/>
            <w:left w:val="none" w:sz="0" w:space="0"/>
            <w:bottom w:val="none" w:sz="0" w:space="0"/>
            <w:right w:val="none" w:sz="0" w:space="0"/>
          </w:pgBorders>
          <w:cols w:space="720" w:num="1"/>
        </w:sectPr>
      </w:pPr>
    </w:p>
    <w:p w14:paraId="0B626141">
      <w:pPr>
        <w:pStyle w:val="2"/>
        <w:numPr>
          <w:ilvl w:val="0"/>
          <w:numId w:val="0"/>
        </w:numPr>
        <w:bidi w:val="0"/>
        <w:spacing w:line="360" w:lineRule="auto"/>
        <w:jc w:val="center"/>
        <w:outlineLvl w:val="0"/>
        <w:rPr>
          <w:rFonts w:hint="eastAsia"/>
          <w:sz w:val="36"/>
          <w:szCs w:val="36"/>
          <w:lang w:val="en-US" w:eastAsia="zh-CN"/>
        </w:rPr>
      </w:pPr>
      <w:bookmarkStart w:id="15" w:name="_Toc3023"/>
      <w:bookmarkStart w:id="16" w:name="_Toc22594"/>
      <w:bookmarkStart w:id="17" w:name="_Toc14986"/>
      <w:r>
        <w:rPr>
          <w:rFonts w:hint="eastAsia" w:ascii="Calibri" w:hAnsi="Calibri"/>
          <w:b/>
          <w:bCs/>
          <w:kern w:val="44"/>
          <w:sz w:val="36"/>
          <w:szCs w:val="36"/>
          <w:lang w:val="en-US" w:eastAsia="zh-CN" w:bidi="ar-SA"/>
        </w:rPr>
        <w:t>第一章</w:t>
      </w:r>
      <w:r>
        <w:rPr>
          <w:rFonts w:hint="eastAsia"/>
          <w:b/>
          <w:bCs/>
          <w:kern w:val="44"/>
          <w:sz w:val="36"/>
          <w:szCs w:val="36"/>
          <w:lang w:val="en-US" w:eastAsia="zh-CN" w:bidi="ar-SA"/>
        </w:rPr>
        <w:t xml:space="preserve">  </w:t>
      </w:r>
      <w:r>
        <w:rPr>
          <w:rFonts w:hint="eastAsia"/>
          <w:sz w:val="36"/>
          <w:szCs w:val="36"/>
          <w:lang w:val="en-US" w:eastAsia="zh-CN"/>
        </w:rPr>
        <w:t>竞争性磋商公告</w:t>
      </w:r>
      <w:bookmarkEnd w:id="15"/>
      <w:bookmarkEnd w:id="16"/>
      <w:bookmarkEnd w:id="17"/>
    </w:p>
    <w:p w14:paraId="6FD37A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18" w:name="_Toc35393790"/>
      <w:bookmarkStart w:id="19" w:name="_Toc35393621"/>
      <w:bookmarkStart w:id="20" w:name="_Toc28359079"/>
      <w:bookmarkStart w:id="21" w:name="_Toc28359002"/>
      <w:bookmarkStart w:id="22" w:name="_Hlk24379207"/>
      <w:r>
        <w:rPr>
          <w:rFonts w:hint="eastAsia" w:ascii="宋体" w:hAnsi="宋体" w:eastAsia="宋体" w:cs="宋体"/>
          <w:sz w:val="24"/>
          <w:szCs w:val="24"/>
          <w:highlight w:val="none"/>
        </w:rPr>
        <w:t>项目概况</w:t>
      </w:r>
    </w:p>
    <w:p w14:paraId="68669C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灵宝市移民农产品物流园建设项目监理服务</w:t>
      </w:r>
      <w:r>
        <w:rPr>
          <w:rFonts w:hint="eastAsia" w:ascii="宋体" w:hAnsi="宋体" w:eastAsia="宋体" w:cs="宋体"/>
          <w:sz w:val="24"/>
          <w:szCs w:val="24"/>
          <w:highlight w:val="none"/>
        </w:rPr>
        <w:t>的潜在</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人应在三门峡市公共资源交易中心网（网址：gzjy.smx.gov.cn）获取</w:t>
      </w:r>
      <w:r>
        <w:rPr>
          <w:rFonts w:hint="eastAsia" w:ascii="宋体" w:hAnsi="宋体" w:cs="宋体"/>
          <w:sz w:val="24"/>
          <w:szCs w:val="24"/>
          <w:highlight w:val="none"/>
          <w:lang w:val="en-US" w:eastAsia="zh-CN"/>
        </w:rPr>
        <w:t>竞争性磋商</w:t>
      </w:r>
      <w:r>
        <w:rPr>
          <w:rFonts w:hint="eastAsia" w:ascii="宋体" w:hAnsi="宋体" w:eastAsia="宋体" w:cs="宋体"/>
          <w:sz w:val="24"/>
          <w:szCs w:val="24"/>
          <w:highlight w:val="none"/>
        </w:rPr>
        <w:t>文件，并于</w:t>
      </w:r>
      <w:r>
        <w:rPr>
          <w:rFonts w:hint="eastAsia" w:ascii="宋体" w:hAnsi="宋体" w:cs="宋体"/>
          <w:sz w:val="24"/>
          <w:szCs w:val="24"/>
          <w:highlight w:val="none"/>
          <w:lang w:val="en-US" w:eastAsia="zh-CN"/>
        </w:rPr>
        <w:t>2026</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03</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日08时30分（北京时间）前递交响应文件。</w:t>
      </w:r>
    </w:p>
    <w:p w14:paraId="49DA8A60">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rPr>
      </w:pPr>
      <w:bookmarkStart w:id="23" w:name="_Toc11152"/>
      <w:r>
        <w:rPr>
          <w:rFonts w:hint="eastAsia" w:ascii="宋体" w:hAnsi="宋体" w:eastAsia="宋体" w:cs="宋体"/>
          <w:b/>
          <w:bCs/>
          <w:sz w:val="28"/>
          <w:szCs w:val="28"/>
          <w:highlight w:val="none"/>
        </w:rPr>
        <w:t>一、项目基本情况</w:t>
      </w:r>
      <w:bookmarkEnd w:id="18"/>
      <w:bookmarkEnd w:id="19"/>
      <w:bookmarkEnd w:id="20"/>
      <w:bookmarkEnd w:id="21"/>
      <w:bookmarkEnd w:id="23"/>
    </w:p>
    <w:p w14:paraId="63F429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1、项目编号：灵宝竞磋采购-2026-16、LBGZ[2026]031-ZC026</w:t>
      </w:r>
    </w:p>
    <w:p w14:paraId="354A1A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2、项目名称：</w:t>
      </w:r>
      <w:r>
        <w:rPr>
          <w:rFonts w:hint="eastAsia" w:ascii="宋体" w:hAnsi="宋体" w:cs="宋体"/>
          <w:sz w:val="24"/>
          <w:szCs w:val="24"/>
          <w:highlight w:val="none"/>
          <w:lang w:val="en-US" w:eastAsia="zh-CN"/>
        </w:rPr>
        <w:t>灵宝市移民农产品物流园建设项目监理服务</w:t>
      </w:r>
      <w:bookmarkEnd w:id="22"/>
    </w:p>
    <w:p w14:paraId="0A5F57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3、预算金额：488802</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rPr>
        <w:t>元</w:t>
      </w:r>
    </w:p>
    <w:p w14:paraId="47C17A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4、最高限价：</w:t>
      </w:r>
      <w:r>
        <w:rPr>
          <w:rFonts w:hint="eastAsia" w:ascii="宋体" w:hAnsi="宋体" w:eastAsia="宋体" w:cs="宋体"/>
          <w:color w:val="auto"/>
          <w:sz w:val="24"/>
          <w:szCs w:val="24"/>
          <w:highlight w:val="none"/>
          <w:lang w:val="en-US" w:eastAsia="zh-CN"/>
        </w:rPr>
        <w:t>488802</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lang w:val="en-US" w:eastAsia="zh-CN"/>
        </w:rPr>
        <w:t>元</w:t>
      </w:r>
    </w:p>
    <w:tbl>
      <w:tblPr>
        <w:tblStyle w:val="17"/>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929"/>
        <w:gridCol w:w="2696"/>
        <w:gridCol w:w="1749"/>
        <w:gridCol w:w="1695"/>
      </w:tblGrid>
      <w:tr w14:paraId="6DE1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89" w:type="dxa"/>
            <w:noWrap w:val="0"/>
            <w:vAlign w:val="center"/>
          </w:tcPr>
          <w:p w14:paraId="52CD275E">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序号</w:t>
            </w:r>
          </w:p>
        </w:tc>
        <w:tc>
          <w:tcPr>
            <w:tcW w:w="1929" w:type="dxa"/>
            <w:noWrap w:val="0"/>
            <w:vAlign w:val="center"/>
          </w:tcPr>
          <w:p w14:paraId="5E428C48">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包号</w:t>
            </w:r>
          </w:p>
        </w:tc>
        <w:tc>
          <w:tcPr>
            <w:tcW w:w="2696" w:type="dxa"/>
            <w:noWrap w:val="0"/>
            <w:vAlign w:val="center"/>
          </w:tcPr>
          <w:p w14:paraId="00CFCF95">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包名称</w:t>
            </w:r>
          </w:p>
        </w:tc>
        <w:tc>
          <w:tcPr>
            <w:tcW w:w="1749" w:type="dxa"/>
            <w:noWrap w:val="0"/>
            <w:vAlign w:val="center"/>
          </w:tcPr>
          <w:p w14:paraId="7A1B60A7">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包预算（</w:t>
            </w:r>
            <w:r>
              <w:rPr>
                <w:rFonts w:hint="eastAsia" w:ascii="宋体" w:hAnsi="宋体" w:eastAsia="宋体" w:cs="宋体"/>
                <w:sz w:val="24"/>
                <w:szCs w:val="24"/>
                <w:highlight w:val="none"/>
                <w:vertAlign w:val="baseline"/>
                <w:lang w:val="en-US" w:eastAsia="zh-CN"/>
              </w:rPr>
              <w:t>元</w:t>
            </w:r>
            <w:r>
              <w:rPr>
                <w:rFonts w:hint="eastAsia" w:ascii="宋体" w:hAnsi="宋体" w:eastAsia="宋体" w:cs="宋体"/>
                <w:sz w:val="24"/>
                <w:szCs w:val="24"/>
                <w:highlight w:val="none"/>
                <w:vertAlign w:val="baseline"/>
                <w:lang w:eastAsia="zh-CN"/>
              </w:rPr>
              <w:t>）</w:t>
            </w:r>
          </w:p>
        </w:tc>
        <w:tc>
          <w:tcPr>
            <w:tcW w:w="1695" w:type="dxa"/>
            <w:noWrap w:val="0"/>
            <w:vAlign w:val="center"/>
          </w:tcPr>
          <w:p w14:paraId="68238124">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eastAsia="zh-CN"/>
              </w:rPr>
              <w:t>包最高限价（</w:t>
            </w:r>
            <w:r>
              <w:rPr>
                <w:rFonts w:hint="eastAsia" w:ascii="宋体" w:hAnsi="宋体" w:eastAsia="宋体" w:cs="宋体"/>
                <w:sz w:val="24"/>
                <w:szCs w:val="24"/>
                <w:highlight w:val="none"/>
                <w:vertAlign w:val="baseline"/>
                <w:lang w:val="en-US" w:eastAsia="zh-CN"/>
              </w:rPr>
              <w:t>元</w:t>
            </w:r>
            <w:r>
              <w:rPr>
                <w:rFonts w:hint="eastAsia" w:ascii="宋体" w:hAnsi="宋体" w:eastAsia="宋体" w:cs="宋体"/>
                <w:sz w:val="24"/>
                <w:szCs w:val="24"/>
                <w:highlight w:val="none"/>
                <w:vertAlign w:val="baseline"/>
                <w:lang w:eastAsia="zh-CN"/>
              </w:rPr>
              <w:t>）</w:t>
            </w:r>
          </w:p>
        </w:tc>
      </w:tr>
      <w:tr w14:paraId="45D6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89" w:type="dxa"/>
            <w:noWrap w:val="0"/>
            <w:vAlign w:val="center"/>
          </w:tcPr>
          <w:p w14:paraId="61B915A1">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1</w:t>
            </w:r>
          </w:p>
        </w:tc>
        <w:tc>
          <w:tcPr>
            <w:tcW w:w="1929" w:type="dxa"/>
            <w:noWrap w:val="0"/>
            <w:vAlign w:val="center"/>
          </w:tcPr>
          <w:p w14:paraId="599C7F39">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LBGZ[2026]031-ZC026</w:t>
            </w:r>
            <w:r>
              <w:rPr>
                <w:rFonts w:hint="eastAsia" w:ascii="宋体" w:hAnsi="宋体" w:eastAsia="宋体" w:cs="宋体"/>
                <w:sz w:val="24"/>
                <w:szCs w:val="24"/>
                <w:highlight w:val="none"/>
                <w:vertAlign w:val="baseline"/>
                <w:lang w:val="en-US" w:eastAsia="zh-CN"/>
              </w:rPr>
              <w:t>-1</w:t>
            </w:r>
          </w:p>
        </w:tc>
        <w:tc>
          <w:tcPr>
            <w:tcW w:w="2696" w:type="dxa"/>
            <w:noWrap w:val="0"/>
            <w:vAlign w:val="center"/>
          </w:tcPr>
          <w:p w14:paraId="21FA1119">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灵宝市移民农产品物流园建设项目监理服务</w:t>
            </w:r>
          </w:p>
        </w:tc>
        <w:tc>
          <w:tcPr>
            <w:tcW w:w="1749" w:type="dxa"/>
            <w:noWrap w:val="0"/>
            <w:vAlign w:val="center"/>
          </w:tcPr>
          <w:p w14:paraId="19EE8D96">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488802</w:t>
            </w:r>
            <w:r>
              <w:rPr>
                <w:rFonts w:hint="eastAsia" w:ascii="宋体" w:hAnsi="宋体" w:eastAsia="宋体" w:cs="宋体"/>
                <w:sz w:val="24"/>
                <w:szCs w:val="24"/>
                <w:highlight w:val="none"/>
                <w:vertAlign w:val="baseline"/>
                <w:lang w:val="en-US" w:eastAsia="zh-CN"/>
              </w:rPr>
              <w:t>.00</w:t>
            </w:r>
          </w:p>
        </w:tc>
        <w:tc>
          <w:tcPr>
            <w:tcW w:w="1695" w:type="dxa"/>
            <w:noWrap w:val="0"/>
            <w:vAlign w:val="center"/>
          </w:tcPr>
          <w:p w14:paraId="1158083F">
            <w:pPr>
              <w:pStyle w:val="15"/>
              <w:keepNext w:val="0"/>
              <w:keepLines w:val="0"/>
              <w:pageBreakBefore w:val="0"/>
              <w:widowControl w:val="0"/>
              <w:kinsoku/>
              <w:wordWrap w:val="0"/>
              <w:overflowPunct/>
              <w:topLinePunct/>
              <w:autoSpaceDE/>
              <w:autoSpaceDN/>
              <w:bidi w:val="0"/>
              <w:adjustRightInd/>
              <w:snapToGrid/>
              <w:spacing w:before="0" w:beforeAutospacing="0" w:after="0" w:line="360"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eastAsia="zh-CN"/>
              </w:rPr>
              <w:t>488802</w:t>
            </w:r>
            <w:r>
              <w:rPr>
                <w:rFonts w:hint="eastAsia" w:ascii="宋体" w:hAnsi="宋体" w:eastAsia="宋体" w:cs="宋体"/>
                <w:sz w:val="24"/>
                <w:szCs w:val="24"/>
                <w:highlight w:val="none"/>
                <w:vertAlign w:val="baseline"/>
                <w:lang w:val="en-US" w:eastAsia="zh-CN"/>
              </w:rPr>
              <w:t>.00</w:t>
            </w:r>
          </w:p>
        </w:tc>
      </w:tr>
    </w:tbl>
    <w:p w14:paraId="3A312C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采购需求：</w:t>
      </w:r>
    </w:p>
    <w:p w14:paraId="23E74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5.1、项目概况：</w:t>
      </w:r>
      <w:r>
        <w:rPr>
          <w:rFonts w:hint="eastAsia" w:ascii="宋体" w:hAnsi="宋体" w:cs="宋体"/>
          <w:color w:val="auto"/>
          <w:kern w:val="0"/>
          <w:sz w:val="24"/>
          <w:szCs w:val="24"/>
          <w:highlight w:val="none"/>
          <w:lang w:val="en-US" w:eastAsia="zh-CN"/>
        </w:rPr>
        <w:t>灵宝市移民农产品物流园建设项目</w:t>
      </w:r>
      <w:r>
        <w:rPr>
          <w:rFonts w:hint="eastAsia" w:ascii="宋体" w:hAnsi="宋体" w:cs="宋体"/>
          <w:sz w:val="24"/>
          <w:szCs w:val="24"/>
          <w:highlight w:val="none"/>
          <w:lang w:val="en-US" w:eastAsia="zh-CN"/>
        </w:rPr>
        <w:t>监理服务</w:t>
      </w:r>
      <w:r>
        <w:rPr>
          <w:rFonts w:hint="eastAsia" w:ascii="宋体" w:hAnsi="宋体" w:eastAsia="宋体" w:cs="宋体"/>
          <w:kern w:val="0"/>
          <w:sz w:val="24"/>
          <w:szCs w:val="24"/>
          <w:highlight w:val="none"/>
          <w:lang w:val="en-US" w:eastAsia="zh-CN"/>
        </w:rPr>
        <w:t>，项目位于灵宝市</w:t>
      </w:r>
      <w:r>
        <w:rPr>
          <w:rFonts w:hint="eastAsia" w:ascii="宋体" w:hAnsi="宋体" w:cs="宋体"/>
          <w:kern w:val="0"/>
          <w:sz w:val="24"/>
          <w:szCs w:val="24"/>
          <w:highlight w:val="none"/>
          <w:lang w:val="en-US" w:eastAsia="zh-CN"/>
        </w:rPr>
        <w:t>川口镇；项目总规划用地面积3</w:t>
      </w:r>
      <w:r>
        <w:rPr>
          <w:rFonts w:hint="eastAsia" w:ascii="宋体" w:hAnsi="宋体" w:eastAsia="宋体" w:cs="宋体"/>
          <w:color w:val="auto"/>
          <w:sz w:val="24"/>
          <w:szCs w:val="24"/>
          <w:highlight w:val="none"/>
          <w:lang w:val="en-US" w:eastAsia="zh-CN"/>
        </w:rPr>
        <w:t>0732.00㎡，总建筑面积约30000.00㎡。施工内容包含农产品库房、低温冷库、管理用房、门卫室、机动车停车位等；本项目为磋商文件、施工图纸范围内和工程量清单所包含的全部内容施工</w:t>
      </w:r>
      <w:r>
        <w:rPr>
          <w:rFonts w:hint="eastAsia" w:ascii="宋体" w:hAnsi="宋体" w:eastAsia="宋体" w:cs="宋体"/>
          <w:color w:val="auto"/>
          <w:kern w:val="0"/>
          <w:sz w:val="24"/>
          <w:szCs w:val="24"/>
          <w:highlight w:val="none"/>
          <w:lang w:val="en-US" w:eastAsia="zh-CN"/>
        </w:rPr>
        <w:t>阶段、保修及缺陷责任期阶段提供全过程监理服务，具体详见磋商文件；</w:t>
      </w:r>
    </w:p>
    <w:p w14:paraId="0661A8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5.2磋商范围：施工阶段、保修及缺陷责任期阶段提供全过程监理服务，具体详见磋商文件；</w:t>
      </w:r>
    </w:p>
    <w:p w14:paraId="51DF9F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5.3、资金来源：财政资金，已落实；</w:t>
      </w:r>
    </w:p>
    <w:p w14:paraId="4CF833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5.4、建设项目地点：灵宝市川口镇</w:t>
      </w:r>
    </w:p>
    <w:p w14:paraId="2E3D3C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5.5、服务期：工程施工、保修期及缺陷责任期全过程监理服务；</w:t>
      </w:r>
    </w:p>
    <w:p w14:paraId="6F5F0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5.6、质量要求：达到国家及地方现行施工质量验收规范合格标准；</w:t>
      </w:r>
    </w:p>
    <w:p w14:paraId="0A3EF8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5.7、</w:t>
      </w:r>
      <w:r>
        <w:rPr>
          <w:rFonts w:hint="default" w:ascii="宋体" w:hAnsi="宋体" w:eastAsia="宋体" w:cs="宋体"/>
          <w:color w:val="auto"/>
          <w:kern w:val="0"/>
          <w:sz w:val="24"/>
          <w:szCs w:val="24"/>
          <w:highlight w:val="none"/>
          <w:lang w:val="en-US" w:eastAsia="zh-CN"/>
        </w:rPr>
        <w:t>安全目标</w:t>
      </w:r>
      <w:r>
        <w:rPr>
          <w:rFonts w:hint="eastAsia" w:ascii="宋体" w:hAnsi="宋体" w:eastAsia="宋体" w:cs="宋体"/>
          <w:color w:val="auto"/>
          <w:kern w:val="0"/>
          <w:sz w:val="24"/>
          <w:szCs w:val="24"/>
          <w:highlight w:val="none"/>
          <w:lang w:val="en-US" w:eastAsia="zh-CN"/>
        </w:rPr>
        <w:t>：不发生安全生产责任事故；</w:t>
      </w:r>
    </w:p>
    <w:p w14:paraId="3328E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5.8、标段划分：本项目划分一个标段；</w:t>
      </w:r>
    </w:p>
    <w:p w14:paraId="36CD9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6、合同履行期限：按合同约定执行</w:t>
      </w:r>
    </w:p>
    <w:p w14:paraId="7108E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7、本项目是否接受联合体投标：否</w:t>
      </w:r>
    </w:p>
    <w:p w14:paraId="24F3B3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8、是否接受进口产品：否</w:t>
      </w:r>
    </w:p>
    <w:p w14:paraId="5B9F2E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9、是否专门面向中小企业：</w:t>
      </w:r>
      <w:r>
        <w:rPr>
          <w:rFonts w:hint="eastAsia" w:ascii="宋体" w:hAnsi="宋体" w:cs="宋体"/>
          <w:color w:val="auto"/>
          <w:sz w:val="24"/>
          <w:szCs w:val="24"/>
          <w:highlight w:val="none"/>
          <w:lang w:val="en-US" w:eastAsia="zh-CN"/>
        </w:rPr>
        <w:t>否</w:t>
      </w:r>
    </w:p>
    <w:p w14:paraId="442D564A">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rPr>
      </w:pPr>
      <w:bookmarkStart w:id="24" w:name="_Toc28359003"/>
      <w:bookmarkStart w:id="25" w:name="_Toc35393622"/>
      <w:bookmarkStart w:id="26" w:name="_Toc26292"/>
      <w:bookmarkStart w:id="27" w:name="_Toc28359080"/>
      <w:bookmarkStart w:id="28" w:name="_Toc35393791"/>
      <w:r>
        <w:rPr>
          <w:rFonts w:hint="eastAsia" w:ascii="宋体" w:hAnsi="宋体" w:eastAsia="宋体" w:cs="宋体"/>
          <w:b/>
          <w:bCs/>
          <w:sz w:val="28"/>
          <w:szCs w:val="28"/>
          <w:highlight w:val="none"/>
        </w:rPr>
        <w:t>二、申请人的资格要求：</w:t>
      </w:r>
      <w:bookmarkEnd w:id="24"/>
      <w:bookmarkEnd w:id="25"/>
      <w:bookmarkEnd w:id="26"/>
      <w:bookmarkEnd w:id="27"/>
      <w:bookmarkEnd w:id="28"/>
    </w:p>
    <w:p w14:paraId="2369FAF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p>
    <w:p w14:paraId="29A2CFD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落实政府采购政策需满足的资格要求：本项目非专门面向中小微企业采购项目</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执行促进中小企业发展等政府采购政策</w:t>
      </w:r>
      <w:r>
        <w:rPr>
          <w:rFonts w:hint="eastAsia" w:ascii="宋体" w:hAnsi="宋体" w:eastAsia="宋体" w:cs="宋体"/>
          <w:color w:val="auto"/>
          <w:sz w:val="24"/>
          <w:szCs w:val="24"/>
          <w:highlight w:val="none"/>
          <w:lang w:val="en-US" w:eastAsia="zh-CN"/>
        </w:rPr>
        <w:t>；</w:t>
      </w:r>
    </w:p>
    <w:p w14:paraId="4AFAB5B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61C5D3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3.1、</w:t>
      </w:r>
      <w:r>
        <w:rPr>
          <w:rFonts w:hint="eastAsia" w:ascii="宋体" w:hAnsi="宋体" w:eastAsia="宋体" w:cs="宋体"/>
          <w:color w:val="auto"/>
          <w:sz w:val="24"/>
          <w:szCs w:val="24"/>
          <w:highlight w:val="none"/>
          <w:lang w:val="en-US" w:eastAsia="zh-CN"/>
        </w:rPr>
        <w:t>响应人须具有独立法人资格，且持有效的营业执照；</w:t>
      </w:r>
    </w:p>
    <w:p w14:paraId="552403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3.2、响应人须具有房屋建筑工程专业监理</w:t>
      </w:r>
      <w:r>
        <w:rPr>
          <w:rFonts w:hint="eastAsia" w:ascii="宋体" w:hAnsi="宋体" w:cs="宋体"/>
          <w:color w:val="auto"/>
          <w:sz w:val="24"/>
          <w:szCs w:val="24"/>
          <w:highlight w:val="none"/>
          <w:lang w:val="en-US" w:eastAsia="zh-CN"/>
        </w:rPr>
        <w:t>甲级</w:t>
      </w:r>
      <w:r>
        <w:rPr>
          <w:rFonts w:hint="eastAsia" w:ascii="宋体" w:hAnsi="宋体" w:eastAsia="宋体" w:cs="宋体"/>
          <w:color w:val="auto"/>
          <w:sz w:val="24"/>
          <w:szCs w:val="24"/>
          <w:highlight w:val="none"/>
          <w:lang w:val="en-US" w:eastAsia="zh-CN"/>
        </w:rPr>
        <w:t>及以上资质或监理综合资质，并在人员、设备、资金等方面具备相应的监理能力（提供承诺函）。</w:t>
      </w:r>
    </w:p>
    <w:p w14:paraId="138A9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3.3、拟派项目总监必须具有相关专业国家注册监理工程师资格证，具有</w:t>
      </w:r>
      <w:r>
        <w:rPr>
          <w:rFonts w:hint="eastAsia" w:ascii="宋体" w:hAnsi="宋体" w:cs="宋体"/>
          <w:color w:val="auto"/>
          <w:sz w:val="24"/>
          <w:szCs w:val="24"/>
          <w:highlight w:val="none"/>
          <w:lang w:val="en-US" w:eastAsia="zh-CN"/>
        </w:rPr>
        <w:t>高级</w:t>
      </w:r>
      <w:r>
        <w:rPr>
          <w:rFonts w:hint="eastAsia" w:ascii="宋体" w:hAnsi="宋体" w:eastAsia="宋体" w:cs="宋体"/>
          <w:color w:val="auto"/>
          <w:sz w:val="24"/>
          <w:szCs w:val="24"/>
          <w:highlight w:val="none"/>
          <w:lang w:val="en-US" w:eastAsia="zh-CN"/>
        </w:rPr>
        <w:t>及以上技术职称；并提供</w:t>
      </w:r>
      <w:r>
        <w:rPr>
          <w:rFonts w:hint="eastAsia" w:ascii="宋体" w:hAnsi="宋体" w:cs="宋体"/>
          <w:color w:val="auto"/>
          <w:sz w:val="24"/>
          <w:szCs w:val="24"/>
          <w:lang w:val="en-US" w:eastAsia="zh-CN"/>
        </w:rPr>
        <w:t>与响应单位的劳动关系证明</w:t>
      </w:r>
      <w:r>
        <w:rPr>
          <w:rFonts w:hint="eastAsia" w:ascii="宋体" w:hAnsi="宋体" w:eastAsia="宋体" w:cs="宋体"/>
          <w:color w:val="auto"/>
          <w:sz w:val="24"/>
          <w:szCs w:val="24"/>
          <w:highlight w:val="none"/>
          <w:lang w:val="en-US" w:eastAsia="zh-CN"/>
        </w:rPr>
        <w:t>。</w:t>
      </w:r>
    </w:p>
    <w:p w14:paraId="1647FE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3.4、参加政府采购活动前三年内，在经营活动中没有重大违法记录（提供书面声明）；</w:t>
      </w:r>
    </w:p>
    <w:p w14:paraId="591B46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3.5、须提供在中国裁判文书网（wenshu.court.gov.cn）自行查询的无行贿犯罪记录或自行承诺（查询/承诺对象：企业、法定代表人、项目总监）；</w:t>
      </w:r>
    </w:p>
    <w:p w14:paraId="7FFABD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3.6、须提供企业无商业贿赂和不正当竞争行为的承诺函；</w:t>
      </w:r>
    </w:p>
    <w:p w14:paraId="4AD926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r>
        <w:rPr>
          <w:rFonts w:hint="eastAsia" w:ascii="宋体" w:hAnsi="宋体" w:cs="宋体"/>
          <w:bCs/>
          <w:sz w:val="24"/>
          <w:highlight w:val="none"/>
        </w:rPr>
        <w:t>根据《关于在政府采购活动中查询及使用信用记录有关问题的通知》</w:t>
      </w:r>
      <w:r>
        <w:rPr>
          <w:rFonts w:hint="eastAsia" w:ascii="宋体" w:hAnsi="宋体" w:cs="宋体"/>
          <w:bCs/>
          <w:sz w:val="24"/>
          <w:highlight w:val="none"/>
          <w:lang w:eastAsia="zh-CN"/>
        </w:rPr>
        <w:t>（</w:t>
      </w:r>
      <w:r>
        <w:rPr>
          <w:rFonts w:hint="eastAsia" w:ascii="宋体" w:hAnsi="宋体" w:cs="宋体"/>
          <w:bCs/>
          <w:sz w:val="24"/>
          <w:highlight w:val="none"/>
        </w:rPr>
        <w:t>财库[2016]125号</w:t>
      </w:r>
      <w:r>
        <w:rPr>
          <w:rFonts w:hint="eastAsia" w:ascii="宋体" w:hAnsi="宋体" w:cs="宋体"/>
          <w:bCs/>
          <w:sz w:val="24"/>
          <w:highlight w:val="none"/>
          <w:lang w:eastAsia="zh-CN"/>
        </w:rPr>
        <w:t>）</w:t>
      </w:r>
      <w:r>
        <w:rPr>
          <w:rFonts w:hint="eastAsia" w:ascii="宋体" w:hAnsi="宋体" w:cs="宋体"/>
          <w:bCs/>
          <w:sz w:val="24"/>
          <w:highlight w:val="none"/>
        </w:rPr>
        <w:t>和豫财购【2016】15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r>
        <w:rPr>
          <w:rFonts w:hint="eastAsia" w:ascii="宋体" w:hAnsi="宋体" w:cs="宋体"/>
          <w:bCs/>
          <w:sz w:val="24"/>
          <w:highlight w:val="none"/>
          <w:lang w:eastAsia="zh-CN"/>
        </w:rPr>
        <w:t>，</w:t>
      </w:r>
      <w:r>
        <w:rPr>
          <w:rFonts w:hint="eastAsia" w:ascii="宋体" w:hAnsi="宋体" w:cs="宋体"/>
          <w:bCs/>
          <w:sz w:val="24"/>
          <w:highlight w:val="none"/>
        </w:rPr>
        <w:t>开标时间前截止，提供网站查询截图</w:t>
      </w:r>
      <w:r>
        <w:rPr>
          <w:rFonts w:hint="eastAsia" w:ascii="宋体" w:hAnsi="宋体" w:cs="宋体"/>
          <w:bCs/>
          <w:sz w:val="24"/>
          <w:highlight w:val="none"/>
          <w:lang w:eastAsia="zh-CN"/>
        </w:rPr>
        <w:t>；</w:t>
      </w:r>
      <w:r>
        <w:rPr>
          <w:rFonts w:hint="eastAsia" w:ascii="宋体" w:hAnsi="宋体" w:cs="宋体"/>
          <w:bCs/>
          <w:sz w:val="24"/>
          <w:highlight w:val="none"/>
          <w:lang w:val="en-US" w:eastAsia="zh-CN"/>
        </w:rPr>
        <w:t>同时，</w:t>
      </w:r>
      <w:r>
        <w:rPr>
          <w:rFonts w:hint="eastAsia" w:ascii="宋体" w:hAnsi="宋体" w:cs="宋体"/>
          <w:bCs/>
          <w:sz w:val="24"/>
          <w:highlight w:val="none"/>
        </w:rPr>
        <w:t>开标后由</w:t>
      </w:r>
      <w:r>
        <w:rPr>
          <w:rFonts w:hint="eastAsia" w:ascii="宋体" w:hAnsi="宋体" w:cs="宋体"/>
          <w:bCs/>
          <w:sz w:val="24"/>
          <w:highlight w:val="none"/>
          <w:lang w:val="en-US" w:eastAsia="zh-CN"/>
        </w:rPr>
        <w:t>招标</w:t>
      </w:r>
      <w:r>
        <w:rPr>
          <w:rFonts w:hint="eastAsia" w:ascii="宋体" w:hAnsi="宋体" w:cs="宋体"/>
          <w:bCs/>
          <w:sz w:val="24"/>
          <w:highlight w:val="none"/>
        </w:rPr>
        <w:t>人或代理机构通过以上网站进行查询，信用信息查询记录和证据将同</w:t>
      </w:r>
      <w:r>
        <w:rPr>
          <w:rFonts w:hint="eastAsia" w:ascii="宋体" w:hAnsi="宋体" w:cs="宋体"/>
          <w:bCs/>
          <w:sz w:val="24"/>
          <w:highlight w:val="none"/>
          <w:lang w:val="en-US" w:eastAsia="zh-CN"/>
        </w:rPr>
        <w:t>磋商</w:t>
      </w:r>
      <w:r>
        <w:rPr>
          <w:rFonts w:hint="eastAsia" w:ascii="宋体" w:hAnsi="宋体" w:cs="宋体"/>
          <w:bCs/>
          <w:sz w:val="24"/>
          <w:highlight w:val="none"/>
        </w:rPr>
        <w:t>文件等资料一同归档保存。相关网站有最新规定的，按最新规定执行）</w:t>
      </w:r>
      <w:r>
        <w:rPr>
          <w:rFonts w:hint="eastAsia" w:ascii="宋体" w:hAnsi="宋体" w:eastAsia="宋体" w:cs="宋体"/>
          <w:color w:val="auto"/>
          <w:sz w:val="24"/>
          <w:szCs w:val="24"/>
          <w:highlight w:val="none"/>
          <w:lang w:val="en-US" w:eastAsia="zh-CN"/>
        </w:rPr>
        <w:t>；</w:t>
      </w:r>
    </w:p>
    <w:p w14:paraId="4C7E0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w:t>
      </w:r>
      <w:r>
        <w:rPr>
          <w:rFonts w:hint="eastAsia" w:ascii="宋体" w:hAnsi="宋体" w:cs="宋体"/>
          <w:bCs/>
          <w:sz w:val="24"/>
          <w:highlight w:val="none"/>
          <w:lang w:val="en-US" w:eastAsia="zh-CN"/>
        </w:rPr>
        <w:t>单位负责人为同一人或者存在直接控股、管理关系的不同投标人，不得同时参加本次招标活动，提供国家企业信用信息公示系统（网址http://www.gsxt.gov.cn/）公示的企业信息网页截图，查询内容须包含公司基本信息、股东信息）</w:t>
      </w:r>
      <w:r>
        <w:rPr>
          <w:rFonts w:hint="eastAsia" w:ascii="宋体" w:hAnsi="宋体" w:eastAsia="宋体" w:cs="宋体"/>
          <w:color w:val="auto"/>
          <w:sz w:val="24"/>
          <w:szCs w:val="24"/>
          <w:highlight w:val="none"/>
          <w:lang w:val="en-US" w:eastAsia="zh-CN"/>
        </w:rPr>
        <w:t>；</w:t>
      </w:r>
    </w:p>
    <w:p w14:paraId="786176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3.9、本项目不接受联合体投标；</w:t>
      </w:r>
    </w:p>
    <w:p w14:paraId="699F9F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3.10、本次招标实行资格后审（后审资料见竞争性磋商文件）；</w:t>
      </w:r>
    </w:p>
    <w:p w14:paraId="7AA2B524">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rPr>
      </w:pPr>
      <w:bookmarkStart w:id="29" w:name="_Toc25301"/>
      <w:r>
        <w:rPr>
          <w:rFonts w:hint="eastAsia" w:ascii="宋体" w:hAnsi="宋体" w:eastAsia="宋体" w:cs="宋体"/>
          <w:b/>
          <w:bCs/>
          <w:sz w:val="28"/>
          <w:szCs w:val="28"/>
          <w:highlight w:val="none"/>
        </w:rPr>
        <w:t>三、获取</w:t>
      </w:r>
      <w:r>
        <w:rPr>
          <w:rFonts w:hint="eastAsia" w:ascii="宋体" w:hAnsi="宋体" w:cs="宋体"/>
          <w:b/>
          <w:bCs/>
          <w:sz w:val="28"/>
          <w:szCs w:val="28"/>
          <w:highlight w:val="none"/>
          <w:lang w:val="en-US" w:eastAsia="zh-CN"/>
        </w:rPr>
        <w:t>磋商</w:t>
      </w:r>
      <w:r>
        <w:rPr>
          <w:rFonts w:hint="eastAsia" w:ascii="宋体" w:hAnsi="宋体" w:eastAsia="宋体" w:cs="宋体"/>
          <w:b/>
          <w:bCs/>
          <w:sz w:val="28"/>
          <w:szCs w:val="28"/>
          <w:highlight w:val="none"/>
          <w:lang w:eastAsia="zh-CN"/>
        </w:rPr>
        <w:t>文件</w:t>
      </w:r>
      <w:bookmarkEnd w:id="29"/>
    </w:p>
    <w:p w14:paraId="129D1CB9">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1、时间：</w:t>
      </w:r>
      <w:r>
        <w:rPr>
          <w:rFonts w:hint="eastAsia" w:ascii="宋体" w:hAnsi="宋体" w:cs="宋体"/>
          <w:color w:val="auto"/>
          <w:kern w:val="0"/>
          <w:sz w:val="24"/>
          <w:szCs w:val="24"/>
          <w:highlight w:val="none"/>
          <w:shd w:val="clear" w:color="auto" w:fill="FFFFFF"/>
          <w:lang w:val="en-US" w:eastAsia="zh-CN" w:bidi="ar"/>
        </w:rPr>
        <w:t>2026</w:t>
      </w:r>
      <w:r>
        <w:rPr>
          <w:rFonts w:hint="eastAsia" w:ascii="宋体" w:hAnsi="宋体" w:eastAsia="宋体" w:cs="宋体"/>
          <w:color w:val="auto"/>
          <w:kern w:val="0"/>
          <w:sz w:val="24"/>
          <w:szCs w:val="24"/>
          <w:highlight w:val="none"/>
          <w:shd w:val="clear" w:color="auto" w:fill="FFFFFF"/>
          <w:lang w:val="en-US" w:eastAsia="zh-CN" w:bidi="ar"/>
        </w:rPr>
        <w:t>年</w:t>
      </w:r>
      <w:r>
        <w:rPr>
          <w:rFonts w:hint="eastAsia" w:ascii="宋体" w:hAnsi="宋体" w:cs="宋体"/>
          <w:color w:val="auto"/>
          <w:kern w:val="0"/>
          <w:sz w:val="24"/>
          <w:szCs w:val="24"/>
          <w:highlight w:val="none"/>
          <w:shd w:val="clear" w:color="auto" w:fill="FFFFFF"/>
          <w:lang w:val="en-US" w:eastAsia="zh-CN" w:bidi="ar"/>
        </w:rPr>
        <w:t>03</w:t>
      </w:r>
      <w:r>
        <w:rPr>
          <w:rFonts w:hint="eastAsia" w:ascii="宋体" w:hAnsi="宋体" w:eastAsia="宋体" w:cs="宋体"/>
          <w:color w:val="auto"/>
          <w:kern w:val="0"/>
          <w:sz w:val="24"/>
          <w:szCs w:val="24"/>
          <w:highlight w:val="none"/>
          <w:shd w:val="clear" w:color="auto" w:fill="FFFFFF"/>
          <w:lang w:val="en-US" w:eastAsia="zh-CN" w:bidi="ar"/>
        </w:rPr>
        <w:t>月</w:t>
      </w:r>
      <w:r>
        <w:rPr>
          <w:rFonts w:hint="eastAsia" w:ascii="宋体" w:hAnsi="宋体" w:cs="宋体"/>
          <w:color w:val="auto"/>
          <w:kern w:val="0"/>
          <w:sz w:val="24"/>
          <w:szCs w:val="24"/>
          <w:highlight w:val="none"/>
          <w:shd w:val="clear" w:color="auto" w:fill="FFFFFF"/>
          <w:lang w:val="en-US" w:eastAsia="zh-CN" w:bidi="ar"/>
        </w:rPr>
        <w:t>01</w:t>
      </w:r>
      <w:r>
        <w:rPr>
          <w:rFonts w:hint="eastAsia" w:ascii="宋体" w:hAnsi="宋体" w:eastAsia="宋体" w:cs="宋体"/>
          <w:color w:val="auto"/>
          <w:kern w:val="0"/>
          <w:sz w:val="24"/>
          <w:szCs w:val="24"/>
          <w:highlight w:val="none"/>
          <w:shd w:val="clear" w:color="auto" w:fill="FFFFFF"/>
          <w:lang w:val="en-US" w:eastAsia="zh-CN" w:bidi="ar"/>
        </w:rPr>
        <w:t>日至</w:t>
      </w:r>
      <w:r>
        <w:rPr>
          <w:rFonts w:hint="eastAsia" w:ascii="宋体" w:hAnsi="宋体" w:cs="宋体"/>
          <w:color w:val="auto"/>
          <w:kern w:val="0"/>
          <w:sz w:val="24"/>
          <w:szCs w:val="24"/>
          <w:highlight w:val="none"/>
          <w:shd w:val="clear" w:color="auto" w:fill="FFFFFF"/>
          <w:lang w:val="en-US" w:eastAsia="zh-CN" w:bidi="ar"/>
        </w:rPr>
        <w:t>2026</w:t>
      </w:r>
      <w:r>
        <w:rPr>
          <w:rFonts w:hint="eastAsia" w:ascii="宋体" w:hAnsi="宋体" w:eastAsia="宋体" w:cs="宋体"/>
          <w:color w:val="auto"/>
          <w:kern w:val="0"/>
          <w:sz w:val="24"/>
          <w:szCs w:val="24"/>
          <w:highlight w:val="none"/>
          <w:shd w:val="clear" w:color="auto" w:fill="FFFFFF"/>
          <w:lang w:val="en-US" w:eastAsia="zh-CN" w:bidi="ar"/>
        </w:rPr>
        <w:t>年</w:t>
      </w:r>
      <w:r>
        <w:rPr>
          <w:rFonts w:hint="eastAsia" w:ascii="宋体" w:hAnsi="宋体" w:cs="宋体"/>
          <w:color w:val="auto"/>
          <w:kern w:val="0"/>
          <w:sz w:val="24"/>
          <w:szCs w:val="24"/>
          <w:highlight w:val="none"/>
          <w:shd w:val="clear" w:color="auto" w:fill="FFFFFF"/>
          <w:lang w:val="en-US" w:eastAsia="zh-CN" w:bidi="ar"/>
        </w:rPr>
        <w:t>03</w:t>
      </w:r>
      <w:r>
        <w:rPr>
          <w:rFonts w:hint="eastAsia" w:ascii="宋体" w:hAnsi="宋体" w:eastAsia="宋体" w:cs="宋体"/>
          <w:color w:val="auto"/>
          <w:kern w:val="0"/>
          <w:sz w:val="24"/>
          <w:szCs w:val="24"/>
          <w:highlight w:val="none"/>
          <w:shd w:val="clear" w:color="auto" w:fill="FFFFFF"/>
          <w:lang w:val="en-US" w:eastAsia="zh-CN" w:bidi="ar"/>
        </w:rPr>
        <w:t>月</w:t>
      </w:r>
      <w:r>
        <w:rPr>
          <w:rFonts w:hint="eastAsia" w:ascii="宋体" w:hAnsi="宋体" w:cs="宋体"/>
          <w:color w:val="auto"/>
          <w:kern w:val="0"/>
          <w:sz w:val="24"/>
          <w:szCs w:val="24"/>
          <w:highlight w:val="none"/>
          <w:shd w:val="clear" w:color="auto" w:fill="FFFFFF"/>
          <w:lang w:val="en-US" w:eastAsia="zh-CN" w:bidi="ar"/>
        </w:rPr>
        <w:t>11</w:t>
      </w:r>
      <w:r>
        <w:rPr>
          <w:rFonts w:hint="eastAsia" w:ascii="宋体" w:hAnsi="宋体" w:eastAsia="宋体" w:cs="宋体"/>
          <w:color w:val="auto"/>
          <w:kern w:val="0"/>
          <w:sz w:val="24"/>
          <w:szCs w:val="24"/>
          <w:highlight w:val="none"/>
          <w:shd w:val="clear" w:color="auto" w:fill="FFFFFF"/>
          <w:lang w:val="en-US" w:eastAsia="zh-CN" w:bidi="ar"/>
        </w:rPr>
        <w:t>日08时30分；</w:t>
      </w:r>
    </w:p>
    <w:p w14:paraId="4AFB135F">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2、地点：三门峡市公共资源交易中心网（网址：gzjy.smx.gov.cn）；</w:t>
      </w:r>
    </w:p>
    <w:p w14:paraId="58D74AA7">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3、</w:t>
      </w:r>
      <w:r>
        <w:rPr>
          <w:rFonts w:hint="eastAsia" w:ascii="宋体" w:hAnsi="宋体" w:cs="宋体"/>
          <w:color w:val="auto"/>
          <w:kern w:val="0"/>
          <w:sz w:val="24"/>
          <w:szCs w:val="24"/>
          <w:highlight w:val="none"/>
          <w:shd w:val="clear" w:color="auto" w:fill="FFFFFF"/>
          <w:lang w:val="en-US" w:eastAsia="zh-CN" w:bidi="ar"/>
        </w:rPr>
        <w:t>方式：</w:t>
      </w:r>
      <w:r>
        <w:rPr>
          <w:rFonts w:hint="eastAsia" w:ascii="宋体" w:hAnsi="宋体" w:eastAsia="宋体" w:cs="宋体"/>
          <w:color w:val="auto"/>
          <w:kern w:val="0"/>
          <w:sz w:val="24"/>
          <w:szCs w:val="24"/>
          <w:highlight w:val="none"/>
          <w:shd w:val="clear" w:color="auto" w:fill="FFFFFF"/>
          <w:lang w:val="en-US" w:eastAsia="zh-CN" w:bidi="ar"/>
        </w:rPr>
        <w:t>本项目没有报名环节，响应人凭CA数字证书通过三门峡市公共资源交易中心网（网址：gzjy.smx.gov.cn），点击交易平台选择“市场主体登录”，在所参与项目右侧点击参与投标，即可直接下载本项目</w:t>
      </w:r>
      <w:r>
        <w:rPr>
          <w:rFonts w:hint="eastAsia" w:ascii="宋体" w:hAnsi="宋体" w:cs="宋体"/>
          <w:color w:val="auto"/>
          <w:kern w:val="0"/>
          <w:sz w:val="24"/>
          <w:szCs w:val="24"/>
          <w:highlight w:val="none"/>
          <w:shd w:val="clear" w:color="auto" w:fill="FFFFFF"/>
          <w:lang w:val="en-US" w:eastAsia="zh-CN" w:bidi="ar"/>
        </w:rPr>
        <w:t>磋商</w:t>
      </w:r>
      <w:r>
        <w:rPr>
          <w:rFonts w:hint="eastAsia" w:ascii="宋体" w:hAnsi="宋体" w:eastAsia="宋体" w:cs="宋体"/>
          <w:color w:val="auto"/>
          <w:kern w:val="0"/>
          <w:sz w:val="24"/>
          <w:szCs w:val="24"/>
          <w:highlight w:val="none"/>
          <w:shd w:val="clear" w:color="auto" w:fill="FFFFFF"/>
          <w:lang w:val="en-US" w:eastAsia="zh-CN" w:bidi="ar"/>
        </w:rPr>
        <w:t xml:space="preserve">文件。 </w:t>
      </w:r>
    </w:p>
    <w:p w14:paraId="34FDA0DF">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具体操作请查看以下链接：</w:t>
      </w:r>
    </w:p>
    <w:p w14:paraId="1512490F">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fldChar w:fldCharType="begin"/>
      </w:r>
      <w:r>
        <w:rPr>
          <w:rFonts w:hint="eastAsia" w:ascii="宋体" w:hAnsi="宋体" w:eastAsia="宋体" w:cs="宋体"/>
          <w:color w:val="auto"/>
          <w:kern w:val="0"/>
          <w:sz w:val="24"/>
          <w:szCs w:val="24"/>
          <w:highlight w:val="none"/>
          <w:shd w:val="clear" w:color="auto" w:fill="FFFFFF"/>
          <w:lang w:val="en-US" w:eastAsia="zh-CN" w:bidi="ar"/>
        </w:rPr>
        <w:instrText xml:space="preserve"> HYPERLINK "http://www.smxgzjy.cn/spweb/SMX/InformationCenter/NewsDetail.do?CID=fdd6c8fc-bb0a-4c07-8715-d29609fc7a80&amp;ID=2896ba18-6dde-4e75-ac96-1c4906f8a56e" </w:instrText>
      </w:r>
      <w:r>
        <w:rPr>
          <w:rFonts w:hint="eastAsia" w:ascii="宋体" w:hAnsi="宋体" w:eastAsia="宋体" w:cs="宋体"/>
          <w:color w:val="auto"/>
          <w:kern w:val="0"/>
          <w:sz w:val="24"/>
          <w:szCs w:val="24"/>
          <w:highlight w:val="none"/>
          <w:shd w:val="clear" w:color="auto" w:fill="FFFFFF"/>
          <w:lang w:val="en-US" w:eastAsia="zh-CN" w:bidi="ar"/>
        </w:rPr>
        <w:fldChar w:fldCharType="separate"/>
      </w:r>
      <w:r>
        <w:rPr>
          <w:rFonts w:hint="eastAsia" w:ascii="宋体" w:hAnsi="宋体" w:eastAsia="宋体" w:cs="宋体"/>
          <w:color w:val="auto"/>
          <w:kern w:val="0"/>
          <w:sz w:val="24"/>
          <w:szCs w:val="24"/>
          <w:highlight w:val="none"/>
          <w:shd w:val="clear" w:color="auto" w:fill="FFFFFF"/>
          <w:lang w:val="en-US" w:eastAsia="zh-CN" w:bidi="ar"/>
        </w:rPr>
        <w:t>http://gzjy.smx.gov.cn/SMX/InformationCenter/NewsDetail.do?CID=fdd6c8fc-bb0a-4c07-8715-d29609fc7a80&amp;ID=94d11586-f364-4845-8656-6ec157d7b8c2</w:t>
      </w:r>
      <w:r>
        <w:rPr>
          <w:rFonts w:hint="eastAsia" w:ascii="宋体" w:hAnsi="宋体" w:eastAsia="宋体" w:cs="宋体"/>
          <w:color w:val="auto"/>
          <w:kern w:val="0"/>
          <w:sz w:val="24"/>
          <w:szCs w:val="24"/>
          <w:highlight w:val="none"/>
          <w:shd w:val="clear" w:color="auto" w:fill="FFFFFF"/>
          <w:lang w:val="en-US" w:eastAsia="zh-CN" w:bidi="ar"/>
        </w:rPr>
        <w:fldChar w:fldCharType="end"/>
      </w:r>
    </w:p>
    <w:p w14:paraId="34E7C414">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办理CA证书：http://gzjy.smx.gov.cn/downCa.html</w:t>
      </w:r>
    </w:p>
    <w:p w14:paraId="0D5682EA">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629"/>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4、</w:t>
      </w:r>
      <w:r>
        <w:rPr>
          <w:rFonts w:hint="eastAsia" w:ascii="宋体" w:hAnsi="宋体" w:cs="宋体"/>
          <w:color w:val="auto"/>
          <w:kern w:val="0"/>
          <w:sz w:val="24"/>
          <w:szCs w:val="24"/>
          <w:highlight w:val="none"/>
          <w:shd w:val="clear" w:color="auto" w:fill="FFFFFF"/>
          <w:lang w:val="en-US" w:eastAsia="zh-CN" w:bidi="ar"/>
        </w:rPr>
        <w:t>磋商</w:t>
      </w:r>
      <w:r>
        <w:rPr>
          <w:rFonts w:hint="eastAsia" w:ascii="宋体" w:hAnsi="宋体" w:eastAsia="宋体" w:cs="宋体"/>
          <w:color w:val="auto"/>
          <w:kern w:val="0"/>
          <w:sz w:val="24"/>
          <w:szCs w:val="24"/>
          <w:highlight w:val="none"/>
          <w:shd w:val="clear" w:color="auto" w:fill="FFFFFF"/>
          <w:lang w:val="en-US" w:eastAsia="zh-CN" w:bidi="ar"/>
        </w:rPr>
        <w:t>文件费：本项目为全电子招标，不再收取</w:t>
      </w:r>
      <w:r>
        <w:rPr>
          <w:rFonts w:hint="eastAsia" w:ascii="宋体" w:hAnsi="宋体" w:cs="宋体"/>
          <w:color w:val="auto"/>
          <w:kern w:val="0"/>
          <w:sz w:val="24"/>
          <w:szCs w:val="24"/>
          <w:highlight w:val="none"/>
          <w:shd w:val="clear" w:color="auto" w:fill="FFFFFF"/>
          <w:lang w:val="en-US" w:eastAsia="zh-CN" w:bidi="ar"/>
        </w:rPr>
        <w:t>磋商</w:t>
      </w:r>
      <w:r>
        <w:rPr>
          <w:rFonts w:hint="eastAsia" w:ascii="宋体" w:hAnsi="宋体" w:eastAsia="宋体" w:cs="宋体"/>
          <w:color w:val="auto"/>
          <w:kern w:val="0"/>
          <w:sz w:val="24"/>
          <w:szCs w:val="24"/>
          <w:highlight w:val="none"/>
          <w:shd w:val="clear" w:color="auto" w:fill="FFFFFF"/>
          <w:lang w:val="en-US" w:eastAsia="zh-CN" w:bidi="ar"/>
        </w:rPr>
        <w:t>文件费。</w:t>
      </w:r>
    </w:p>
    <w:p w14:paraId="0275F413">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lang w:val="en-US" w:eastAsia="zh-CN"/>
        </w:rPr>
      </w:pPr>
      <w:bookmarkStart w:id="30" w:name="_Toc16312"/>
      <w:r>
        <w:rPr>
          <w:rFonts w:hint="eastAsia" w:ascii="宋体" w:hAnsi="宋体" w:eastAsia="宋体" w:cs="宋体"/>
          <w:b/>
          <w:bCs/>
          <w:sz w:val="28"/>
          <w:szCs w:val="28"/>
          <w:highlight w:val="none"/>
          <w:lang w:val="en-US" w:eastAsia="zh-CN"/>
        </w:rPr>
        <w:t>四、响应文件递交</w:t>
      </w:r>
      <w:bookmarkEnd w:id="30"/>
    </w:p>
    <w:p w14:paraId="24976F5E">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1、截止时间：</w:t>
      </w:r>
      <w:r>
        <w:rPr>
          <w:rFonts w:hint="eastAsia" w:ascii="宋体" w:hAnsi="宋体" w:cs="宋体"/>
          <w:color w:val="auto"/>
          <w:kern w:val="0"/>
          <w:sz w:val="24"/>
          <w:szCs w:val="24"/>
          <w:highlight w:val="none"/>
          <w:shd w:val="clear" w:color="auto" w:fill="FFFFFF"/>
          <w:lang w:val="en-US" w:eastAsia="zh-CN" w:bidi="ar"/>
        </w:rPr>
        <w:t>2026</w:t>
      </w:r>
      <w:r>
        <w:rPr>
          <w:rFonts w:hint="eastAsia" w:ascii="宋体" w:hAnsi="宋体" w:eastAsia="宋体" w:cs="宋体"/>
          <w:color w:val="auto"/>
          <w:kern w:val="0"/>
          <w:sz w:val="24"/>
          <w:szCs w:val="24"/>
          <w:highlight w:val="none"/>
          <w:shd w:val="clear" w:color="auto" w:fill="FFFFFF"/>
          <w:lang w:val="en-US" w:eastAsia="zh-CN" w:bidi="ar"/>
        </w:rPr>
        <w:t>年</w:t>
      </w:r>
      <w:r>
        <w:rPr>
          <w:rFonts w:hint="eastAsia" w:ascii="宋体" w:hAnsi="宋体" w:cs="宋体"/>
          <w:color w:val="auto"/>
          <w:kern w:val="0"/>
          <w:sz w:val="24"/>
          <w:szCs w:val="24"/>
          <w:highlight w:val="none"/>
          <w:shd w:val="clear" w:color="auto" w:fill="FFFFFF"/>
          <w:lang w:val="en-US" w:eastAsia="zh-CN" w:bidi="ar"/>
        </w:rPr>
        <w:t>03</w:t>
      </w:r>
      <w:r>
        <w:rPr>
          <w:rFonts w:hint="eastAsia" w:ascii="宋体" w:hAnsi="宋体" w:eastAsia="宋体" w:cs="宋体"/>
          <w:color w:val="auto"/>
          <w:kern w:val="0"/>
          <w:sz w:val="24"/>
          <w:szCs w:val="24"/>
          <w:highlight w:val="none"/>
          <w:shd w:val="clear" w:color="auto" w:fill="FFFFFF"/>
          <w:lang w:val="en-US" w:eastAsia="zh-CN" w:bidi="ar"/>
        </w:rPr>
        <w:t>月</w:t>
      </w:r>
      <w:r>
        <w:rPr>
          <w:rFonts w:hint="eastAsia" w:ascii="宋体" w:hAnsi="宋体" w:cs="宋体"/>
          <w:color w:val="auto"/>
          <w:kern w:val="0"/>
          <w:sz w:val="24"/>
          <w:szCs w:val="24"/>
          <w:highlight w:val="none"/>
          <w:shd w:val="clear" w:color="auto" w:fill="FFFFFF"/>
          <w:lang w:val="en-US" w:eastAsia="zh-CN" w:bidi="ar"/>
        </w:rPr>
        <w:t>11</w:t>
      </w:r>
      <w:r>
        <w:rPr>
          <w:rFonts w:hint="eastAsia" w:ascii="宋体" w:hAnsi="宋体" w:eastAsia="宋体" w:cs="宋体"/>
          <w:color w:val="auto"/>
          <w:kern w:val="0"/>
          <w:sz w:val="24"/>
          <w:szCs w:val="24"/>
          <w:highlight w:val="none"/>
          <w:shd w:val="clear" w:color="auto" w:fill="FFFFFF"/>
          <w:lang w:val="en-US" w:eastAsia="zh-CN" w:bidi="ar"/>
        </w:rPr>
        <w:t>日08时30分；</w:t>
      </w:r>
    </w:p>
    <w:p w14:paraId="170E31A9">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2、地点：加密电子</w:t>
      </w:r>
      <w:r>
        <w:rPr>
          <w:rFonts w:hint="eastAsia" w:ascii="宋体" w:hAnsi="宋体" w:cs="宋体"/>
          <w:color w:val="auto"/>
          <w:kern w:val="0"/>
          <w:sz w:val="24"/>
          <w:szCs w:val="24"/>
          <w:highlight w:val="none"/>
          <w:shd w:val="clear" w:color="auto" w:fill="FFFFFF"/>
          <w:lang w:val="en-US" w:eastAsia="zh-CN" w:bidi="ar"/>
        </w:rPr>
        <w:t>响应</w:t>
      </w:r>
      <w:r>
        <w:rPr>
          <w:rFonts w:hint="eastAsia" w:ascii="宋体" w:hAnsi="宋体" w:eastAsia="宋体" w:cs="宋体"/>
          <w:color w:val="auto"/>
          <w:kern w:val="0"/>
          <w:sz w:val="24"/>
          <w:szCs w:val="24"/>
          <w:highlight w:val="none"/>
          <w:shd w:val="clear" w:color="auto" w:fill="FFFFFF"/>
          <w:lang w:val="en-US" w:eastAsia="zh-CN" w:bidi="ar"/>
        </w:rPr>
        <w:t>文件须在投标截止时间前通过三门峡市公共资源交易中心电子交易平台加密上传。逾期上传的或者未上传指定地点的</w:t>
      </w:r>
      <w:r>
        <w:rPr>
          <w:rFonts w:hint="eastAsia" w:ascii="宋体" w:hAnsi="宋体" w:cs="宋体"/>
          <w:color w:val="auto"/>
          <w:kern w:val="0"/>
          <w:sz w:val="24"/>
          <w:szCs w:val="24"/>
          <w:highlight w:val="none"/>
          <w:shd w:val="clear" w:color="auto" w:fill="FFFFFF"/>
          <w:lang w:val="en-US" w:eastAsia="zh-CN" w:bidi="ar"/>
        </w:rPr>
        <w:t>响应</w:t>
      </w:r>
      <w:r>
        <w:rPr>
          <w:rFonts w:hint="eastAsia" w:ascii="宋体" w:hAnsi="宋体" w:eastAsia="宋体" w:cs="宋体"/>
          <w:color w:val="auto"/>
          <w:kern w:val="0"/>
          <w:sz w:val="24"/>
          <w:szCs w:val="24"/>
          <w:highlight w:val="none"/>
          <w:shd w:val="clear" w:color="auto" w:fill="FFFFFF"/>
          <w:lang w:val="en-US" w:eastAsia="zh-CN" w:bidi="ar"/>
        </w:rPr>
        <w:t>文件，采购人不予受理；</w:t>
      </w:r>
    </w:p>
    <w:p w14:paraId="10F68D26">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8"/>
          <w:szCs w:val="28"/>
          <w:highlight w:val="none"/>
          <w:lang w:val="en-US" w:eastAsia="zh-CN"/>
        </w:rPr>
      </w:pPr>
      <w:bookmarkStart w:id="31" w:name="_Toc26474"/>
      <w:r>
        <w:rPr>
          <w:rFonts w:hint="eastAsia" w:ascii="宋体" w:hAnsi="宋体" w:eastAsia="宋体" w:cs="宋体"/>
          <w:b/>
          <w:bCs/>
          <w:color w:val="auto"/>
          <w:sz w:val="28"/>
          <w:szCs w:val="28"/>
          <w:highlight w:val="none"/>
          <w:lang w:val="en-US" w:eastAsia="zh-CN"/>
        </w:rPr>
        <w:t>五、响应文件开启</w:t>
      </w:r>
      <w:bookmarkEnd w:id="31"/>
    </w:p>
    <w:p w14:paraId="6D3297D6">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1、时间：</w:t>
      </w:r>
      <w:r>
        <w:rPr>
          <w:rFonts w:hint="eastAsia" w:ascii="宋体" w:hAnsi="宋体" w:cs="宋体"/>
          <w:color w:val="auto"/>
          <w:kern w:val="0"/>
          <w:sz w:val="24"/>
          <w:szCs w:val="24"/>
          <w:highlight w:val="none"/>
          <w:shd w:val="clear" w:color="auto" w:fill="FFFFFF"/>
          <w:lang w:val="en-US" w:eastAsia="zh-CN" w:bidi="ar"/>
        </w:rPr>
        <w:t>2026</w:t>
      </w:r>
      <w:r>
        <w:rPr>
          <w:rFonts w:hint="eastAsia" w:ascii="宋体" w:hAnsi="宋体" w:eastAsia="宋体" w:cs="宋体"/>
          <w:color w:val="auto"/>
          <w:kern w:val="0"/>
          <w:sz w:val="24"/>
          <w:szCs w:val="24"/>
          <w:highlight w:val="none"/>
          <w:shd w:val="clear" w:color="auto" w:fill="FFFFFF"/>
          <w:lang w:val="en-US" w:eastAsia="zh-CN" w:bidi="ar"/>
        </w:rPr>
        <w:t>年</w:t>
      </w:r>
      <w:r>
        <w:rPr>
          <w:rFonts w:hint="eastAsia" w:ascii="宋体" w:hAnsi="宋体" w:cs="宋体"/>
          <w:color w:val="auto"/>
          <w:kern w:val="0"/>
          <w:sz w:val="24"/>
          <w:szCs w:val="24"/>
          <w:highlight w:val="none"/>
          <w:shd w:val="clear" w:color="auto" w:fill="FFFFFF"/>
          <w:lang w:val="en-US" w:eastAsia="zh-CN" w:bidi="ar"/>
        </w:rPr>
        <w:t>03</w:t>
      </w:r>
      <w:r>
        <w:rPr>
          <w:rFonts w:hint="eastAsia" w:ascii="宋体" w:hAnsi="宋体" w:eastAsia="宋体" w:cs="宋体"/>
          <w:color w:val="auto"/>
          <w:kern w:val="0"/>
          <w:sz w:val="24"/>
          <w:szCs w:val="24"/>
          <w:highlight w:val="none"/>
          <w:shd w:val="clear" w:color="auto" w:fill="FFFFFF"/>
          <w:lang w:val="en-US" w:eastAsia="zh-CN" w:bidi="ar"/>
        </w:rPr>
        <w:t>月</w:t>
      </w:r>
      <w:r>
        <w:rPr>
          <w:rFonts w:hint="eastAsia" w:ascii="宋体" w:hAnsi="宋体" w:cs="宋体"/>
          <w:color w:val="auto"/>
          <w:kern w:val="0"/>
          <w:sz w:val="24"/>
          <w:szCs w:val="24"/>
          <w:highlight w:val="none"/>
          <w:shd w:val="clear" w:color="auto" w:fill="FFFFFF"/>
          <w:lang w:val="en-US" w:eastAsia="zh-CN" w:bidi="ar"/>
        </w:rPr>
        <w:t>11</w:t>
      </w:r>
      <w:r>
        <w:rPr>
          <w:rFonts w:hint="eastAsia" w:ascii="宋体" w:hAnsi="宋体" w:eastAsia="宋体" w:cs="宋体"/>
          <w:color w:val="auto"/>
          <w:kern w:val="0"/>
          <w:sz w:val="24"/>
          <w:szCs w:val="24"/>
          <w:highlight w:val="none"/>
          <w:shd w:val="clear" w:color="auto" w:fill="FFFFFF"/>
          <w:lang w:val="en-US" w:eastAsia="zh-CN" w:bidi="ar"/>
        </w:rPr>
        <w:t>日08时30分；</w:t>
      </w:r>
    </w:p>
    <w:p w14:paraId="18463F2F">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2、地点：灵宝市公共资源交易中心开标一室、评标一室（灵宝市金城大道信用联社12楼）；（本项目为不见面开标项目。开标当日，投标人无需到开标现场参加开标会议，投标人应当在投标截止时间前，登陆不见面开标大厅选择登陆三门峡市公共资源电子招投标系统进行登陆）</w:t>
      </w:r>
    </w:p>
    <w:p w14:paraId="39E0D9DD">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
        </w:rPr>
      </w:pPr>
      <w:r>
        <w:rPr>
          <w:rFonts w:hint="eastAsia" w:ascii="宋体" w:hAnsi="宋体" w:eastAsia="宋体" w:cs="宋体"/>
          <w:color w:val="auto"/>
          <w:kern w:val="0"/>
          <w:sz w:val="24"/>
          <w:szCs w:val="24"/>
          <w:highlight w:val="none"/>
          <w:shd w:val="clear" w:color="auto" w:fill="FFFFFF"/>
          <w:lang w:val="en-US" w:eastAsia="zh-CN" w:bidi="ar"/>
        </w:rPr>
        <w:t>3、逾期送达的或者未送达到指定地点的</w:t>
      </w:r>
      <w:r>
        <w:rPr>
          <w:rFonts w:hint="eastAsia" w:ascii="宋体" w:hAnsi="宋体" w:cs="宋体"/>
          <w:color w:val="auto"/>
          <w:kern w:val="0"/>
          <w:sz w:val="24"/>
          <w:szCs w:val="24"/>
          <w:highlight w:val="none"/>
          <w:shd w:val="clear" w:color="auto" w:fill="FFFFFF"/>
          <w:lang w:val="en-US" w:eastAsia="zh-CN" w:bidi="ar"/>
        </w:rPr>
        <w:t>响应</w:t>
      </w:r>
      <w:r>
        <w:rPr>
          <w:rFonts w:hint="eastAsia" w:ascii="宋体" w:hAnsi="宋体" w:eastAsia="宋体" w:cs="宋体"/>
          <w:color w:val="auto"/>
          <w:kern w:val="0"/>
          <w:sz w:val="24"/>
          <w:szCs w:val="24"/>
          <w:highlight w:val="none"/>
          <w:shd w:val="clear" w:color="auto" w:fill="FFFFFF"/>
          <w:lang w:val="en-US" w:eastAsia="zh-CN" w:bidi="ar"/>
        </w:rPr>
        <w:t>文件，招标人不予受理。</w:t>
      </w:r>
    </w:p>
    <w:p w14:paraId="4D3FD2DD">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lang w:val="en-US" w:eastAsia="zh-CN"/>
        </w:rPr>
      </w:pPr>
      <w:bookmarkStart w:id="32" w:name="_Toc24242"/>
      <w:r>
        <w:rPr>
          <w:rFonts w:hint="eastAsia" w:ascii="宋体" w:hAnsi="宋体" w:eastAsia="宋体" w:cs="宋体"/>
          <w:b/>
          <w:bCs/>
          <w:sz w:val="28"/>
          <w:szCs w:val="28"/>
          <w:highlight w:val="none"/>
          <w:lang w:val="en-US" w:eastAsia="zh-CN"/>
        </w:rPr>
        <w:t>六、发布公告的媒介</w:t>
      </w:r>
      <w:bookmarkEnd w:id="32"/>
    </w:p>
    <w:p w14:paraId="2380D625">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本次公告同时在《中国采购与招标网》、《中国招标投标公共服务平台》、《河南省政府采购网》、《三门峡市公共资源交易中心》发布。</w:t>
      </w:r>
    </w:p>
    <w:p w14:paraId="4C752BAA">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lang w:val="en-US" w:eastAsia="zh-CN"/>
        </w:rPr>
      </w:pPr>
      <w:bookmarkStart w:id="33" w:name="_Toc29043"/>
      <w:bookmarkStart w:id="34" w:name="_Toc35393795"/>
      <w:bookmarkStart w:id="35" w:name="_Toc35393626"/>
      <w:r>
        <w:rPr>
          <w:rFonts w:hint="eastAsia" w:ascii="宋体" w:hAnsi="宋体" w:eastAsia="宋体" w:cs="宋体"/>
          <w:b/>
          <w:bCs/>
          <w:sz w:val="28"/>
          <w:szCs w:val="28"/>
          <w:highlight w:val="none"/>
          <w:lang w:val="en-US" w:eastAsia="zh-CN"/>
        </w:rPr>
        <w:t>七、其他补充事宜</w:t>
      </w:r>
      <w:bookmarkEnd w:id="33"/>
      <w:bookmarkEnd w:id="34"/>
      <w:bookmarkEnd w:id="35"/>
    </w:p>
    <w:p w14:paraId="23CF7E50">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1、按照《河南省财政厅关于优化政府采购营商环境有关问题的通知》（豫财购[2019]4号文）的要求本项目不再收取</w:t>
      </w:r>
      <w:r>
        <w:rPr>
          <w:rFonts w:hint="eastAsia" w:ascii="宋体" w:hAnsi="宋体" w:cs="宋体"/>
          <w:sz w:val="24"/>
          <w:szCs w:val="24"/>
          <w:highlight w:val="none"/>
          <w:lang w:val="en-US" w:eastAsia="zh-CN"/>
        </w:rPr>
        <w:t>磋商</w:t>
      </w:r>
      <w:r>
        <w:rPr>
          <w:rFonts w:hint="eastAsia" w:ascii="宋体" w:hAnsi="宋体" w:eastAsia="宋体" w:cs="宋体"/>
          <w:sz w:val="24"/>
          <w:szCs w:val="24"/>
          <w:highlight w:val="none"/>
          <w:lang w:val="en-US" w:eastAsia="zh-CN"/>
        </w:rPr>
        <w:t>保证金。</w:t>
      </w:r>
    </w:p>
    <w:p w14:paraId="12CFE7B7">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本项目资格审查内容以</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为准，</w:t>
      </w:r>
      <w:r>
        <w:rPr>
          <w:rFonts w:hint="eastAsia" w:ascii="宋体" w:hAnsi="宋体" w:eastAsia="宋体" w:cs="宋体"/>
          <w:sz w:val="24"/>
          <w:szCs w:val="24"/>
          <w:highlight w:val="none"/>
          <w:lang w:eastAsia="zh-CN"/>
        </w:rPr>
        <w:t>响应人可使用电子营业执照，</w:t>
      </w:r>
      <w:r>
        <w:rPr>
          <w:rFonts w:hint="eastAsia" w:ascii="宋体" w:hAnsi="宋体" w:eastAsia="宋体" w:cs="宋体"/>
          <w:sz w:val="24"/>
          <w:szCs w:val="24"/>
          <w:highlight w:val="none"/>
        </w:rPr>
        <w:t>其资料真实性由</w:t>
      </w:r>
      <w:r>
        <w:rPr>
          <w:rFonts w:hint="eastAsia" w:ascii="宋体" w:hAnsi="宋体" w:eastAsia="宋体" w:cs="宋体"/>
          <w:sz w:val="24"/>
          <w:szCs w:val="24"/>
          <w:highlight w:val="none"/>
          <w:lang w:eastAsia="zh-CN"/>
        </w:rPr>
        <w:t>响应人</w:t>
      </w:r>
      <w:r>
        <w:rPr>
          <w:rFonts w:hint="eastAsia" w:ascii="宋体" w:hAnsi="宋体" w:eastAsia="宋体" w:cs="宋体"/>
          <w:sz w:val="24"/>
          <w:szCs w:val="24"/>
          <w:highlight w:val="none"/>
        </w:rPr>
        <w:t>自行承担</w:t>
      </w:r>
      <w:r>
        <w:rPr>
          <w:rFonts w:hint="eastAsia" w:ascii="宋体" w:hAnsi="宋体" w:eastAsia="宋体" w:cs="宋体"/>
          <w:sz w:val="24"/>
          <w:szCs w:val="24"/>
          <w:highlight w:val="none"/>
          <w:lang w:eastAsia="zh-CN"/>
        </w:rPr>
        <w:t>，同时，响应人要完善主体库</w:t>
      </w:r>
      <w:r>
        <w:rPr>
          <w:rFonts w:hint="eastAsia" w:ascii="宋体" w:hAnsi="宋体" w:eastAsia="宋体" w:cs="宋体"/>
          <w:sz w:val="24"/>
          <w:szCs w:val="24"/>
          <w:highlight w:val="none"/>
        </w:rPr>
        <w:t>。</w:t>
      </w:r>
    </w:p>
    <w:p w14:paraId="5AF779F9">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打分部分：</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打分部分仍按照100分制原则进行，涉及到资格审查、企业荣誉、人员业绩、企业业绩等计分部分时，以</w:t>
      </w:r>
      <w:r>
        <w:rPr>
          <w:rFonts w:hint="eastAsia" w:ascii="宋体" w:hAnsi="宋体" w:eastAsia="宋体" w:cs="宋体"/>
          <w:sz w:val="24"/>
          <w:szCs w:val="24"/>
          <w:highlight w:val="none"/>
          <w:lang w:eastAsia="zh-CN"/>
        </w:rPr>
        <w:t>响应人</w:t>
      </w:r>
      <w:r>
        <w:rPr>
          <w:rFonts w:hint="eastAsia" w:ascii="宋体" w:hAnsi="宋体" w:eastAsia="宋体" w:cs="宋体"/>
          <w:sz w:val="24"/>
          <w:szCs w:val="24"/>
          <w:highlight w:val="none"/>
        </w:rPr>
        <w:t>自行上传到</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中的相应内容为准。</w:t>
      </w:r>
    </w:p>
    <w:p w14:paraId="023F75C9">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响应人</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响应文件</w:t>
      </w:r>
      <w:r>
        <w:rPr>
          <w:rFonts w:hint="eastAsia" w:ascii="宋体" w:hAnsi="宋体" w:eastAsia="宋体" w:cs="宋体"/>
          <w:sz w:val="24"/>
          <w:szCs w:val="24"/>
          <w:highlight w:val="none"/>
        </w:rPr>
        <w:t>格式进行</w:t>
      </w:r>
      <w:r>
        <w:rPr>
          <w:rFonts w:hint="eastAsia" w:ascii="宋体" w:hAnsi="宋体" w:eastAsia="宋体" w:cs="宋体"/>
          <w:sz w:val="24"/>
          <w:szCs w:val="24"/>
          <w:highlight w:val="none"/>
          <w:lang w:val="en-US" w:eastAsia="zh-CN"/>
        </w:rPr>
        <w:t>响应文件</w:t>
      </w:r>
      <w:r>
        <w:rPr>
          <w:rFonts w:hint="eastAsia" w:ascii="宋体" w:hAnsi="宋体" w:eastAsia="宋体" w:cs="宋体"/>
          <w:sz w:val="24"/>
          <w:szCs w:val="24"/>
          <w:highlight w:val="none"/>
        </w:rPr>
        <w:t>编制，在</w:t>
      </w:r>
      <w:r>
        <w:rPr>
          <w:rFonts w:hint="eastAsia" w:ascii="宋体" w:hAnsi="宋体" w:eastAsia="宋体" w:cs="宋体"/>
          <w:sz w:val="24"/>
          <w:szCs w:val="24"/>
          <w:highlight w:val="none"/>
          <w:lang w:val="en-US" w:eastAsia="zh-CN"/>
        </w:rPr>
        <w:t>响应文件</w:t>
      </w:r>
      <w:r>
        <w:rPr>
          <w:rFonts w:hint="eastAsia" w:ascii="宋体" w:hAnsi="宋体" w:eastAsia="宋体" w:cs="宋体"/>
          <w:sz w:val="24"/>
          <w:szCs w:val="24"/>
          <w:highlight w:val="none"/>
        </w:rPr>
        <w:t>编制时，应明确将</w:t>
      </w:r>
      <w:r>
        <w:rPr>
          <w:rFonts w:hint="eastAsia" w:ascii="宋体" w:hAnsi="宋体" w:eastAsia="宋体" w:cs="宋体"/>
          <w:sz w:val="24"/>
          <w:szCs w:val="24"/>
          <w:highlight w:val="none"/>
          <w:lang w:eastAsia="zh-CN"/>
        </w:rPr>
        <w:t>响应人</w:t>
      </w:r>
      <w:r>
        <w:rPr>
          <w:rFonts w:hint="eastAsia" w:ascii="宋体" w:hAnsi="宋体" w:eastAsia="宋体" w:cs="宋体"/>
          <w:sz w:val="24"/>
          <w:szCs w:val="24"/>
          <w:highlight w:val="none"/>
        </w:rPr>
        <w:t>企业基本情况、资质情况、人员情况、财务情况、业绩情况等信息编入</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，便于进行资格审查及</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打分。</w:t>
      </w:r>
    </w:p>
    <w:p w14:paraId="38A87C3E">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5、响应人应仔细阅读操作手册，在本公告中要求的截止时间前完成文件下载、响应文件的递交等工作，因响应人操作不当等问题造成的无法下载采购文件、无法投标等一切后果，由响应人自行承担。</w:t>
      </w:r>
    </w:p>
    <w:p w14:paraId="41430322">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6、公告内容与</w:t>
      </w:r>
      <w:r>
        <w:rPr>
          <w:rFonts w:hint="eastAsia" w:ascii="宋体" w:hAnsi="宋体" w:cs="宋体"/>
          <w:sz w:val="24"/>
          <w:szCs w:val="24"/>
          <w:highlight w:val="none"/>
          <w:lang w:val="en-US" w:eastAsia="zh-CN"/>
        </w:rPr>
        <w:t>磋商</w:t>
      </w:r>
      <w:r>
        <w:rPr>
          <w:rFonts w:hint="eastAsia" w:ascii="宋体" w:hAnsi="宋体" w:eastAsia="宋体" w:cs="宋体"/>
          <w:sz w:val="24"/>
          <w:szCs w:val="24"/>
          <w:highlight w:val="none"/>
          <w:lang w:val="en-US" w:eastAsia="zh-CN"/>
        </w:rPr>
        <w:t>文件内容如有出入，以公告为准</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给各响应人带来不便敬请谅解。</w:t>
      </w:r>
    </w:p>
    <w:p w14:paraId="306D4751">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温馨提示：注：本项目为不见面开标项目。开标当日，响应人无需到现场参加开标会议，响应人应当在响应文件递交截止时间前，登陆不见面开标大厅选择三门峡市公共资源电子招投标系统进行操作（网址为http://120.194.249.36:10094/BidOpening/bidopeninghallaction/hall/login）</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在线准时参加开标活动并进行响应文件解密等。每位响应人的解密时间为开标时间起30分钟内完成。因响应人原因未能解密、解密失败或解密超时的将被拒绝 ，为保证您能投标成功，请仔细阅读采购文件和三门峡市公共资源交易中心网站业务办理指南。</w:t>
      </w:r>
    </w:p>
    <w:p w14:paraId="68200CDF">
      <w:pPr>
        <w:keepNext w:val="0"/>
        <w:keepLines w:val="0"/>
        <w:pageBreakBefore w:val="0"/>
        <w:widowControl w:val="0"/>
        <w:kinsoku/>
        <w:wordWrap w:val="0"/>
        <w:overflowPunct/>
        <w:topLinePunct w:val="0"/>
        <w:autoSpaceDE/>
        <w:autoSpaceDN/>
        <w:bidi w:val="0"/>
        <w:spacing w:line="360" w:lineRule="auto"/>
        <w:ind w:firstLine="482" w:firstLineChars="201"/>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7、我单位（采购人）严格按照三财购【2021】9号文要求的时限发布成交结果公告，发出成交通知书，签订采购合同，上传采购合同</w:t>
      </w:r>
      <w:r>
        <w:rPr>
          <w:rFonts w:hint="eastAsia" w:ascii="宋体" w:hAnsi="宋体" w:eastAsia="宋体" w:cs="宋体"/>
          <w:sz w:val="24"/>
          <w:szCs w:val="24"/>
          <w:highlight w:val="none"/>
        </w:rPr>
        <w:t>。</w:t>
      </w:r>
    </w:p>
    <w:p w14:paraId="482AF5E5">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sz w:val="28"/>
          <w:szCs w:val="28"/>
          <w:highlight w:val="none"/>
          <w:lang w:val="en-US" w:eastAsia="zh-CN"/>
        </w:rPr>
      </w:pPr>
      <w:bookmarkStart w:id="36" w:name="_Toc17495"/>
      <w:r>
        <w:rPr>
          <w:rFonts w:hint="eastAsia" w:ascii="宋体" w:hAnsi="宋体" w:eastAsia="宋体" w:cs="宋体"/>
          <w:b/>
          <w:bCs/>
          <w:sz w:val="28"/>
          <w:szCs w:val="28"/>
          <w:highlight w:val="none"/>
          <w:lang w:val="en-US" w:eastAsia="zh-CN"/>
        </w:rPr>
        <w:t>八、联系方式</w:t>
      </w:r>
      <w:bookmarkEnd w:id="36"/>
    </w:p>
    <w:p w14:paraId="38C6FAC0">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eastAsia" w:ascii="宋体" w:hAnsi="宋体" w:eastAsia="宋体" w:cs="宋体"/>
          <w:bCs/>
          <w:kern w:val="0"/>
          <w:sz w:val="24"/>
          <w:highlight w:val="none"/>
          <w:lang w:val="en-US" w:eastAsia="zh-CN"/>
        </w:rPr>
      </w:pPr>
      <w:bookmarkStart w:id="37" w:name="_Toc2918"/>
      <w:r>
        <w:rPr>
          <w:rFonts w:hint="eastAsia" w:ascii="宋体" w:hAnsi="宋体" w:eastAsia="宋体" w:cs="宋体"/>
          <w:bCs/>
          <w:kern w:val="0"/>
          <w:sz w:val="24"/>
          <w:highlight w:val="none"/>
          <w:lang w:val="en-US" w:eastAsia="zh-CN"/>
        </w:rPr>
        <w:t>1.采购人信息</w:t>
      </w:r>
      <w:bookmarkEnd w:id="37"/>
    </w:p>
    <w:p w14:paraId="00BA4897">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cs="宋体"/>
          <w:bCs/>
          <w:kern w:val="0"/>
          <w:sz w:val="24"/>
          <w:highlight w:val="none"/>
          <w:lang w:val="en-US" w:eastAsia="zh-CN"/>
        </w:rPr>
        <w:t>采 购 人</w:t>
      </w:r>
      <w:r>
        <w:rPr>
          <w:rFonts w:hint="eastAsia" w:ascii="宋体" w:hAnsi="宋体" w:eastAsia="宋体" w:cs="宋体"/>
          <w:bCs/>
          <w:kern w:val="0"/>
          <w:sz w:val="24"/>
          <w:highlight w:val="none"/>
          <w:lang w:val="en-US" w:eastAsia="zh-CN"/>
        </w:rPr>
        <w:t>：灵宝市黄河河务局</w:t>
      </w:r>
    </w:p>
    <w:p w14:paraId="6B52FEED">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地    址：灵宝市工业路9号</w:t>
      </w:r>
    </w:p>
    <w:p w14:paraId="7BEE588B">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联 系 人：樊女士</w:t>
      </w:r>
    </w:p>
    <w:p w14:paraId="4650009B">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联系电话：0398-8780119</w:t>
      </w:r>
    </w:p>
    <w:p w14:paraId="6C8C66A3">
      <w:pPr>
        <w:keepNext w:val="0"/>
        <w:keepLines w:val="0"/>
        <w:pageBreakBefore w:val="0"/>
        <w:kinsoku/>
        <w:wordWrap/>
        <w:overflowPunct/>
        <w:topLinePunct w:val="0"/>
        <w:autoSpaceDE/>
        <w:autoSpaceDN/>
        <w:bidi w:val="0"/>
        <w:spacing w:line="360" w:lineRule="auto"/>
        <w:ind w:firstLine="480" w:firstLineChars="200"/>
        <w:outlineLvl w:val="1"/>
        <w:rPr>
          <w:rFonts w:hint="eastAsia" w:ascii="宋体" w:hAnsi="宋体" w:eastAsia="宋体" w:cs="宋体"/>
          <w:bCs/>
          <w:kern w:val="0"/>
          <w:sz w:val="24"/>
          <w:highlight w:val="none"/>
          <w:lang w:val="en-US" w:eastAsia="zh-CN"/>
        </w:rPr>
      </w:pPr>
      <w:bookmarkStart w:id="38" w:name="_Toc4981"/>
      <w:r>
        <w:rPr>
          <w:rFonts w:hint="eastAsia" w:ascii="宋体" w:hAnsi="宋体" w:eastAsia="宋体" w:cs="宋体"/>
          <w:bCs/>
          <w:kern w:val="0"/>
          <w:sz w:val="24"/>
          <w:highlight w:val="none"/>
          <w:lang w:val="en-US" w:eastAsia="zh-CN"/>
        </w:rPr>
        <w:t>2.采购代理机构信息</w:t>
      </w:r>
      <w:bookmarkEnd w:id="38"/>
    </w:p>
    <w:p w14:paraId="64CDE609">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bCs/>
          <w:kern w:val="0"/>
          <w:sz w:val="24"/>
          <w:highlight w:val="none"/>
          <w:lang w:val="en-US" w:eastAsia="zh-CN"/>
        </w:rPr>
      </w:pPr>
      <w:r>
        <w:rPr>
          <w:rFonts w:hint="default" w:ascii="宋体" w:hAnsi="宋体" w:eastAsia="宋体" w:cs="宋体"/>
          <w:bCs/>
          <w:kern w:val="0"/>
          <w:sz w:val="24"/>
          <w:highlight w:val="none"/>
          <w:lang w:val="en-US" w:eastAsia="zh-CN"/>
        </w:rPr>
        <w:t>招标代理机构：驿大项目管理有限公司</w:t>
      </w:r>
    </w:p>
    <w:p w14:paraId="502285B0">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bCs/>
          <w:kern w:val="0"/>
          <w:sz w:val="24"/>
          <w:highlight w:val="none"/>
          <w:lang w:val="en-US" w:eastAsia="zh-CN"/>
        </w:rPr>
      </w:pPr>
      <w:r>
        <w:rPr>
          <w:rFonts w:hint="default" w:ascii="宋体" w:hAnsi="宋体" w:eastAsia="宋体" w:cs="宋体"/>
          <w:bCs/>
          <w:kern w:val="0"/>
          <w:sz w:val="24"/>
          <w:highlight w:val="none"/>
          <w:lang w:val="en-US" w:eastAsia="zh-CN"/>
        </w:rPr>
        <w:t>地    址：四川省成都金牛高新技术产业园区迎宾大道298号4栋603号</w:t>
      </w:r>
    </w:p>
    <w:p w14:paraId="3A19BA7D">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bCs/>
          <w:kern w:val="0"/>
          <w:sz w:val="24"/>
          <w:highlight w:val="none"/>
          <w:lang w:val="en-US" w:eastAsia="zh-CN"/>
        </w:rPr>
      </w:pPr>
      <w:r>
        <w:rPr>
          <w:rFonts w:hint="default" w:ascii="宋体" w:hAnsi="宋体" w:eastAsia="宋体" w:cs="宋体"/>
          <w:bCs/>
          <w:kern w:val="0"/>
          <w:sz w:val="24"/>
          <w:highlight w:val="none"/>
          <w:lang w:val="en-US" w:eastAsia="zh-CN"/>
        </w:rPr>
        <w:t>联 系 人：钟女士</w:t>
      </w:r>
    </w:p>
    <w:p w14:paraId="235000EA">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bCs/>
          <w:kern w:val="0"/>
          <w:sz w:val="24"/>
          <w:highlight w:val="none"/>
          <w:lang w:val="en-US" w:eastAsia="zh-CN"/>
        </w:rPr>
      </w:pPr>
      <w:r>
        <w:rPr>
          <w:rFonts w:hint="default" w:ascii="宋体" w:hAnsi="宋体" w:eastAsia="宋体" w:cs="宋体"/>
          <w:bCs/>
          <w:kern w:val="0"/>
          <w:sz w:val="24"/>
          <w:highlight w:val="none"/>
          <w:lang w:val="en-US" w:eastAsia="zh-CN"/>
        </w:rPr>
        <w:t>联系电话：18639781193</w:t>
      </w:r>
    </w:p>
    <w:p w14:paraId="6D10C647">
      <w:pPr>
        <w:keepNext w:val="0"/>
        <w:keepLines w:val="0"/>
        <w:pageBreakBefore w:val="0"/>
        <w:kinsoku/>
        <w:wordWrap/>
        <w:overflowPunct/>
        <w:topLinePunct w:val="0"/>
        <w:autoSpaceDE/>
        <w:autoSpaceDN/>
        <w:bidi w:val="0"/>
        <w:spacing w:line="360" w:lineRule="auto"/>
        <w:ind w:firstLine="480" w:firstLineChars="200"/>
        <w:outlineLvl w:val="1"/>
        <w:rPr>
          <w:rFonts w:hint="eastAsia" w:ascii="宋体" w:hAnsi="宋体" w:eastAsia="宋体" w:cs="宋体"/>
          <w:bCs/>
          <w:kern w:val="0"/>
          <w:sz w:val="24"/>
          <w:highlight w:val="none"/>
          <w:lang w:val="en-US" w:eastAsia="zh-CN"/>
        </w:rPr>
      </w:pPr>
      <w:bookmarkStart w:id="39" w:name="_Toc20037"/>
      <w:r>
        <w:rPr>
          <w:rFonts w:hint="eastAsia" w:ascii="宋体" w:hAnsi="宋体" w:eastAsia="宋体" w:cs="宋体"/>
          <w:bCs/>
          <w:kern w:val="0"/>
          <w:sz w:val="24"/>
          <w:highlight w:val="none"/>
          <w:lang w:val="en-US" w:eastAsia="zh-CN"/>
        </w:rPr>
        <w:t>3.监督单位信息</w:t>
      </w:r>
      <w:bookmarkEnd w:id="39"/>
    </w:p>
    <w:p w14:paraId="6503AFDA">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监督单位：灵宝市财政局政府采购监督管理科</w:t>
      </w:r>
    </w:p>
    <w:p w14:paraId="1DA096F7">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联系电话：0398-8852670</w:t>
      </w:r>
    </w:p>
    <w:p w14:paraId="255C21C2">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监督单位：灵宝市水利局</w:t>
      </w:r>
    </w:p>
    <w:p w14:paraId="6E2ABAE8">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kern w:val="0"/>
          <w:sz w:val="24"/>
          <w:highlight w:val="none"/>
          <w:lang w:val="en-US" w:eastAsia="zh-CN"/>
        </w:rPr>
      </w:pPr>
      <w:r>
        <w:rPr>
          <w:rFonts w:hint="eastAsia" w:ascii="宋体" w:hAnsi="宋体" w:eastAsia="宋体" w:cs="宋体"/>
          <w:bCs/>
          <w:kern w:val="0"/>
          <w:sz w:val="24"/>
          <w:highlight w:val="none"/>
          <w:lang w:val="en-US" w:eastAsia="zh-CN"/>
        </w:rPr>
        <w:t>联系电话：0398-8851903</w:t>
      </w:r>
    </w:p>
    <w:p w14:paraId="5403B071">
      <w:pPr>
        <w:jc w:val="center"/>
        <w:rPr>
          <w:rFonts w:hint="eastAsia" w:ascii="Calibri" w:hAnsi="Calibri" w:eastAsia="宋体" w:cs="Times New Roman"/>
          <w:b/>
          <w:bCs/>
          <w:kern w:val="44"/>
          <w:sz w:val="36"/>
          <w:szCs w:val="36"/>
          <w:lang w:val="en-US" w:eastAsia="zh-CN" w:bidi="ar-SA"/>
        </w:rPr>
      </w:pPr>
      <w:bookmarkStart w:id="40" w:name="_Toc9416"/>
      <w:r>
        <w:rPr>
          <w:rFonts w:hint="eastAsia" w:ascii="Calibri" w:hAnsi="Calibri" w:eastAsia="宋体" w:cs="Times New Roman"/>
          <w:b/>
          <w:bCs/>
          <w:kern w:val="44"/>
          <w:sz w:val="36"/>
          <w:szCs w:val="36"/>
          <w:lang w:val="en-US" w:eastAsia="zh-CN" w:bidi="ar-SA"/>
        </w:rPr>
        <w:t>第二章</w:t>
      </w:r>
      <w:r>
        <w:rPr>
          <w:rFonts w:hint="eastAsia" w:eastAsia="宋体" w:cs="Times New Roman"/>
          <w:b/>
          <w:bCs/>
          <w:kern w:val="44"/>
          <w:sz w:val="36"/>
          <w:szCs w:val="36"/>
          <w:lang w:val="en-US" w:eastAsia="zh-CN" w:bidi="ar-SA"/>
        </w:rPr>
        <w:t xml:space="preserve">  响应人</w:t>
      </w:r>
      <w:r>
        <w:rPr>
          <w:rFonts w:hint="eastAsia" w:ascii="Calibri" w:hAnsi="Calibri" w:eastAsia="宋体" w:cs="Times New Roman"/>
          <w:b/>
          <w:bCs/>
          <w:kern w:val="44"/>
          <w:sz w:val="36"/>
          <w:szCs w:val="36"/>
          <w:lang w:val="en-US" w:eastAsia="zh-CN" w:bidi="ar-SA"/>
        </w:rPr>
        <w:t>须知</w:t>
      </w:r>
      <w:bookmarkEnd w:id="40"/>
    </w:p>
    <w:p w14:paraId="4FA939C8">
      <w:pPr>
        <w:keepNext w:val="0"/>
        <w:keepLines w:val="0"/>
        <w:pageBreakBefore w:val="0"/>
        <w:widowControl w:val="0"/>
        <w:kinsoku/>
        <w:wordWrap/>
        <w:overflowPunct/>
        <w:topLinePunct w:val="0"/>
        <w:autoSpaceDE/>
        <w:autoSpaceDN/>
        <w:bidi w:val="0"/>
        <w:adjustRightInd w:val="0"/>
        <w:snapToGrid w:val="0"/>
        <w:spacing w:beforeAutospacing="0" w:line="360" w:lineRule="auto"/>
        <w:jc w:val="both"/>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响应人须知前附表</w:t>
      </w:r>
    </w:p>
    <w:tbl>
      <w:tblPr>
        <w:tblStyle w:val="16"/>
        <w:tblW w:w="9693" w:type="dxa"/>
        <w:jc w:val="center"/>
        <w:tblLayout w:type="fixed"/>
        <w:tblCellMar>
          <w:top w:w="0" w:type="dxa"/>
          <w:left w:w="108" w:type="dxa"/>
          <w:bottom w:w="0" w:type="dxa"/>
          <w:right w:w="108" w:type="dxa"/>
        </w:tblCellMar>
      </w:tblPr>
      <w:tblGrid>
        <w:gridCol w:w="1005"/>
        <w:gridCol w:w="2306"/>
        <w:gridCol w:w="6382"/>
      </w:tblGrid>
      <w:tr w14:paraId="033EB5B1">
        <w:tblPrEx>
          <w:tblCellMar>
            <w:top w:w="0" w:type="dxa"/>
            <w:left w:w="108" w:type="dxa"/>
            <w:bottom w:w="0" w:type="dxa"/>
            <w:right w:w="108" w:type="dxa"/>
          </w:tblCellMar>
        </w:tblPrEx>
        <w:trPr>
          <w:trHeight w:val="56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5BFD8E7">
            <w:pPr>
              <w:spacing w:line="440" w:lineRule="exact"/>
              <w:jc w:val="center"/>
              <w:rPr>
                <w:rFonts w:hint="eastAsia" w:ascii="宋体" w:hAnsi="宋体" w:eastAsia="宋体" w:cs="宋体"/>
                <w:b/>
                <w:color w:val="auto"/>
                <w:sz w:val="24"/>
                <w:szCs w:val="24"/>
              </w:rPr>
            </w:pPr>
            <w:bookmarkStart w:id="41" w:name="_Toc152042358"/>
            <w:bookmarkStart w:id="42" w:name="_Toc184"/>
            <w:bookmarkStart w:id="43" w:name="_Toc144974548"/>
            <w:bookmarkStart w:id="44" w:name="_Toc152045581"/>
            <w:bookmarkStart w:id="45" w:name="_Toc247085739"/>
            <w:bookmarkStart w:id="46" w:name="_Toc17439"/>
            <w:bookmarkStart w:id="47" w:name="_Toc32232"/>
            <w:bookmarkStart w:id="48" w:name="_Toc296602469"/>
            <w:bookmarkStart w:id="49" w:name="_Toc179632599"/>
            <w:r>
              <w:rPr>
                <w:rFonts w:hint="eastAsia" w:ascii="宋体" w:hAnsi="宋体" w:eastAsia="宋体" w:cs="宋体"/>
                <w:b/>
                <w:color w:val="auto"/>
                <w:sz w:val="24"/>
                <w:szCs w:val="24"/>
              </w:rPr>
              <w:t>条款号</w:t>
            </w: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6B01921">
            <w:pPr>
              <w:spacing w:line="44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条款名称</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14CA626">
            <w:pPr>
              <w:spacing w:line="44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编列内容</w:t>
            </w:r>
          </w:p>
        </w:tc>
      </w:tr>
      <w:tr w14:paraId="16758EFC">
        <w:tblPrEx>
          <w:tblCellMar>
            <w:top w:w="0" w:type="dxa"/>
            <w:left w:w="108" w:type="dxa"/>
            <w:bottom w:w="0" w:type="dxa"/>
            <w:right w:w="108" w:type="dxa"/>
          </w:tblCellMar>
        </w:tblPrEx>
        <w:trPr>
          <w:trHeight w:val="1187"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1BF0683">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D8E65F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采购人</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3623D87">
            <w:pPr>
              <w:widowControl/>
              <w:wordWrap w:val="0"/>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 购 人：灵宝市黄河河务局</w:t>
            </w:r>
          </w:p>
          <w:p w14:paraId="4833B4D8">
            <w:pPr>
              <w:widowControl/>
              <w:wordWrap w:val="0"/>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    址：灵宝市工业路9号</w:t>
            </w:r>
          </w:p>
          <w:p w14:paraId="0C104507">
            <w:pPr>
              <w:widowControl/>
              <w:wordWrap w:val="0"/>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联 系 人：樊女士</w:t>
            </w:r>
          </w:p>
          <w:p w14:paraId="02A239B6">
            <w:pPr>
              <w:widowControl/>
              <w:wordWrap w:val="0"/>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联系电话：0398-8780119</w:t>
            </w:r>
          </w:p>
        </w:tc>
      </w:tr>
      <w:tr w14:paraId="6368C0BE">
        <w:tblPrEx>
          <w:tblCellMar>
            <w:top w:w="0" w:type="dxa"/>
            <w:left w:w="108" w:type="dxa"/>
            <w:bottom w:w="0" w:type="dxa"/>
            <w:right w:w="108" w:type="dxa"/>
          </w:tblCellMar>
        </w:tblPrEx>
        <w:trPr>
          <w:trHeight w:val="1383"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7CC8F95B">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2653CFFD">
            <w:pPr>
              <w:widowControl/>
              <w:wordWrap w:val="0"/>
              <w:spacing w:line="360" w:lineRule="auto"/>
              <w:jc w:val="center"/>
              <w:rPr>
                <w:rFonts w:hint="eastAsia" w:ascii="宋体" w:hAnsi="宋体" w:eastAsia="宋体" w:cs="宋体"/>
                <w:color w:val="auto"/>
                <w:sz w:val="24"/>
                <w:szCs w:val="24"/>
              </w:rPr>
            </w:pPr>
            <w:r>
              <w:rPr>
                <w:rFonts w:hint="eastAsia" w:ascii="宋体" w:hAnsi="宋体" w:eastAsia="宋体" w:cs="宋体"/>
                <w:color w:val="000000"/>
                <w:kern w:val="0"/>
                <w:sz w:val="24"/>
                <w:szCs w:val="24"/>
                <w:highlight w:val="none"/>
                <w:lang w:eastAsia="zh-CN"/>
              </w:rPr>
              <w:t>采购代理机构</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23A93CE">
            <w:pPr>
              <w:widowControl/>
              <w:wordWrap w:val="0"/>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招标代理机构：驿大项目管理有限公司</w:t>
            </w:r>
          </w:p>
          <w:p w14:paraId="6AB69855">
            <w:pPr>
              <w:widowControl/>
              <w:wordWrap w:val="0"/>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地    址：四川省成都金牛高新技术产业园区迎宾大道298号4栋603号</w:t>
            </w:r>
          </w:p>
          <w:p w14:paraId="2C10AF04">
            <w:pPr>
              <w:widowControl/>
              <w:wordWrap w:val="0"/>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联 系 人：钟女士</w:t>
            </w:r>
          </w:p>
          <w:p w14:paraId="728FBA32">
            <w:pPr>
              <w:widowControl/>
              <w:wordWrap w:val="0"/>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联系电话：18639781193</w:t>
            </w:r>
          </w:p>
        </w:tc>
      </w:tr>
      <w:tr w14:paraId="7BE4CDEE">
        <w:tblPrEx>
          <w:tblCellMar>
            <w:top w:w="0" w:type="dxa"/>
            <w:left w:w="108" w:type="dxa"/>
            <w:bottom w:w="0" w:type="dxa"/>
            <w:right w:w="108" w:type="dxa"/>
          </w:tblCellMar>
        </w:tblPrEx>
        <w:trPr>
          <w:trHeight w:val="73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3C35483">
            <w:pPr>
              <w:numPr>
                <w:ilvl w:val="0"/>
                <w:numId w:val="1"/>
              </w:numPr>
              <w:spacing w:line="360" w:lineRule="auto"/>
              <w:ind w:left="425" w:leftChars="0" w:hanging="425" w:firstLineChars="0"/>
              <w:jc w:val="center"/>
              <w:rPr>
                <w:rFonts w:hint="eastAsia" w:ascii="宋体" w:hAnsi="宋体" w:eastAsia="宋体" w:cs="宋体"/>
                <w:color w:val="auto"/>
                <w:sz w:val="24"/>
                <w:szCs w:val="24"/>
                <w:lang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54F59B6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0CCFFB10">
            <w:pPr>
              <w:spacing w:line="240" w:lineRule="auto"/>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灵宝市移民农产品物流园建设项目监理服务</w:t>
            </w:r>
            <w:r>
              <w:rPr>
                <w:rFonts w:hint="eastAsia" w:ascii="宋体" w:hAnsi="宋体" w:eastAsia="宋体" w:cs="宋体"/>
                <w:color w:val="auto"/>
                <w:sz w:val="24"/>
                <w:szCs w:val="24"/>
              </w:rPr>
              <w:t xml:space="preserve"> </w:t>
            </w:r>
          </w:p>
        </w:tc>
      </w:tr>
      <w:tr w14:paraId="70CF8E18">
        <w:tblPrEx>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27E70F71">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23FC4C4">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项目概况</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A4E1213">
            <w:pPr>
              <w:spacing w:line="360" w:lineRule="auto"/>
              <w:jc w:val="left"/>
              <w:rPr>
                <w:rFonts w:hint="eastAsia" w:ascii="宋体" w:hAnsi="宋体" w:eastAsia="宋体" w:cs="宋体"/>
                <w:color w:val="auto"/>
                <w:sz w:val="24"/>
                <w:szCs w:val="24"/>
                <w:lang w:val="en-US" w:eastAsia="zh-CN"/>
              </w:rPr>
            </w:pPr>
            <w:r>
              <w:rPr>
                <w:rFonts w:hint="eastAsia" w:ascii="宋体" w:hAnsi="宋体" w:cs="宋体"/>
                <w:color w:val="auto"/>
                <w:kern w:val="0"/>
                <w:sz w:val="24"/>
                <w:szCs w:val="24"/>
                <w:highlight w:val="none"/>
                <w:lang w:val="en-US" w:eastAsia="zh-CN"/>
              </w:rPr>
              <w:t>灵宝市移民农产品物流园建设项目</w:t>
            </w:r>
            <w:r>
              <w:rPr>
                <w:rFonts w:hint="eastAsia" w:ascii="宋体" w:hAnsi="宋体" w:cs="宋体"/>
                <w:sz w:val="24"/>
                <w:szCs w:val="24"/>
                <w:highlight w:val="none"/>
                <w:lang w:val="en-US" w:eastAsia="zh-CN"/>
              </w:rPr>
              <w:t>监理服务</w:t>
            </w:r>
            <w:r>
              <w:rPr>
                <w:rFonts w:hint="eastAsia" w:ascii="宋体" w:hAnsi="宋体" w:eastAsia="宋体" w:cs="宋体"/>
                <w:kern w:val="0"/>
                <w:sz w:val="24"/>
                <w:szCs w:val="24"/>
                <w:highlight w:val="none"/>
                <w:lang w:val="en-US" w:eastAsia="zh-CN"/>
              </w:rPr>
              <w:t>，项目位于灵宝市</w:t>
            </w:r>
            <w:r>
              <w:rPr>
                <w:rFonts w:hint="eastAsia" w:ascii="宋体" w:hAnsi="宋体" w:cs="宋体"/>
                <w:kern w:val="0"/>
                <w:sz w:val="24"/>
                <w:szCs w:val="24"/>
                <w:highlight w:val="none"/>
                <w:lang w:val="en-US" w:eastAsia="zh-CN"/>
              </w:rPr>
              <w:t>川口镇；项目总规划用地面积3</w:t>
            </w:r>
            <w:r>
              <w:rPr>
                <w:rFonts w:hint="eastAsia" w:ascii="宋体" w:hAnsi="宋体" w:eastAsia="宋体" w:cs="宋体"/>
                <w:color w:val="auto"/>
                <w:sz w:val="24"/>
                <w:szCs w:val="24"/>
                <w:highlight w:val="none"/>
                <w:lang w:val="en-US" w:eastAsia="zh-CN"/>
              </w:rPr>
              <w:t>0732.00㎡，总建筑面积约30000.00㎡。施工内容包含农产品库房、低温冷库、管理用房、门卫室、机动车停车位等；本项目为磋商文件、施工图纸范围内和工程量清单所包含的全部内容施工</w:t>
            </w:r>
            <w:r>
              <w:rPr>
                <w:rFonts w:hint="eastAsia" w:ascii="宋体" w:hAnsi="宋体" w:eastAsia="宋体" w:cs="宋体"/>
                <w:color w:val="auto"/>
                <w:kern w:val="0"/>
                <w:sz w:val="24"/>
                <w:szCs w:val="24"/>
                <w:highlight w:val="none"/>
                <w:lang w:val="en-US" w:eastAsia="zh-CN"/>
              </w:rPr>
              <w:t>阶段、保修及缺陷责任期阶段提供全过程监理服务，具体详见磋商文件；</w:t>
            </w:r>
          </w:p>
        </w:tc>
      </w:tr>
      <w:tr w14:paraId="3E14D883">
        <w:tblPrEx>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5643C4B">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9578682">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标段划分</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0F0FFAC">
            <w:pPr>
              <w:spacing w:line="360" w:lineRule="auto"/>
              <w:jc w:val="left"/>
              <w:rPr>
                <w:rFonts w:hint="eastAsia" w:ascii="宋体" w:hAnsi="宋体" w:eastAsia="宋体" w:cs="宋体"/>
                <w:sz w:val="24"/>
                <w:szCs w:val="24"/>
                <w:lang w:val="en-US" w:eastAsia="zh-CN"/>
              </w:rPr>
            </w:pPr>
            <w:r>
              <w:rPr>
                <w:rFonts w:hint="eastAsia" w:ascii="宋体" w:hAnsi="宋体" w:cs="宋体"/>
                <w:snapToGrid w:val="0"/>
                <w:kern w:val="0"/>
                <w:sz w:val="24"/>
                <w:highlight w:val="none"/>
              </w:rPr>
              <w:t>见第一章“竞争性</w:t>
            </w:r>
            <w:r>
              <w:rPr>
                <w:rFonts w:hint="eastAsia" w:ascii="宋体" w:hAnsi="宋体" w:cs="宋体"/>
                <w:snapToGrid w:val="0"/>
                <w:kern w:val="0"/>
                <w:sz w:val="24"/>
                <w:highlight w:val="none"/>
                <w:lang w:val="en-US" w:eastAsia="zh-CN"/>
              </w:rPr>
              <w:t>磋商</w:t>
            </w:r>
            <w:r>
              <w:rPr>
                <w:rFonts w:hint="eastAsia" w:ascii="宋体" w:hAnsi="宋体" w:cs="宋体"/>
                <w:snapToGrid w:val="0"/>
                <w:kern w:val="0"/>
                <w:sz w:val="24"/>
                <w:highlight w:val="none"/>
              </w:rPr>
              <w:t>公告”</w:t>
            </w:r>
          </w:p>
        </w:tc>
      </w:tr>
      <w:tr w14:paraId="55EF1008">
        <w:tblPrEx>
          <w:tblCellMar>
            <w:top w:w="0" w:type="dxa"/>
            <w:left w:w="108" w:type="dxa"/>
            <w:bottom w:w="0" w:type="dxa"/>
            <w:right w:w="108" w:type="dxa"/>
          </w:tblCellMar>
        </w:tblPrEx>
        <w:trPr>
          <w:trHeight w:val="45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77FBC3D7">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CDDDF0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资金来源及比例</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42D5C0F">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财政</w:t>
            </w:r>
            <w:r>
              <w:rPr>
                <w:rFonts w:hint="eastAsia" w:ascii="宋体" w:hAnsi="宋体" w:eastAsia="宋体" w:cs="宋体"/>
                <w:color w:val="auto"/>
                <w:sz w:val="24"/>
                <w:szCs w:val="24"/>
                <w:lang w:val="en-US" w:eastAsia="zh-CN"/>
              </w:rPr>
              <w:t>资金</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100%</w:t>
            </w:r>
          </w:p>
        </w:tc>
      </w:tr>
      <w:tr w14:paraId="2C181A95">
        <w:tblPrEx>
          <w:tblCellMar>
            <w:top w:w="0" w:type="dxa"/>
            <w:left w:w="108" w:type="dxa"/>
            <w:bottom w:w="0" w:type="dxa"/>
            <w:right w:w="108" w:type="dxa"/>
          </w:tblCellMar>
        </w:tblPrEx>
        <w:trPr>
          <w:trHeight w:val="45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25286A13">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209CC3A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资金落实情况</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81EDA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已落实</w:t>
            </w:r>
          </w:p>
        </w:tc>
      </w:tr>
      <w:tr w14:paraId="1C45B7D1">
        <w:tblPrEx>
          <w:tblCellMar>
            <w:top w:w="0" w:type="dxa"/>
            <w:left w:w="108" w:type="dxa"/>
            <w:bottom w:w="0" w:type="dxa"/>
            <w:right w:w="108" w:type="dxa"/>
          </w:tblCellMar>
        </w:tblPrEx>
        <w:trPr>
          <w:trHeight w:val="45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B1E07B9">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29605E5B">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服务期</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A65C506">
            <w:pPr>
              <w:spacing w:line="360" w:lineRule="auto"/>
              <w:jc w:val="left"/>
              <w:rPr>
                <w:rFonts w:hint="eastAsia" w:ascii="宋体" w:hAnsi="宋体" w:eastAsia="宋体" w:cs="宋体"/>
                <w:color w:val="auto"/>
                <w:sz w:val="24"/>
                <w:szCs w:val="24"/>
                <w:lang w:val="en-US"/>
              </w:rPr>
            </w:pPr>
            <w:r>
              <w:rPr>
                <w:rFonts w:hint="eastAsia" w:ascii="宋体" w:hAnsi="宋体" w:cs="宋体"/>
                <w:snapToGrid w:val="0"/>
                <w:kern w:val="0"/>
                <w:sz w:val="24"/>
                <w:highlight w:val="none"/>
              </w:rPr>
              <w:t>见第一章“竞争性</w:t>
            </w:r>
            <w:r>
              <w:rPr>
                <w:rFonts w:hint="eastAsia" w:ascii="宋体" w:hAnsi="宋体" w:cs="宋体"/>
                <w:snapToGrid w:val="0"/>
                <w:kern w:val="0"/>
                <w:sz w:val="24"/>
                <w:highlight w:val="none"/>
                <w:lang w:val="en-US" w:eastAsia="zh-CN"/>
              </w:rPr>
              <w:t>磋商</w:t>
            </w:r>
            <w:r>
              <w:rPr>
                <w:rFonts w:hint="eastAsia" w:ascii="宋体" w:hAnsi="宋体" w:cs="宋体"/>
                <w:snapToGrid w:val="0"/>
                <w:kern w:val="0"/>
                <w:sz w:val="24"/>
                <w:highlight w:val="none"/>
              </w:rPr>
              <w:t>公告”</w:t>
            </w:r>
          </w:p>
        </w:tc>
      </w:tr>
      <w:tr w14:paraId="1A7B56FF">
        <w:tblPrEx>
          <w:tblCellMar>
            <w:top w:w="0" w:type="dxa"/>
            <w:left w:w="108" w:type="dxa"/>
            <w:bottom w:w="0" w:type="dxa"/>
            <w:right w:w="108" w:type="dxa"/>
          </w:tblCellMar>
        </w:tblPrEx>
        <w:trPr>
          <w:trHeight w:val="45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FFE5AA7">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5CFCB9D">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质量要求</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908AD03">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snapToGrid w:val="0"/>
                <w:kern w:val="0"/>
                <w:sz w:val="24"/>
                <w:highlight w:val="none"/>
              </w:rPr>
              <w:t>见第一章“竞争性</w:t>
            </w:r>
            <w:r>
              <w:rPr>
                <w:rFonts w:hint="eastAsia" w:ascii="宋体" w:hAnsi="宋体" w:cs="宋体"/>
                <w:snapToGrid w:val="0"/>
                <w:kern w:val="0"/>
                <w:sz w:val="24"/>
                <w:highlight w:val="none"/>
                <w:lang w:val="en-US" w:eastAsia="zh-CN"/>
              </w:rPr>
              <w:t>磋商</w:t>
            </w:r>
            <w:r>
              <w:rPr>
                <w:rFonts w:hint="eastAsia" w:ascii="宋体" w:hAnsi="宋体" w:cs="宋体"/>
                <w:snapToGrid w:val="0"/>
                <w:kern w:val="0"/>
                <w:sz w:val="24"/>
                <w:highlight w:val="none"/>
              </w:rPr>
              <w:t>公告”</w:t>
            </w:r>
          </w:p>
        </w:tc>
      </w:tr>
      <w:tr w14:paraId="7592D483">
        <w:tblPrEx>
          <w:tblCellMar>
            <w:top w:w="0" w:type="dxa"/>
            <w:left w:w="108" w:type="dxa"/>
            <w:bottom w:w="0" w:type="dxa"/>
            <w:right w:w="108" w:type="dxa"/>
          </w:tblCellMar>
        </w:tblPrEx>
        <w:trPr>
          <w:trHeight w:val="45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5098A97">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0DD34BC1">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地点</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ABA0122">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snapToGrid w:val="0"/>
                <w:kern w:val="0"/>
                <w:sz w:val="24"/>
                <w:highlight w:val="none"/>
              </w:rPr>
              <w:t>见第一章“竞争性</w:t>
            </w:r>
            <w:r>
              <w:rPr>
                <w:rFonts w:hint="eastAsia" w:ascii="宋体" w:hAnsi="宋体" w:cs="宋体"/>
                <w:snapToGrid w:val="0"/>
                <w:kern w:val="0"/>
                <w:sz w:val="24"/>
                <w:highlight w:val="none"/>
                <w:lang w:val="en-US" w:eastAsia="zh-CN"/>
              </w:rPr>
              <w:t>磋商</w:t>
            </w:r>
            <w:r>
              <w:rPr>
                <w:rFonts w:hint="eastAsia" w:ascii="宋体" w:hAnsi="宋体" w:cs="宋体"/>
                <w:snapToGrid w:val="0"/>
                <w:kern w:val="0"/>
                <w:sz w:val="24"/>
                <w:highlight w:val="none"/>
              </w:rPr>
              <w:t>公告”</w:t>
            </w:r>
          </w:p>
        </w:tc>
      </w:tr>
      <w:tr w14:paraId="003CA30C">
        <w:tblPrEx>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00D3ECB">
            <w:pPr>
              <w:numPr>
                <w:ilvl w:val="0"/>
                <w:numId w:val="1"/>
              </w:numPr>
              <w:spacing w:line="360" w:lineRule="auto"/>
              <w:ind w:left="425" w:leftChars="0" w:hanging="425" w:firstLineChars="0"/>
              <w:jc w:val="center"/>
              <w:rPr>
                <w:rFonts w:hint="eastAsia" w:ascii="宋体" w:hAnsi="宋体" w:eastAsia="宋体" w:cs="宋体"/>
                <w:color w:val="auto"/>
                <w:sz w:val="24"/>
                <w:szCs w:val="24"/>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0B2367AE">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响应人的资质、能力和应具备条件</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DA5B4C0">
            <w:pPr>
              <w:spacing w:line="360" w:lineRule="auto"/>
              <w:jc w:val="both"/>
              <w:rPr>
                <w:rFonts w:hint="eastAsia" w:ascii="宋体" w:hAnsi="宋体" w:eastAsia="宋体" w:cs="宋体"/>
                <w:color w:val="auto"/>
                <w:kern w:val="0"/>
                <w:sz w:val="24"/>
                <w:szCs w:val="24"/>
                <w:lang w:val="en-US" w:eastAsia="zh-CN" w:bidi="ar"/>
              </w:rPr>
            </w:pPr>
            <w:r>
              <w:rPr>
                <w:rFonts w:hint="eastAsia" w:ascii="宋体" w:hAnsi="宋体" w:eastAsia="宋体" w:cs="宋体"/>
                <w:sz w:val="24"/>
                <w:szCs w:val="24"/>
                <w:highlight w:val="none"/>
                <w:lang w:val="en-US" w:eastAsia="zh-CN"/>
              </w:rPr>
              <w:t>同</w:t>
            </w:r>
            <w:r>
              <w:rPr>
                <w:rFonts w:hint="eastAsia" w:ascii="宋体" w:hAnsi="宋体" w:cs="宋体"/>
                <w:sz w:val="24"/>
                <w:szCs w:val="24"/>
                <w:highlight w:val="none"/>
                <w:lang w:val="en-US" w:eastAsia="zh-CN"/>
              </w:rPr>
              <w:t>磋商</w:t>
            </w:r>
            <w:r>
              <w:rPr>
                <w:rFonts w:hint="eastAsia" w:ascii="宋体" w:hAnsi="宋体" w:eastAsia="宋体" w:cs="宋体"/>
                <w:sz w:val="24"/>
                <w:szCs w:val="24"/>
                <w:highlight w:val="none"/>
                <w:lang w:val="en-US" w:eastAsia="zh-CN"/>
              </w:rPr>
              <w:t>公告</w:t>
            </w:r>
          </w:p>
        </w:tc>
      </w:tr>
      <w:bookmarkEnd w:id="41"/>
      <w:bookmarkEnd w:id="42"/>
      <w:bookmarkEnd w:id="43"/>
      <w:bookmarkEnd w:id="44"/>
      <w:bookmarkEnd w:id="45"/>
      <w:bookmarkEnd w:id="46"/>
      <w:bookmarkEnd w:id="47"/>
      <w:bookmarkEnd w:id="48"/>
      <w:bookmarkEnd w:id="49"/>
      <w:tr w14:paraId="4BAB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6E87963">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bookmarkStart w:id="50" w:name="_Toc6992"/>
            <w:bookmarkStart w:id="51" w:name="_Toc488052441"/>
            <w:bookmarkStart w:id="52" w:name="_Toc31207"/>
            <w:bookmarkStart w:id="53" w:name="_Toc6680"/>
            <w:bookmarkStart w:id="54" w:name="_Toc4178"/>
            <w:bookmarkStart w:id="55" w:name="_Toc24910"/>
            <w:bookmarkStart w:id="56" w:name="_Toc7083"/>
            <w:bookmarkStart w:id="57" w:name="_Toc13407"/>
            <w:bookmarkStart w:id="58" w:name="_Toc21555"/>
            <w:bookmarkStart w:id="59" w:name="_Toc247085767"/>
            <w:bookmarkStart w:id="60" w:name="_Toc144974577"/>
            <w:bookmarkStart w:id="61" w:name="_Toc179632627"/>
            <w:bookmarkStart w:id="62" w:name="_Toc152042387"/>
            <w:bookmarkStart w:id="63" w:name="_Toc246996252"/>
            <w:bookmarkStart w:id="64" w:name="_Toc152045609"/>
            <w:bookmarkStart w:id="65" w:name="_Toc246996995"/>
            <w:bookmarkStart w:id="66" w:name="_Toc296602497"/>
            <w:bookmarkStart w:id="67" w:name="_Toc17064"/>
          </w:p>
        </w:tc>
        <w:tc>
          <w:tcPr>
            <w:tcW w:w="2306" w:type="dxa"/>
            <w:tcBorders>
              <w:top w:val="single" w:color="auto" w:sz="4" w:space="0"/>
              <w:left w:val="single" w:color="auto" w:sz="4" w:space="0"/>
              <w:bottom w:val="single" w:color="auto" w:sz="4" w:space="0"/>
              <w:right w:val="single" w:color="auto" w:sz="4" w:space="0"/>
            </w:tcBorders>
            <w:noWrap w:val="0"/>
            <w:vAlign w:val="center"/>
          </w:tcPr>
          <w:p w14:paraId="50C8F088">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是否接受联合体参加磋商</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11C9927">
            <w:pPr>
              <w:widowControl/>
              <w:wordWrap w:val="0"/>
              <w:spacing w:line="360" w:lineRule="auto"/>
              <w:jc w:val="both"/>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■不接受</w:t>
            </w:r>
          </w:p>
        </w:tc>
      </w:tr>
      <w:tr w14:paraId="749B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05E7485">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267854FC">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踏勘现场</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3B5BB2F">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lang w:eastAsia="zh-CN"/>
              </w:rPr>
              <w:t>不组织</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响应人</w:t>
            </w:r>
            <w:r>
              <w:rPr>
                <w:rFonts w:hint="eastAsia" w:ascii="宋体" w:hAnsi="宋体" w:eastAsia="宋体" w:cs="宋体"/>
                <w:sz w:val="24"/>
                <w:szCs w:val="24"/>
                <w:highlight w:val="none"/>
              </w:rPr>
              <w:t>自行踏勘，所发生的人员伤亡和财产损失自己承担。</w:t>
            </w:r>
          </w:p>
        </w:tc>
      </w:tr>
      <w:tr w14:paraId="1084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2FF51FD">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227E11E">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答疑会</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2F6B5D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lang w:eastAsia="zh-CN"/>
              </w:rPr>
              <w:t>不召开</w:t>
            </w:r>
          </w:p>
        </w:tc>
      </w:tr>
      <w:tr w14:paraId="2E0C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AC4E88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42AEA19">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分包</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8262CB1">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lang w:eastAsia="zh-CN"/>
              </w:rPr>
              <w:t>不允许</w:t>
            </w:r>
          </w:p>
        </w:tc>
      </w:tr>
      <w:tr w14:paraId="319D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5A823B1">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3D9C754">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实质性偏差</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AC34734">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lang w:eastAsia="zh-CN"/>
              </w:rPr>
              <w:t>不允许</w:t>
            </w:r>
          </w:p>
        </w:tc>
      </w:tr>
      <w:tr w14:paraId="6B20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9B521AE">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6C458AF">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是否接受选择性报价方案</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C2CEA5B">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不接受：首次响应文件只允许一个报价方案</w:t>
            </w:r>
          </w:p>
        </w:tc>
      </w:tr>
      <w:tr w14:paraId="042F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B67773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7B832CB">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最高限价（</w:t>
            </w:r>
            <w:r>
              <w:rPr>
                <w:rFonts w:hint="eastAsia" w:ascii="宋体" w:hAnsi="宋体" w:eastAsia="宋体" w:cs="宋体"/>
                <w:kern w:val="44"/>
                <w:sz w:val="24"/>
                <w:szCs w:val="24"/>
                <w:highlight w:val="none"/>
              </w:rPr>
              <w:t>招标控制价</w:t>
            </w:r>
            <w:r>
              <w:rPr>
                <w:rFonts w:hint="eastAsia" w:ascii="宋体" w:hAnsi="宋体" w:eastAsia="宋体" w:cs="宋体"/>
                <w:color w:val="000000"/>
                <w:kern w:val="0"/>
                <w:sz w:val="24"/>
                <w:szCs w:val="24"/>
                <w:highlight w:val="none"/>
                <w:lang w:eastAsia="zh-CN"/>
              </w:rPr>
              <w:t>）</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B6F47DE">
            <w:pPr>
              <w:widowControl/>
              <w:spacing w:line="360" w:lineRule="auto"/>
              <w:ind w:firstLine="240" w:firstLineChars="100"/>
              <w:jc w:val="left"/>
              <w:rPr>
                <w:rFonts w:hint="eastAsia" w:ascii="宋体" w:hAnsi="宋体" w:eastAsia="宋体" w:cs="宋体"/>
                <w:kern w:val="44"/>
                <w:sz w:val="24"/>
                <w:szCs w:val="24"/>
                <w:highlight w:val="none"/>
                <w:lang w:eastAsia="zh-CN"/>
              </w:rPr>
            </w:pPr>
            <w:r>
              <w:rPr>
                <w:rFonts w:hint="eastAsia" w:ascii="宋体" w:hAnsi="宋体" w:eastAsia="宋体" w:cs="宋体"/>
                <w:kern w:val="44"/>
                <w:sz w:val="24"/>
                <w:szCs w:val="24"/>
                <w:highlight w:val="none"/>
              </w:rPr>
              <w:t>本项目</w:t>
            </w:r>
            <w:r>
              <w:rPr>
                <w:rFonts w:hint="eastAsia" w:ascii="宋体" w:hAnsi="宋体" w:eastAsia="宋体" w:cs="宋体"/>
                <w:kern w:val="44"/>
                <w:sz w:val="24"/>
                <w:szCs w:val="24"/>
                <w:highlight w:val="none"/>
                <w:lang w:val="en-US" w:eastAsia="zh-CN"/>
              </w:rPr>
              <w:t>设有</w:t>
            </w:r>
            <w:r>
              <w:rPr>
                <w:rFonts w:hint="eastAsia" w:ascii="宋体" w:hAnsi="宋体" w:eastAsia="宋体" w:cs="宋体"/>
                <w:kern w:val="44"/>
                <w:sz w:val="24"/>
                <w:szCs w:val="24"/>
                <w:highlight w:val="none"/>
                <w:lang w:eastAsia="zh-CN"/>
              </w:rPr>
              <w:t>（</w:t>
            </w:r>
            <w:r>
              <w:rPr>
                <w:rFonts w:hint="eastAsia" w:ascii="宋体" w:hAnsi="宋体" w:eastAsia="宋体" w:cs="宋体"/>
                <w:color w:val="000000"/>
                <w:kern w:val="0"/>
                <w:sz w:val="24"/>
                <w:szCs w:val="24"/>
                <w:highlight w:val="none"/>
                <w:lang w:eastAsia="zh-CN"/>
              </w:rPr>
              <w:t>最高限价</w:t>
            </w:r>
            <w:r>
              <w:rPr>
                <w:rFonts w:hint="eastAsia" w:ascii="宋体" w:hAnsi="宋体" w:eastAsia="宋体" w:cs="宋体"/>
                <w:kern w:val="44"/>
                <w:sz w:val="24"/>
                <w:szCs w:val="24"/>
                <w:highlight w:val="none"/>
                <w:lang w:eastAsia="zh-CN"/>
              </w:rPr>
              <w:t>）</w:t>
            </w:r>
            <w:r>
              <w:rPr>
                <w:rFonts w:hint="eastAsia" w:ascii="宋体" w:hAnsi="宋体" w:eastAsia="宋体" w:cs="宋体"/>
                <w:kern w:val="44"/>
                <w:sz w:val="24"/>
                <w:szCs w:val="24"/>
                <w:highlight w:val="none"/>
              </w:rPr>
              <w:t>招标控制价</w:t>
            </w:r>
            <w:r>
              <w:rPr>
                <w:rFonts w:hint="eastAsia" w:ascii="宋体" w:hAnsi="宋体" w:eastAsia="宋体" w:cs="宋体"/>
                <w:kern w:val="44"/>
                <w:sz w:val="24"/>
                <w:szCs w:val="24"/>
                <w:highlight w:val="none"/>
                <w:lang w:eastAsia="zh-CN"/>
              </w:rPr>
              <w:t>：</w:t>
            </w:r>
          </w:p>
          <w:p w14:paraId="5BFE8B24">
            <w:pPr>
              <w:widowControl/>
              <w:wordWrap w:val="0"/>
              <w:spacing w:line="360" w:lineRule="auto"/>
              <w:jc w:val="left"/>
              <w:rPr>
                <w:rFonts w:hint="eastAsia" w:ascii="宋体" w:hAnsi="宋体" w:cs="宋体"/>
                <w:b/>
                <w:bCs/>
                <w:kern w:val="44"/>
                <w:sz w:val="24"/>
                <w:szCs w:val="24"/>
                <w:highlight w:val="none"/>
                <w:lang w:val="en-US" w:eastAsia="zh-CN"/>
              </w:rPr>
            </w:pPr>
            <w:r>
              <w:rPr>
                <w:rFonts w:hint="eastAsia" w:ascii="宋体" w:hAnsi="宋体" w:cs="宋体"/>
                <w:b/>
                <w:bCs/>
                <w:kern w:val="44"/>
                <w:sz w:val="24"/>
                <w:szCs w:val="24"/>
                <w:highlight w:val="none"/>
                <w:lang w:val="en-US" w:eastAsia="zh-CN"/>
              </w:rPr>
              <w:t>大写：肆拾捌万捌仟捌佰零贰元整；（小写：</w:t>
            </w:r>
            <w:r>
              <w:rPr>
                <w:rFonts w:hint="eastAsia" w:ascii="宋体" w:hAnsi="宋体" w:eastAsia="宋体" w:cs="宋体"/>
                <w:b/>
                <w:bCs/>
                <w:kern w:val="44"/>
                <w:sz w:val="24"/>
                <w:szCs w:val="24"/>
                <w:highlight w:val="none"/>
                <w:lang w:val="en-US" w:eastAsia="zh-CN"/>
              </w:rPr>
              <w:t>488802.00</w:t>
            </w:r>
            <w:r>
              <w:rPr>
                <w:rFonts w:hint="eastAsia" w:ascii="宋体" w:hAnsi="宋体" w:cs="宋体"/>
                <w:b/>
                <w:bCs/>
                <w:kern w:val="44"/>
                <w:sz w:val="24"/>
                <w:szCs w:val="24"/>
                <w:highlight w:val="none"/>
                <w:lang w:val="en-US" w:eastAsia="zh-CN"/>
              </w:rPr>
              <w:t>元）</w:t>
            </w:r>
          </w:p>
          <w:p w14:paraId="5B6CE7CD">
            <w:pPr>
              <w:widowControl/>
              <w:wordWrap w:val="0"/>
              <w:spacing w:line="360" w:lineRule="auto"/>
              <w:jc w:val="left"/>
              <w:rPr>
                <w:rFonts w:hint="eastAsia" w:ascii="宋体" w:hAnsi="宋体" w:eastAsia="宋体" w:cs="宋体"/>
                <w:kern w:val="44"/>
                <w:sz w:val="24"/>
                <w:szCs w:val="24"/>
                <w:highlight w:val="none"/>
              </w:rPr>
            </w:pPr>
            <w:r>
              <w:rPr>
                <w:rFonts w:hint="eastAsia" w:ascii="宋体" w:hAnsi="宋体" w:eastAsia="宋体" w:cs="宋体"/>
                <w:b/>
                <w:bCs/>
                <w:kern w:val="44"/>
                <w:sz w:val="24"/>
                <w:szCs w:val="24"/>
                <w:highlight w:val="none"/>
                <w:lang w:val="en-US" w:eastAsia="zh-CN"/>
              </w:rPr>
              <w:t>注：</w:t>
            </w:r>
            <w:r>
              <w:rPr>
                <w:rFonts w:hint="eastAsia" w:ascii="宋体" w:hAnsi="宋体" w:eastAsia="宋体" w:cs="宋体"/>
                <w:kern w:val="44"/>
                <w:sz w:val="24"/>
                <w:szCs w:val="24"/>
                <w:highlight w:val="none"/>
              </w:rPr>
              <w:t>本</w:t>
            </w:r>
            <w:r>
              <w:rPr>
                <w:rFonts w:hint="eastAsia" w:ascii="宋体" w:hAnsi="宋体" w:eastAsia="宋体" w:cs="宋体"/>
                <w:kern w:val="44"/>
                <w:sz w:val="24"/>
                <w:szCs w:val="24"/>
                <w:highlight w:val="none"/>
                <w:lang w:val="en-US" w:eastAsia="zh-CN"/>
              </w:rPr>
              <w:t>项目招标方式为</w:t>
            </w:r>
            <w:r>
              <w:rPr>
                <w:rFonts w:hint="eastAsia" w:ascii="宋体" w:hAnsi="宋体" w:eastAsia="宋体" w:cs="宋体"/>
                <w:kern w:val="44"/>
                <w:sz w:val="24"/>
                <w:szCs w:val="24"/>
                <w:highlight w:val="none"/>
              </w:rPr>
              <w:t>竞争性磋商</w:t>
            </w:r>
            <w:r>
              <w:rPr>
                <w:rFonts w:hint="eastAsia" w:ascii="宋体" w:hAnsi="宋体" w:eastAsia="宋体" w:cs="宋体"/>
                <w:kern w:val="44"/>
                <w:sz w:val="24"/>
                <w:szCs w:val="24"/>
                <w:highlight w:val="none"/>
                <w:lang w:eastAsia="zh-CN"/>
              </w:rPr>
              <w:t>，</w:t>
            </w:r>
            <w:r>
              <w:rPr>
                <w:rFonts w:hint="eastAsia" w:ascii="宋体" w:hAnsi="宋体" w:eastAsia="宋体" w:cs="宋体"/>
                <w:kern w:val="44"/>
                <w:sz w:val="24"/>
                <w:szCs w:val="24"/>
                <w:highlight w:val="none"/>
              </w:rPr>
              <w:t>分为</w:t>
            </w:r>
            <w:r>
              <w:rPr>
                <w:rFonts w:hint="eastAsia" w:ascii="宋体" w:hAnsi="宋体" w:eastAsia="宋体" w:cs="宋体"/>
                <w:b/>
                <w:bCs/>
                <w:kern w:val="44"/>
                <w:sz w:val="24"/>
                <w:szCs w:val="24"/>
                <w:highlight w:val="none"/>
              </w:rPr>
              <w:t>两轮</w:t>
            </w:r>
            <w:r>
              <w:rPr>
                <w:rFonts w:hint="eastAsia" w:ascii="宋体" w:hAnsi="宋体" w:eastAsia="宋体" w:cs="宋体"/>
                <w:kern w:val="44"/>
                <w:sz w:val="24"/>
                <w:szCs w:val="24"/>
                <w:highlight w:val="none"/>
              </w:rPr>
              <w:t>报价。</w:t>
            </w:r>
            <w:r>
              <w:rPr>
                <w:rFonts w:hint="eastAsia" w:ascii="宋体" w:hAnsi="宋体" w:eastAsia="宋体" w:cs="宋体"/>
                <w:kern w:val="44"/>
                <w:sz w:val="24"/>
                <w:szCs w:val="24"/>
                <w:highlight w:val="none"/>
                <w:lang w:eastAsia="zh-CN"/>
              </w:rPr>
              <w:t>响应人响应文件</w:t>
            </w:r>
            <w:r>
              <w:rPr>
                <w:rFonts w:hint="eastAsia" w:ascii="宋体" w:hAnsi="宋体" w:eastAsia="宋体" w:cs="宋体"/>
                <w:kern w:val="44"/>
                <w:sz w:val="24"/>
                <w:szCs w:val="24"/>
                <w:highlight w:val="none"/>
              </w:rPr>
              <w:t>中的报价作为第一次报价，不得高于项目预算金额且不公开；第二轮报价不得高于第一轮报价</w:t>
            </w:r>
            <w:r>
              <w:rPr>
                <w:rFonts w:hint="eastAsia" w:ascii="宋体" w:hAnsi="宋体" w:cs="宋体"/>
                <w:kern w:val="44"/>
                <w:sz w:val="24"/>
                <w:szCs w:val="24"/>
                <w:highlight w:val="none"/>
                <w:lang w:eastAsia="zh-CN"/>
              </w:rPr>
              <w:t>，</w:t>
            </w:r>
            <w:r>
              <w:rPr>
                <w:rFonts w:hint="eastAsia" w:ascii="宋体" w:hAnsi="宋体" w:eastAsia="宋体" w:cs="宋体"/>
                <w:kern w:val="44"/>
                <w:sz w:val="24"/>
                <w:szCs w:val="24"/>
                <w:highlight w:val="none"/>
              </w:rPr>
              <w:t>参与评标报价以最终报价为准。</w:t>
            </w:r>
          </w:p>
          <w:p w14:paraId="0103C9BF">
            <w:pPr>
              <w:pStyle w:val="4"/>
              <w:spacing w:line="36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b/>
                <w:bCs/>
                <w:color w:val="000000"/>
                <w:kern w:val="0"/>
                <w:sz w:val="24"/>
                <w:szCs w:val="24"/>
                <w:highlight w:val="none"/>
                <w:lang w:val="en-US" w:eastAsia="zh-CN" w:bidi="ar-SA"/>
              </w:rPr>
              <w:t>投标报价应包含为完成本项目所需要的全部费用和税金。包括但不限于监理工作所需的办公、生活设施、劳务费、技术服务费、测量、试验检测、交通、通讯、保险、税费和利润等与监理业务有关的一切费用。供应商应充分了解该项目的总体情况以及影响报价的其他要素，任何因对项目的情况了解不足或考虑不周，而导致的工期和费用增加，由供应商自行承担。</w:t>
            </w:r>
          </w:p>
        </w:tc>
      </w:tr>
      <w:tr w14:paraId="77E5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vMerge w:val="restart"/>
            <w:tcBorders>
              <w:top w:val="single" w:color="auto" w:sz="4" w:space="0"/>
              <w:left w:val="single" w:color="auto" w:sz="4" w:space="0"/>
              <w:bottom w:val="single" w:color="auto" w:sz="4" w:space="0"/>
              <w:right w:val="single" w:color="auto" w:sz="4" w:space="0"/>
            </w:tcBorders>
            <w:noWrap w:val="0"/>
            <w:vAlign w:val="center"/>
          </w:tcPr>
          <w:p w14:paraId="4B9B1862">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vMerge w:val="restart"/>
            <w:tcBorders>
              <w:top w:val="single" w:color="auto" w:sz="4" w:space="0"/>
              <w:left w:val="single" w:color="auto" w:sz="4" w:space="0"/>
              <w:bottom w:val="single" w:color="auto" w:sz="4" w:space="0"/>
              <w:right w:val="single" w:color="auto" w:sz="4" w:space="0"/>
            </w:tcBorders>
            <w:noWrap w:val="0"/>
            <w:vAlign w:val="center"/>
          </w:tcPr>
          <w:p w14:paraId="30BFDD78">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采购</w:t>
            </w:r>
            <w:r>
              <w:rPr>
                <w:rFonts w:hint="eastAsia" w:ascii="宋体" w:hAnsi="宋体" w:eastAsia="宋体" w:cs="宋体"/>
                <w:color w:val="000000"/>
                <w:kern w:val="0"/>
                <w:sz w:val="24"/>
                <w:szCs w:val="24"/>
                <w:highlight w:val="none"/>
                <w:lang w:eastAsia="zh-CN"/>
              </w:rPr>
              <w:t>人书面澄清的时间</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0C1A5AB">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时间：提交首次响应文件截止时间前5日</w:t>
            </w:r>
          </w:p>
        </w:tc>
      </w:tr>
      <w:tr w14:paraId="7B23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vMerge w:val="continue"/>
            <w:tcBorders>
              <w:top w:val="single" w:color="auto" w:sz="4" w:space="0"/>
              <w:left w:val="single" w:color="auto" w:sz="4" w:space="0"/>
              <w:bottom w:val="single" w:color="auto" w:sz="4" w:space="0"/>
              <w:right w:val="single" w:color="auto" w:sz="4" w:space="0"/>
            </w:tcBorders>
            <w:noWrap w:val="0"/>
            <w:vAlign w:val="center"/>
          </w:tcPr>
          <w:p w14:paraId="78DAD4BD">
            <w:pPr>
              <w:widowControl/>
              <w:wordWrap w:val="0"/>
              <w:spacing w:line="360" w:lineRule="auto"/>
              <w:jc w:val="center"/>
              <w:rPr>
                <w:rFonts w:hint="eastAsia" w:ascii="宋体" w:hAnsi="宋体" w:eastAsia="宋体" w:cs="宋体"/>
                <w:color w:val="000000"/>
                <w:kern w:val="0"/>
                <w:sz w:val="24"/>
                <w:szCs w:val="24"/>
                <w:highlight w:val="none"/>
                <w:lang w:eastAsia="zh-CN"/>
              </w:rPr>
            </w:pPr>
          </w:p>
        </w:tc>
        <w:tc>
          <w:tcPr>
            <w:tcW w:w="2306" w:type="dxa"/>
            <w:vMerge w:val="continue"/>
            <w:tcBorders>
              <w:top w:val="single" w:color="auto" w:sz="4" w:space="0"/>
              <w:left w:val="single" w:color="auto" w:sz="4" w:space="0"/>
              <w:bottom w:val="single" w:color="auto" w:sz="4" w:space="0"/>
              <w:right w:val="single" w:color="auto" w:sz="4" w:space="0"/>
            </w:tcBorders>
            <w:noWrap w:val="0"/>
            <w:vAlign w:val="center"/>
          </w:tcPr>
          <w:p w14:paraId="72131796">
            <w:pPr>
              <w:widowControl/>
              <w:wordWrap w:val="0"/>
              <w:spacing w:line="360" w:lineRule="auto"/>
              <w:jc w:val="center"/>
              <w:rPr>
                <w:rFonts w:hint="eastAsia" w:ascii="宋体" w:hAnsi="宋体" w:eastAsia="宋体" w:cs="宋体"/>
                <w:color w:val="000000"/>
                <w:kern w:val="0"/>
                <w:sz w:val="24"/>
                <w:szCs w:val="24"/>
                <w:highlight w:val="none"/>
                <w:lang w:eastAsia="zh-CN"/>
              </w:rPr>
            </w:pP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57E8C80">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形式：在三门峡市公共资源电子招标投标交易平台提出</w:t>
            </w:r>
          </w:p>
        </w:tc>
      </w:tr>
      <w:tr w14:paraId="73C7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402A602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E2B203E">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竞争性磋商文件澄清发出的形式</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CC8117C">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通过三门峡市公共资源电子招标投标交易平台发布且同时在原公告媒体发布澄清公告</w:t>
            </w:r>
          </w:p>
        </w:tc>
      </w:tr>
      <w:tr w14:paraId="459C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4B656F5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60456B4">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竞争性磋商文件修改发出的形式</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E3CCAF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通过三门峡市公共资源电子招标投标交易平台发布且同时在原公告媒体发布变更公告</w:t>
            </w:r>
          </w:p>
        </w:tc>
      </w:tr>
      <w:tr w14:paraId="761A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D74E957">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41F57877">
            <w:pPr>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highlight w:val="none"/>
                <w:lang w:val="en-US" w:eastAsia="zh-CN"/>
              </w:rPr>
              <w:t>确认收到磋商文件澄清或者修改</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B0F181D">
            <w:pPr>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highlight w:val="none"/>
                <w:lang w:val="en-US" w:eastAsia="zh-CN"/>
              </w:rPr>
              <w:t>响应人在响应截止时间前须自行查看在原公告发布媒体上发布的澄清或修改公告，因响应人未及时查看而造成的后果自负。</w:t>
            </w:r>
          </w:p>
        </w:tc>
      </w:tr>
      <w:tr w14:paraId="0CE0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43B5EC68">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742C400">
            <w:pPr>
              <w:widowControl/>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构成竞争性磋商文件的其他材料</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3502BBAF">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答疑纪要、竞争性磋商文件的补充和修改文件（如有）、</w:t>
            </w:r>
            <w:r>
              <w:rPr>
                <w:rFonts w:hint="eastAsia" w:ascii="宋体" w:hAnsi="宋体" w:eastAsia="宋体" w:cs="宋体"/>
                <w:sz w:val="24"/>
                <w:szCs w:val="24"/>
                <w:highlight w:val="none"/>
                <w:lang w:val="en-US" w:eastAsia="zh-CN"/>
              </w:rPr>
              <w:t>图纸、</w:t>
            </w:r>
            <w:r>
              <w:rPr>
                <w:rFonts w:hint="eastAsia" w:ascii="宋体" w:hAnsi="宋体" w:eastAsia="宋体" w:cs="宋体"/>
                <w:sz w:val="24"/>
                <w:szCs w:val="24"/>
                <w:highlight w:val="none"/>
              </w:rPr>
              <w:t>工程量清单</w:t>
            </w:r>
            <w:r>
              <w:rPr>
                <w:rFonts w:hint="eastAsia" w:ascii="宋体" w:hAnsi="宋体" w:eastAsia="宋体" w:cs="宋体"/>
                <w:sz w:val="24"/>
                <w:szCs w:val="24"/>
                <w:highlight w:val="none"/>
                <w:lang w:eastAsia="zh-CN"/>
              </w:rPr>
              <w:t>、招标控制价</w:t>
            </w:r>
            <w:r>
              <w:rPr>
                <w:rFonts w:hint="eastAsia" w:ascii="宋体" w:hAnsi="宋体" w:eastAsia="宋体" w:cs="宋体"/>
                <w:sz w:val="24"/>
                <w:szCs w:val="24"/>
                <w:highlight w:val="none"/>
              </w:rPr>
              <w:t>等。</w:t>
            </w:r>
          </w:p>
        </w:tc>
      </w:tr>
      <w:tr w14:paraId="3268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04FF59A">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43A186FC">
            <w:pPr>
              <w:widowControl/>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eastAsia="zh-CN"/>
              </w:rPr>
              <w:t>磋商保证金</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3CC3F0FD">
            <w:pPr>
              <w:widowControl/>
              <w:wordWrap w:val="0"/>
              <w:spacing w:line="360" w:lineRule="auto"/>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eastAsia="zh-CN"/>
              </w:rPr>
              <w:t>根据《河南省财政厅关于优化政府采购营商环境有关问题的通知》（豫财购【2019】4号）第6条的规定，磋商保证金不再收取。</w:t>
            </w:r>
          </w:p>
        </w:tc>
      </w:tr>
      <w:tr w14:paraId="536B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6CC0022">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9E65331">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磋商有效期</w:t>
            </w:r>
          </w:p>
        </w:tc>
        <w:tc>
          <w:tcPr>
            <w:tcW w:w="6382" w:type="dxa"/>
            <w:tcBorders>
              <w:top w:val="single" w:color="auto" w:sz="4" w:space="0"/>
              <w:left w:val="single" w:color="auto" w:sz="4" w:space="0"/>
              <w:bottom w:val="single" w:color="auto" w:sz="4" w:space="0"/>
              <w:right w:val="single" w:color="auto" w:sz="4" w:space="0"/>
            </w:tcBorders>
            <w:noWrap w:val="0"/>
            <w:vAlign w:val="top"/>
          </w:tcPr>
          <w:p w14:paraId="698ED87A">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响应文件递交截止之日起</w:t>
            </w:r>
            <w:r>
              <w:rPr>
                <w:rFonts w:hint="eastAsia" w:ascii="宋体" w:hAnsi="宋体" w:cs="宋体"/>
                <w:color w:val="000000"/>
                <w:kern w:val="0"/>
                <w:sz w:val="24"/>
                <w:szCs w:val="24"/>
                <w:highlight w:val="none"/>
                <w:lang w:val="en-US" w:eastAsia="zh-CN"/>
              </w:rPr>
              <w:t>90</w:t>
            </w:r>
            <w:r>
              <w:rPr>
                <w:rFonts w:hint="eastAsia" w:ascii="宋体" w:hAnsi="宋体" w:eastAsia="宋体" w:cs="宋体"/>
                <w:color w:val="000000"/>
                <w:kern w:val="0"/>
                <w:sz w:val="24"/>
                <w:szCs w:val="24"/>
                <w:highlight w:val="none"/>
                <w:lang w:eastAsia="zh-CN"/>
              </w:rPr>
              <w:t>日历天</w:t>
            </w:r>
          </w:p>
        </w:tc>
      </w:tr>
      <w:tr w14:paraId="4B24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15F22E4">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07AA78C">
            <w:pPr>
              <w:widowControl/>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kern w:val="44"/>
                <w:sz w:val="24"/>
                <w:szCs w:val="24"/>
                <w:highlight w:val="none"/>
              </w:rPr>
              <w:t>近年完成的类似项目的年份要求</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F3C3A6E">
            <w:pPr>
              <w:widowControl/>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cs="宋体"/>
                <w:kern w:val="44"/>
                <w:sz w:val="24"/>
                <w:szCs w:val="24"/>
                <w:highlight w:val="none"/>
                <w:lang w:val="en-US" w:eastAsia="zh-CN"/>
              </w:rPr>
              <w:t>2023</w:t>
            </w:r>
            <w:r>
              <w:rPr>
                <w:rFonts w:hint="eastAsia" w:ascii="宋体" w:hAnsi="宋体" w:eastAsia="宋体" w:cs="宋体"/>
                <w:kern w:val="44"/>
                <w:sz w:val="24"/>
                <w:szCs w:val="24"/>
                <w:highlight w:val="none"/>
              </w:rPr>
              <w:t>年</w:t>
            </w:r>
            <w:r>
              <w:rPr>
                <w:rFonts w:hint="eastAsia" w:ascii="宋体" w:hAnsi="宋体" w:eastAsia="宋体" w:cs="宋体"/>
                <w:kern w:val="44"/>
                <w:sz w:val="24"/>
                <w:szCs w:val="24"/>
                <w:highlight w:val="none"/>
                <w:lang w:val="en-US" w:eastAsia="zh-CN"/>
              </w:rPr>
              <w:t>1</w:t>
            </w:r>
            <w:r>
              <w:rPr>
                <w:rFonts w:hint="eastAsia" w:ascii="宋体" w:hAnsi="宋体" w:eastAsia="宋体" w:cs="宋体"/>
                <w:kern w:val="44"/>
                <w:sz w:val="24"/>
                <w:szCs w:val="24"/>
                <w:highlight w:val="none"/>
              </w:rPr>
              <w:t>月1日以来</w:t>
            </w:r>
          </w:p>
        </w:tc>
      </w:tr>
      <w:tr w14:paraId="58ED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F02D4C1">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9F2B8A6">
            <w:pPr>
              <w:widowControl/>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kern w:val="44"/>
                <w:sz w:val="24"/>
                <w:szCs w:val="24"/>
                <w:highlight w:val="none"/>
              </w:rPr>
              <w:t>近年发生的诉讼及仲裁情况的年份要求</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C16877A">
            <w:pPr>
              <w:widowControl/>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cs="宋体"/>
                <w:kern w:val="44"/>
                <w:sz w:val="24"/>
                <w:szCs w:val="24"/>
                <w:highlight w:val="none"/>
                <w:lang w:val="en-US" w:eastAsia="zh-CN"/>
              </w:rPr>
              <w:t>2023</w:t>
            </w:r>
            <w:r>
              <w:rPr>
                <w:rFonts w:hint="eastAsia" w:ascii="宋体" w:hAnsi="宋体" w:eastAsia="宋体" w:cs="宋体"/>
                <w:kern w:val="44"/>
                <w:sz w:val="24"/>
                <w:szCs w:val="24"/>
                <w:highlight w:val="none"/>
              </w:rPr>
              <w:t>年</w:t>
            </w:r>
            <w:r>
              <w:rPr>
                <w:rFonts w:hint="eastAsia" w:ascii="宋体" w:hAnsi="宋体" w:eastAsia="宋体" w:cs="宋体"/>
                <w:kern w:val="44"/>
                <w:sz w:val="24"/>
                <w:szCs w:val="24"/>
                <w:highlight w:val="none"/>
                <w:lang w:val="en-US" w:eastAsia="zh-CN"/>
              </w:rPr>
              <w:t>1</w:t>
            </w:r>
            <w:r>
              <w:rPr>
                <w:rFonts w:hint="eastAsia" w:ascii="宋体" w:hAnsi="宋体" w:eastAsia="宋体" w:cs="宋体"/>
                <w:kern w:val="44"/>
                <w:sz w:val="24"/>
                <w:szCs w:val="24"/>
                <w:highlight w:val="none"/>
              </w:rPr>
              <w:t>月1日以来</w:t>
            </w:r>
          </w:p>
        </w:tc>
      </w:tr>
      <w:tr w14:paraId="2360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A14B27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F0BDC6E">
            <w:pPr>
              <w:widowControl/>
              <w:spacing w:line="360" w:lineRule="auto"/>
              <w:jc w:val="center"/>
              <w:rPr>
                <w:rFonts w:hint="eastAsia" w:ascii="宋体" w:hAnsi="宋体" w:eastAsia="宋体" w:cs="宋体"/>
                <w:kern w:val="44"/>
                <w:sz w:val="24"/>
                <w:szCs w:val="24"/>
                <w:highlight w:val="none"/>
                <w:lang w:val="en-US" w:eastAsia="zh-CN"/>
              </w:rPr>
            </w:pPr>
            <w:r>
              <w:rPr>
                <w:rFonts w:hint="eastAsia" w:ascii="宋体" w:hAnsi="宋体" w:eastAsia="宋体" w:cs="宋体"/>
                <w:kern w:val="44"/>
                <w:sz w:val="24"/>
                <w:szCs w:val="24"/>
                <w:highlight w:val="none"/>
                <w:lang w:val="en-US" w:eastAsia="zh-CN"/>
              </w:rPr>
              <w:t>本项目对应的中小企业划分标准所属行业</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13C6FDA">
            <w:pPr>
              <w:widowControl/>
              <w:spacing w:line="360" w:lineRule="auto"/>
              <w:jc w:val="both"/>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lang w:val="en-US" w:eastAsia="zh-CN"/>
              </w:rPr>
              <w:t>其他未列明行业</w:t>
            </w:r>
          </w:p>
        </w:tc>
      </w:tr>
      <w:tr w14:paraId="1B3F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4DE57252">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58AB8343">
            <w:pPr>
              <w:widowControl/>
              <w:spacing w:line="360" w:lineRule="auto"/>
              <w:jc w:val="center"/>
              <w:rPr>
                <w:rFonts w:hint="eastAsia" w:ascii="宋体" w:hAnsi="宋体" w:eastAsia="宋体" w:cs="宋体"/>
                <w:kern w:val="44"/>
                <w:sz w:val="24"/>
                <w:szCs w:val="24"/>
                <w:highlight w:val="none"/>
                <w:lang w:val="en-US" w:eastAsia="zh-CN"/>
              </w:rPr>
            </w:pPr>
            <w:r>
              <w:rPr>
                <w:rFonts w:hint="eastAsia" w:ascii="宋体" w:hAnsi="宋体" w:eastAsia="宋体" w:cs="宋体"/>
                <w:kern w:val="44"/>
                <w:sz w:val="24"/>
                <w:szCs w:val="24"/>
                <w:highlight w:val="none"/>
                <w:lang w:val="en-US" w:eastAsia="zh-CN"/>
              </w:rPr>
              <w:t>政府政策</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AE956CD">
            <w:pPr>
              <w:widowControl/>
              <w:spacing w:line="360" w:lineRule="auto"/>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rPr>
              <w:t>本项目非专门面向中小企业采购</w:t>
            </w:r>
            <w:r>
              <w:rPr>
                <w:rFonts w:hint="eastAsia" w:ascii="宋体" w:hAnsi="宋体" w:cs="宋体"/>
                <w:kern w:val="0"/>
                <w:sz w:val="24"/>
                <w:szCs w:val="24"/>
                <w:highlight w:val="none"/>
                <w:lang w:val="en-US" w:eastAsia="zh-CN"/>
              </w:rPr>
              <w:t>，</w:t>
            </w:r>
            <w:r>
              <w:rPr>
                <w:rFonts w:hint="eastAsia" w:ascii="宋体" w:hAnsi="宋体" w:eastAsia="宋体" w:cs="宋体"/>
                <w:kern w:val="0"/>
                <w:sz w:val="24"/>
                <w:szCs w:val="24"/>
                <w:highlight w:val="none"/>
                <w:lang w:val="en-US" w:eastAsia="zh-CN"/>
              </w:rPr>
              <w:t>执行促进中小企业（监狱企业、残疾人福利性企业）发展等政府采购政策；</w:t>
            </w:r>
          </w:p>
        </w:tc>
      </w:tr>
      <w:tr w14:paraId="015D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98CD918">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40648184">
            <w:pPr>
              <w:widowControl/>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kern w:val="44"/>
                <w:sz w:val="24"/>
                <w:szCs w:val="24"/>
                <w:highlight w:val="none"/>
              </w:rPr>
              <w:t>是否允许递交备选投标方案</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CC2A4D9">
            <w:pPr>
              <w:widowControl/>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kern w:val="44"/>
                <w:sz w:val="24"/>
                <w:szCs w:val="24"/>
                <w:highlight w:val="none"/>
              </w:rPr>
              <w:t>不允许</w:t>
            </w:r>
          </w:p>
        </w:tc>
      </w:tr>
      <w:tr w14:paraId="24AA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DE9FDDC">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02EB2AC">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电子化磋商响应文件的签章</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BDBED5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本项目为电子化、无纸化交易项目，磋商文件是响应人通过中心响应文件制作系统制作，并经过电子签章和加密后生成的电子化响应文件，未对电子化文件进行签章的视为无效投标。响应人投标时，将不再接受任何纸质文件资料。</w:t>
            </w:r>
          </w:p>
          <w:p w14:paraId="02DB21AC">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2、磋商文件中要求法定代表人或授权委托人签字或盖章的，响应人在进行电子化磋商响应文件签章时，以签盖法定代表人签章为准。</w:t>
            </w:r>
          </w:p>
          <w:p w14:paraId="3E8906E0">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eastAsia="zh-CN"/>
              </w:rPr>
              <w:t>电子化磋商响应文件具体制作教材请响应人通过CA证书登录三门峡市公共资源电子化交易系统在右上角“组建下载”中查看。</w:t>
            </w:r>
          </w:p>
        </w:tc>
      </w:tr>
      <w:tr w14:paraId="1AB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4B5CDBB">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53C6BE47">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电子化磋商响应文件的格式及上传投标</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63EC9FF">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响应人所上传的电子化磋商响应文件，应是通过中心响应文件制作系统制作的（响应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477F61DA">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注：响应人投报多个标段的，每个标段均要生成独立的电子磋商响应文件。</w:t>
            </w:r>
          </w:p>
          <w:p w14:paraId="3C3B52EE">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2、电子化磋商响应文件应在磋商时间前成功上传至三门峡市公共资源电子化交易系统。至磋商截止时间止，仍未上传成功的电子化磋商响应文件将不予接收。</w:t>
            </w:r>
          </w:p>
          <w:p w14:paraId="06DAC85F">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注：如按照电子化投标操作教材制作完成的电子化磋商响应文件无法上传的，响应人应在磋商截止时间前尽早的联系中心技术人员，以便有充分的时间进行处理。响应人应充分考虑到处理技术问题和上传数据等工作所需的时间问题，磋商响应文件未在磋商截止时间前成功上传的，其磋商响应文件不予接收。</w:t>
            </w:r>
          </w:p>
          <w:p w14:paraId="6F951B08">
            <w:pPr>
              <w:widowControl/>
              <w:wordWrap w:val="0"/>
              <w:spacing w:line="360" w:lineRule="auto"/>
              <w:jc w:val="left"/>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eastAsia="zh-CN"/>
              </w:rPr>
              <w:t>技术联系电话：</w:t>
            </w:r>
            <w:r>
              <w:rPr>
                <w:rFonts w:hint="eastAsia" w:ascii="宋体" w:hAnsi="宋体" w:eastAsia="宋体" w:cs="宋体"/>
                <w:color w:val="auto"/>
                <w:sz w:val="24"/>
                <w:szCs w:val="24"/>
              </w:rPr>
              <w:t>400-998-0000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0398-3117871</w:t>
            </w:r>
          </w:p>
        </w:tc>
      </w:tr>
      <w:tr w14:paraId="383F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1D7AC13A">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022AFBB">
            <w:pPr>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highlight w:val="none"/>
              </w:rPr>
              <w:t>响应人代表出席开标会</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0546A878">
            <w:pPr>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highlight w:val="none"/>
              </w:rPr>
              <w:t>所有响应人的法定代表人或其委托代理人无需到现场参加开标会议，仔细阅读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文件和三门峡市公共资源交易中心官网业务办理指南</w:t>
            </w:r>
            <w:r>
              <w:rPr>
                <w:rFonts w:hint="eastAsia" w:ascii="宋体" w:hAnsi="宋体" w:eastAsia="宋体" w:cs="宋体"/>
                <w:color w:val="auto"/>
                <w:sz w:val="24"/>
                <w:szCs w:val="24"/>
                <w:highlight w:val="none"/>
                <w:lang w:eastAsia="zh-CN"/>
              </w:rPr>
              <w:t>。</w:t>
            </w:r>
          </w:p>
        </w:tc>
      </w:tr>
      <w:tr w14:paraId="7348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77FB56A">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C5BA24C">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是否退还磋商响应文件</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F8C0F86">
            <w:pPr>
              <w:widowControl/>
              <w:wordWrap w:val="0"/>
              <w:spacing w:line="360" w:lineRule="auto"/>
              <w:jc w:val="both"/>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否</w:t>
            </w:r>
          </w:p>
        </w:tc>
      </w:tr>
      <w:tr w14:paraId="4A32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vMerge w:val="restart"/>
            <w:tcBorders>
              <w:top w:val="single" w:color="auto" w:sz="4" w:space="0"/>
              <w:left w:val="single" w:color="auto" w:sz="4" w:space="0"/>
              <w:right w:val="single" w:color="auto" w:sz="4" w:space="0"/>
            </w:tcBorders>
            <w:noWrap w:val="0"/>
            <w:vAlign w:val="center"/>
          </w:tcPr>
          <w:p w14:paraId="58E39BCA">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0407D5C">
            <w:pPr>
              <w:widowControl/>
              <w:wordWrap w:val="0"/>
              <w:spacing w:line="360" w:lineRule="auto"/>
              <w:jc w:val="center"/>
              <w:rPr>
                <w:rFonts w:hint="eastAsia" w:ascii="宋体" w:hAnsi="宋体" w:eastAsia="宋体" w:cs="宋体"/>
                <w:color w:val="FF0000"/>
                <w:kern w:val="0"/>
                <w:sz w:val="24"/>
                <w:szCs w:val="24"/>
                <w:highlight w:val="none"/>
                <w:lang w:eastAsia="zh-CN"/>
              </w:rPr>
            </w:pPr>
            <w:r>
              <w:rPr>
                <w:rFonts w:hint="eastAsia" w:ascii="宋体" w:hAnsi="宋体" w:eastAsia="宋体" w:cs="宋体"/>
                <w:color w:val="auto"/>
                <w:kern w:val="0"/>
                <w:sz w:val="24"/>
                <w:szCs w:val="24"/>
                <w:highlight w:val="none"/>
                <w:lang w:eastAsia="zh-CN"/>
              </w:rPr>
              <w:t>竞争性磋商时间和地点</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7158DFF5">
            <w:pPr>
              <w:widowControl/>
              <w:wordWrap w:val="0"/>
              <w:spacing w:line="360" w:lineRule="auto"/>
              <w:jc w:val="both"/>
              <w:rPr>
                <w:rFonts w:hint="eastAsia" w:ascii="宋体" w:hAnsi="宋体" w:eastAsia="宋体" w:cs="宋体"/>
                <w:color w:val="FF0000"/>
                <w:kern w:val="0"/>
                <w:sz w:val="24"/>
                <w:szCs w:val="24"/>
                <w:highlight w:val="none"/>
                <w:lang w:eastAsia="zh-CN"/>
              </w:rPr>
            </w:pPr>
            <w:r>
              <w:rPr>
                <w:rFonts w:hint="eastAsia" w:ascii="宋体" w:hAnsi="宋体" w:cs="宋体"/>
                <w:snapToGrid w:val="0"/>
                <w:kern w:val="0"/>
                <w:sz w:val="24"/>
                <w:highlight w:val="none"/>
              </w:rPr>
              <w:t>见第一章“竞争性</w:t>
            </w:r>
            <w:r>
              <w:rPr>
                <w:rFonts w:hint="eastAsia" w:ascii="宋体" w:hAnsi="宋体" w:cs="宋体"/>
                <w:snapToGrid w:val="0"/>
                <w:kern w:val="0"/>
                <w:sz w:val="24"/>
                <w:highlight w:val="none"/>
                <w:lang w:val="en-US" w:eastAsia="zh-CN"/>
              </w:rPr>
              <w:t>磋商</w:t>
            </w:r>
            <w:r>
              <w:rPr>
                <w:rFonts w:hint="eastAsia" w:ascii="宋体" w:hAnsi="宋体" w:cs="宋体"/>
                <w:snapToGrid w:val="0"/>
                <w:kern w:val="0"/>
                <w:sz w:val="24"/>
                <w:highlight w:val="none"/>
              </w:rPr>
              <w:t>公告”</w:t>
            </w:r>
          </w:p>
        </w:tc>
      </w:tr>
      <w:tr w14:paraId="38B0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vMerge w:val="continue"/>
            <w:tcBorders>
              <w:left w:val="single" w:color="auto" w:sz="4" w:space="0"/>
              <w:bottom w:val="single" w:color="auto" w:sz="4" w:space="0"/>
              <w:right w:val="single" w:color="auto" w:sz="4" w:space="0"/>
            </w:tcBorders>
            <w:noWrap w:val="0"/>
            <w:vAlign w:val="center"/>
          </w:tcPr>
          <w:p w14:paraId="18BBCE1B">
            <w:pPr>
              <w:widowControl/>
              <w:wordWrap w:val="0"/>
              <w:spacing w:line="360" w:lineRule="auto"/>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2BA91EA0">
            <w:pPr>
              <w:widowControl/>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kern w:val="44"/>
                <w:sz w:val="24"/>
                <w:szCs w:val="24"/>
                <w:highlight w:val="none"/>
              </w:rPr>
              <w:t>磋商程序</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5A731B84">
            <w:pPr>
              <w:widowControl/>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kern w:val="44"/>
                <w:sz w:val="24"/>
                <w:szCs w:val="24"/>
                <w:highlight w:val="none"/>
              </w:rPr>
              <w:t>按电子化磋商</w:t>
            </w:r>
            <w:r>
              <w:rPr>
                <w:rFonts w:hint="eastAsia" w:ascii="宋体" w:hAnsi="宋体" w:eastAsia="宋体" w:cs="宋体"/>
                <w:kern w:val="44"/>
                <w:sz w:val="24"/>
                <w:szCs w:val="24"/>
                <w:highlight w:val="none"/>
                <w:lang w:eastAsia="zh-CN"/>
              </w:rPr>
              <w:t>响应文件</w:t>
            </w:r>
            <w:r>
              <w:rPr>
                <w:rFonts w:hint="eastAsia" w:ascii="宋体" w:hAnsi="宋体" w:eastAsia="宋体" w:cs="宋体"/>
                <w:kern w:val="44"/>
                <w:sz w:val="24"/>
                <w:szCs w:val="24"/>
                <w:highlight w:val="none"/>
              </w:rPr>
              <w:t>上传的时间顺序磋商。</w:t>
            </w:r>
          </w:p>
        </w:tc>
      </w:tr>
      <w:tr w14:paraId="7476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13CFFC4">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4CA49A15">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磋商小组的组建</w:t>
            </w:r>
          </w:p>
        </w:tc>
        <w:tc>
          <w:tcPr>
            <w:tcW w:w="6382" w:type="dxa"/>
            <w:tcBorders>
              <w:top w:val="single" w:color="auto" w:sz="4" w:space="0"/>
              <w:left w:val="single" w:color="auto" w:sz="4" w:space="0"/>
              <w:bottom w:val="single" w:color="auto" w:sz="4" w:space="0"/>
              <w:right w:val="single" w:color="auto" w:sz="4" w:space="0"/>
            </w:tcBorders>
            <w:noWrap w:val="0"/>
            <w:vAlign w:val="top"/>
          </w:tcPr>
          <w:p w14:paraId="2AA9367A">
            <w:pPr>
              <w:widowControl/>
              <w:wordWrap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磋商小组构成：3人</w:t>
            </w:r>
          </w:p>
          <w:p w14:paraId="1C99BFF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rPr>
              <w:t>由采购人代表1人、</w:t>
            </w:r>
            <w:r>
              <w:rPr>
                <w:rFonts w:hint="eastAsia" w:ascii="宋体" w:hAnsi="宋体" w:eastAsia="宋体" w:cs="宋体"/>
                <w:sz w:val="24"/>
                <w:szCs w:val="24"/>
                <w:highlight w:val="none"/>
                <w:lang w:eastAsia="zh-CN"/>
              </w:rPr>
              <w:t>有关</w:t>
            </w:r>
            <w:r>
              <w:rPr>
                <w:rFonts w:hint="eastAsia" w:ascii="宋体" w:hAnsi="宋体" w:eastAsia="宋体" w:cs="宋体"/>
                <w:sz w:val="24"/>
                <w:szCs w:val="24"/>
                <w:highlight w:val="none"/>
              </w:rPr>
              <w:t>经济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技术专家2人，共3人组成。</w:t>
            </w:r>
            <w:r>
              <w:rPr>
                <w:rFonts w:hint="eastAsia" w:ascii="宋体" w:hAnsi="宋体" w:eastAsia="宋体" w:cs="宋体"/>
                <w:sz w:val="24"/>
                <w:szCs w:val="24"/>
                <w:highlight w:val="none"/>
                <w:lang w:eastAsia="zh-CN"/>
              </w:rPr>
              <w:t>（或由有关经济、技术等方面的专家共3人组成。）</w:t>
            </w:r>
            <w:r>
              <w:rPr>
                <w:rFonts w:hint="eastAsia" w:ascii="宋体" w:hAnsi="宋体" w:eastAsia="宋体" w:cs="宋体"/>
                <w:sz w:val="24"/>
                <w:szCs w:val="24"/>
                <w:highlight w:val="none"/>
              </w:rPr>
              <w:t xml:space="preserve"> 评标</w:t>
            </w:r>
            <w:r>
              <w:rPr>
                <w:rFonts w:hint="eastAsia" w:ascii="宋体" w:hAnsi="宋体" w:eastAsia="宋体" w:cs="宋体"/>
                <w:color w:val="auto"/>
                <w:sz w:val="24"/>
                <w:szCs w:val="24"/>
                <w:highlight w:val="none"/>
              </w:rPr>
              <w:t>专家确定方式：由采购人依法从</w:t>
            </w:r>
            <w:r>
              <w:rPr>
                <w:rFonts w:hint="eastAsia" w:ascii="宋体" w:hAnsi="宋体" w:eastAsia="宋体" w:cs="宋体"/>
                <w:color w:val="auto"/>
                <w:sz w:val="24"/>
                <w:szCs w:val="24"/>
                <w:highlight w:val="none"/>
                <w:lang w:eastAsia="zh-CN"/>
              </w:rPr>
              <w:t>相关专家库抽取</w:t>
            </w:r>
            <w:r>
              <w:rPr>
                <w:rFonts w:hint="eastAsia" w:ascii="宋体" w:hAnsi="宋体" w:eastAsia="宋体" w:cs="宋体"/>
                <w:color w:val="auto"/>
                <w:sz w:val="24"/>
                <w:szCs w:val="24"/>
                <w:highlight w:val="none"/>
              </w:rPr>
              <w:t>。</w:t>
            </w:r>
          </w:p>
        </w:tc>
      </w:tr>
      <w:tr w14:paraId="4831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9E90672">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B1C6B3E">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是否授权磋商小组确定成交人</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2DD1D68">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是</w:t>
            </w:r>
          </w:p>
          <w:p w14:paraId="57F2ACEB">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否，推荐的</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候选人数：1-3名</w:t>
            </w:r>
          </w:p>
        </w:tc>
      </w:tr>
      <w:tr w14:paraId="673C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21CABD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1101F247">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rPr>
              <w:t>确定成交的原则</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4635D93">
            <w:pPr>
              <w:widowControl/>
              <w:numPr>
                <w:ilvl w:val="0"/>
                <w:numId w:val="0"/>
              </w:numPr>
              <w:wordWrap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sz w:val="24"/>
                <w:szCs w:val="24"/>
              </w:rPr>
              <w:t>磋商小组严格按照磋商文件的要求和条件进行评标和打分，按得分由高到低的顺序推荐3名为成交候选人，并确定第一名为成交人。</w:t>
            </w:r>
          </w:p>
          <w:p w14:paraId="0D85E488">
            <w:pPr>
              <w:widowControl/>
              <w:numPr>
                <w:ilvl w:val="0"/>
                <w:numId w:val="0"/>
              </w:numPr>
              <w:wordWrap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sz w:val="24"/>
                <w:szCs w:val="24"/>
              </w:rPr>
              <w:t>如评审得分相同的，按照投标报价由低到高的顺序推荐；如评审得分且投标报价均相同的，按照技术部分得分由高到低顺序推荐；若评审得分、投标报价、技术部分得分均相同，则由采购人自主决定成交人及成交候选人排名。</w:t>
            </w:r>
          </w:p>
        </w:tc>
      </w:tr>
      <w:tr w14:paraId="2CE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03E806D">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4B933249">
            <w:pPr>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auto"/>
                <w:sz w:val="24"/>
                <w:szCs w:val="24"/>
                <w:highlight w:val="none"/>
              </w:rPr>
              <w:t>结果公示</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7CA4CE6">
            <w:pPr>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lang w:val="en-US" w:eastAsia="zh-CN"/>
              </w:rPr>
              <w:t>在</w:t>
            </w:r>
            <w:r>
              <w:rPr>
                <w:rFonts w:hint="eastAsia" w:ascii="宋体" w:hAnsi="宋体"/>
                <w:sz w:val="24"/>
                <w:highlight w:val="none"/>
              </w:rPr>
              <w:t>《中国采购与招标网》、《中国招标投标公共服务平台》、</w:t>
            </w:r>
            <w:r>
              <w:rPr>
                <w:rFonts w:hint="eastAsia" w:ascii="宋体" w:hAnsi="宋体" w:cs="宋体"/>
                <w:sz w:val="24"/>
                <w:highlight w:val="none"/>
              </w:rPr>
              <w:t>《河南省政府采购网》、《三门峡市公共资源交易中心》</w:t>
            </w:r>
            <w:r>
              <w:rPr>
                <w:rFonts w:hint="eastAsia" w:ascii="宋体" w:hAnsi="宋体" w:eastAsia="宋体" w:cs="宋体"/>
                <w:sz w:val="24"/>
                <w:szCs w:val="24"/>
                <w:highlight w:val="none"/>
                <w:lang w:val="en-US" w:eastAsia="zh-CN"/>
              </w:rPr>
              <w:t>同时进行公示。</w:t>
            </w:r>
          </w:p>
        </w:tc>
      </w:tr>
      <w:tr w14:paraId="5EA8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6721360E">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DF54832">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付款方式</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0D4D88C7">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签订合同时双方协商</w:t>
            </w:r>
          </w:p>
        </w:tc>
      </w:tr>
      <w:tr w14:paraId="3D68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74E70CA6">
            <w:pPr>
              <w:widowControl/>
              <w:numPr>
                <w:ilvl w:val="0"/>
                <w:numId w:val="1"/>
              </w:numPr>
              <w:wordWrap w:val="0"/>
              <w:spacing w:line="360" w:lineRule="auto"/>
              <w:ind w:left="425" w:leftChars="0" w:hanging="425" w:firstLineChars="0"/>
              <w:jc w:val="center"/>
              <w:rPr>
                <w:rFonts w:hint="eastAsia" w:ascii="宋体" w:hAnsi="宋体" w:eastAsia="宋体" w:cs="宋体"/>
                <w:color w:val="000000"/>
                <w:kern w:val="0"/>
                <w:sz w:val="24"/>
                <w:szCs w:val="24"/>
                <w:highlight w:val="none"/>
                <w:lang w:val="en-US" w:eastAsia="zh-CN" w:bidi="ar-SA"/>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69154A9">
            <w:pPr>
              <w:widowControl/>
              <w:wordWrap w:val="0"/>
              <w:spacing w:line="360" w:lineRule="auto"/>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eastAsia="zh-CN"/>
              </w:rPr>
              <w:t>履约担保</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2B5C7EB">
            <w:pPr>
              <w:widowControl/>
              <w:wordWrap w:val="0"/>
              <w:spacing w:line="36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免收履约保证金。</w:t>
            </w:r>
          </w:p>
        </w:tc>
      </w:tr>
      <w:tr w14:paraId="3D10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727D305">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6E4C4D5">
            <w:pPr>
              <w:spacing w:line="360" w:lineRule="auto"/>
              <w:jc w:val="center"/>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是否实行计算机辅助评标</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EBA3EE2">
            <w:pPr>
              <w:spacing w:line="360" w:lineRule="auto"/>
              <w:ind w:firstLine="240" w:firstLineChars="1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是。</w:t>
            </w:r>
          </w:p>
          <w:p w14:paraId="4EF01F9F">
            <w:pPr>
              <w:spacing w:line="360" w:lineRule="auto"/>
              <w:ind w:firstLine="240" w:firstLineChars="1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响应人须独立制作、修改和上传响应文件，若因“响应文件制作机器码”与其他响应人一致，机器码一致的所有响应文件按无效文件处理，所造成的不良后果由响应人自行承担。</w:t>
            </w:r>
          </w:p>
        </w:tc>
      </w:tr>
      <w:tr w14:paraId="49D8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E4E9785">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593BDC6">
            <w:pPr>
              <w:widowControl/>
              <w:spacing w:line="360" w:lineRule="auto"/>
              <w:jc w:val="center"/>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质疑</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AFF94BE">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lang w:eastAsia="zh-CN"/>
              </w:rPr>
              <w:t>响应人</w:t>
            </w:r>
            <w:r>
              <w:rPr>
                <w:rFonts w:hint="eastAsia" w:ascii="宋体" w:hAnsi="宋体" w:eastAsia="宋体" w:cs="宋体"/>
                <w:kern w:val="44"/>
                <w:sz w:val="24"/>
                <w:szCs w:val="24"/>
                <w:highlight w:val="none"/>
              </w:rPr>
              <w:t>认为采购文件、采购过程、中标或者成交结果使自己的权益受到损害的，可以在知道或者应知其权益受到损害之日起7个工作日内，以书面形式向采购人、采购代理机构提出质疑。</w:t>
            </w:r>
          </w:p>
          <w:p w14:paraId="0FC84FDE">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要求</w:t>
            </w:r>
            <w:r>
              <w:rPr>
                <w:rFonts w:hint="eastAsia" w:ascii="宋体" w:hAnsi="宋体" w:eastAsia="宋体" w:cs="宋体"/>
                <w:kern w:val="44"/>
                <w:sz w:val="24"/>
                <w:szCs w:val="24"/>
                <w:highlight w:val="none"/>
                <w:lang w:eastAsia="zh-CN"/>
              </w:rPr>
              <w:t>响应人</w:t>
            </w:r>
            <w:r>
              <w:rPr>
                <w:rFonts w:hint="eastAsia" w:ascii="宋体" w:hAnsi="宋体" w:eastAsia="宋体" w:cs="宋体"/>
                <w:kern w:val="44"/>
                <w:sz w:val="24"/>
                <w:szCs w:val="24"/>
                <w:highlight w:val="none"/>
              </w:rPr>
              <w:t>在法定质疑期内一次性提出针对同一采购程序环节的质疑。</w:t>
            </w:r>
          </w:p>
          <w:p w14:paraId="4DE1F01E">
            <w:pPr>
              <w:keepNext w:val="0"/>
              <w:keepLines w:val="0"/>
              <w:pageBreakBefore w:val="0"/>
              <w:widowControl/>
              <w:numPr>
                <w:ilvl w:val="0"/>
                <w:numId w:val="3"/>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接收质疑函的方式：接收加盖单位公章的书面质疑函接收单位：联系电话和通讯地址详见本项目采购公告和供应商须知前附表。</w:t>
            </w:r>
          </w:p>
          <w:p w14:paraId="38B03140">
            <w:pPr>
              <w:keepNext w:val="0"/>
              <w:keepLines w:val="0"/>
              <w:pageBreakBefore w:val="0"/>
              <w:widowControl/>
              <w:numPr>
                <w:ilvl w:val="0"/>
                <w:numId w:val="3"/>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质疑函的内容、格式：应符合《中华人民共和国财政部令第94号</w:t>
            </w:r>
            <w:r>
              <w:rPr>
                <w:rFonts w:hint="eastAsia" w:ascii="宋体" w:hAnsi="宋体" w:eastAsia="宋体" w:cs="宋体"/>
                <w:kern w:val="44"/>
                <w:sz w:val="24"/>
                <w:szCs w:val="24"/>
                <w:highlight w:val="none"/>
                <w:lang w:eastAsia="zh-CN"/>
              </w:rPr>
              <w:t>—</w:t>
            </w:r>
            <w:r>
              <w:rPr>
                <w:rFonts w:hint="eastAsia" w:ascii="宋体" w:hAnsi="宋体" w:eastAsia="宋体" w:cs="宋体"/>
                <w:kern w:val="44"/>
                <w:sz w:val="24"/>
                <w:szCs w:val="24"/>
                <w:highlight w:val="none"/>
              </w:rPr>
              <w:t>政府采购质疑和投诉办法》相关规定和财政部门制定的《政府采购质疑函范本》格式。</w:t>
            </w:r>
          </w:p>
          <w:p w14:paraId="777A8493">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lang w:val="en-US" w:eastAsia="zh-CN"/>
              </w:rPr>
              <w:t>二、</w:t>
            </w:r>
            <w:r>
              <w:rPr>
                <w:rFonts w:hint="eastAsia" w:ascii="宋体" w:hAnsi="宋体" w:eastAsia="宋体" w:cs="宋体"/>
                <w:kern w:val="44"/>
                <w:sz w:val="24"/>
                <w:szCs w:val="24"/>
                <w:highlight w:val="none"/>
                <w:lang w:eastAsia="zh-CN"/>
              </w:rPr>
              <w:t>响应人</w:t>
            </w:r>
            <w:r>
              <w:rPr>
                <w:rFonts w:hint="eastAsia" w:ascii="宋体" w:hAnsi="宋体" w:eastAsia="宋体" w:cs="宋体"/>
                <w:kern w:val="44"/>
                <w:sz w:val="24"/>
                <w:szCs w:val="24"/>
                <w:highlight w:val="none"/>
              </w:rPr>
              <w:t>应在法定质疑期内一次性针对同一采购程序环节提出质疑，否则针对再次提出质疑将不予接收。（采购程序环节分为：采购公告、磋商文件、采购过程、成交结果）</w:t>
            </w:r>
          </w:p>
        </w:tc>
      </w:tr>
      <w:tr w14:paraId="0F4B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4FFE5545">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E4CFFB4">
            <w:pPr>
              <w:widowControl/>
              <w:spacing w:line="360" w:lineRule="auto"/>
              <w:jc w:val="center"/>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竞争性磋商文件的解释</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DD4146B">
            <w:pPr>
              <w:widowControl/>
              <w:spacing w:line="360" w:lineRule="auto"/>
              <w:jc w:val="left"/>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在符合相关法律法规的前提下，竞争性磋商文件的解释权归</w:t>
            </w:r>
            <w:r>
              <w:rPr>
                <w:rFonts w:hint="eastAsia" w:ascii="宋体" w:hAnsi="宋体" w:eastAsia="宋体" w:cs="宋体"/>
                <w:kern w:val="44"/>
                <w:sz w:val="24"/>
                <w:szCs w:val="24"/>
                <w:highlight w:val="none"/>
                <w:lang w:val="en-US" w:eastAsia="zh-CN"/>
              </w:rPr>
              <w:t>采购</w:t>
            </w:r>
            <w:r>
              <w:rPr>
                <w:rFonts w:hint="eastAsia" w:ascii="宋体" w:hAnsi="宋体" w:eastAsia="宋体" w:cs="宋体"/>
                <w:kern w:val="44"/>
                <w:sz w:val="24"/>
                <w:szCs w:val="24"/>
                <w:highlight w:val="none"/>
              </w:rPr>
              <w:t>人所有。</w:t>
            </w:r>
          </w:p>
        </w:tc>
      </w:tr>
      <w:tr w14:paraId="261E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vMerge w:val="restart"/>
            <w:tcBorders>
              <w:top w:val="single" w:color="auto" w:sz="4" w:space="0"/>
              <w:left w:val="single" w:color="auto" w:sz="4" w:space="0"/>
              <w:right w:val="single" w:color="auto" w:sz="4" w:space="0"/>
            </w:tcBorders>
            <w:noWrap w:val="0"/>
            <w:vAlign w:val="center"/>
          </w:tcPr>
          <w:p w14:paraId="24DC80B5">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vMerge w:val="restart"/>
            <w:tcBorders>
              <w:top w:val="single" w:color="auto" w:sz="4" w:space="0"/>
              <w:left w:val="single" w:color="auto" w:sz="4" w:space="0"/>
              <w:right w:val="single" w:color="auto" w:sz="4" w:space="0"/>
            </w:tcBorders>
            <w:noWrap w:val="0"/>
            <w:vAlign w:val="center"/>
          </w:tcPr>
          <w:p w14:paraId="50F5A751">
            <w:pPr>
              <w:keepLines/>
              <w:spacing w:line="360" w:lineRule="auto"/>
              <w:jc w:val="center"/>
              <w:rPr>
                <w:rFonts w:hint="eastAsia" w:ascii="宋体" w:hAnsi="宋体" w:eastAsia="宋体" w:cs="宋体"/>
                <w:kern w:val="44"/>
                <w:sz w:val="24"/>
                <w:szCs w:val="24"/>
                <w:highlight w:val="none"/>
              </w:rPr>
            </w:pPr>
            <w:r>
              <w:rPr>
                <w:rFonts w:hint="eastAsia" w:ascii="宋体" w:hAnsi="宋体" w:eastAsia="宋体" w:cs="宋体"/>
                <w:kern w:val="0"/>
                <w:sz w:val="24"/>
                <w:szCs w:val="24"/>
                <w:highlight w:val="none"/>
              </w:rPr>
              <w:t>相关费用</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A5B7EB3">
            <w:pPr>
              <w:keepLines/>
              <w:spacing w:line="360" w:lineRule="auto"/>
              <w:jc w:val="left"/>
              <w:rPr>
                <w:rFonts w:hint="eastAsia" w:ascii="宋体" w:hAnsi="宋体" w:eastAsia="宋体" w:cs="宋体"/>
                <w:kern w:val="44"/>
                <w:sz w:val="24"/>
                <w:szCs w:val="24"/>
                <w:highlight w:val="none"/>
              </w:rPr>
            </w:pPr>
            <w:r>
              <w:rPr>
                <w:rFonts w:hint="eastAsia" w:ascii="宋体" w:hAnsi="宋体" w:eastAsia="宋体" w:cs="宋体"/>
                <w:kern w:val="0"/>
                <w:sz w:val="24"/>
                <w:szCs w:val="24"/>
                <w:highlight w:val="none"/>
              </w:rPr>
              <w:t>竞争性磋商文件费</w:t>
            </w:r>
            <w:r>
              <w:rPr>
                <w:rFonts w:hint="eastAsia" w:ascii="宋体" w:hAnsi="宋体" w:eastAsia="宋体" w:cs="宋体"/>
                <w:sz w:val="24"/>
                <w:szCs w:val="24"/>
                <w:highlight w:val="none"/>
              </w:rPr>
              <w:t>：本项目为全电子招标，不</w:t>
            </w:r>
            <w:r>
              <w:rPr>
                <w:rFonts w:hint="eastAsia" w:ascii="宋体" w:hAnsi="宋体" w:eastAsia="宋体" w:cs="宋体"/>
                <w:sz w:val="24"/>
                <w:szCs w:val="24"/>
                <w:highlight w:val="none"/>
                <w:lang w:val="en-US" w:eastAsia="zh-CN"/>
              </w:rPr>
              <w:t>再</w:t>
            </w:r>
            <w:r>
              <w:rPr>
                <w:rFonts w:hint="eastAsia" w:ascii="宋体" w:hAnsi="宋体" w:eastAsia="宋体" w:cs="宋体"/>
                <w:sz w:val="24"/>
                <w:szCs w:val="24"/>
                <w:highlight w:val="none"/>
              </w:rPr>
              <w:t>收取竞争性磋商文件费；</w:t>
            </w:r>
          </w:p>
        </w:tc>
      </w:tr>
      <w:tr w14:paraId="7962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005" w:type="dxa"/>
            <w:vMerge w:val="continue"/>
            <w:tcBorders>
              <w:left w:val="single" w:color="auto" w:sz="4" w:space="0"/>
              <w:right w:val="single" w:color="auto" w:sz="4" w:space="0"/>
            </w:tcBorders>
            <w:noWrap w:val="0"/>
            <w:vAlign w:val="center"/>
          </w:tcPr>
          <w:p w14:paraId="19B0FCB9">
            <w:pPr>
              <w:spacing w:line="360" w:lineRule="auto"/>
              <w:jc w:val="center"/>
              <w:rPr>
                <w:rFonts w:hint="eastAsia" w:ascii="宋体" w:hAnsi="宋体" w:eastAsia="宋体" w:cs="宋体"/>
                <w:color w:val="auto"/>
                <w:sz w:val="24"/>
                <w:szCs w:val="24"/>
                <w:highlight w:val="none"/>
                <w:lang w:val="en-US" w:eastAsia="zh-CN"/>
              </w:rPr>
            </w:pPr>
          </w:p>
        </w:tc>
        <w:tc>
          <w:tcPr>
            <w:tcW w:w="2306" w:type="dxa"/>
            <w:vMerge w:val="continue"/>
            <w:tcBorders>
              <w:left w:val="single" w:color="auto" w:sz="4" w:space="0"/>
              <w:right w:val="single" w:color="auto" w:sz="4" w:space="0"/>
            </w:tcBorders>
            <w:noWrap w:val="0"/>
            <w:vAlign w:val="center"/>
          </w:tcPr>
          <w:p w14:paraId="7EE60E2A">
            <w:pPr>
              <w:keepLines/>
              <w:spacing w:line="360" w:lineRule="auto"/>
              <w:jc w:val="center"/>
              <w:rPr>
                <w:rFonts w:hint="eastAsia" w:ascii="宋体" w:hAnsi="宋体" w:eastAsia="宋体" w:cs="宋体"/>
                <w:kern w:val="0"/>
                <w:sz w:val="24"/>
                <w:szCs w:val="24"/>
                <w:highlight w:val="none"/>
              </w:rPr>
            </w:pP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4F794A3">
            <w:pPr>
              <w:pStyle w:val="9"/>
              <w:keepNext w:val="0"/>
              <w:keepLines w:val="0"/>
              <w:pageBreakBefore w:val="0"/>
              <w:kinsoku/>
              <w:wordWrap/>
              <w:overflowPunct/>
              <w:topLinePunct w:val="0"/>
              <w:autoSpaceDE/>
              <w:autoSpaceDN/>
              <w:bidi w:val="0"/>
              <w:spacing w:line="400" w:lineRule="exact"/>
              <w:ind w:firstLine="0" w:firstLineChars="0"/>
              <w:rPr>
                <w:rFonts w:hint="eastAsia" w:ascii="宋体" w:hAnsi="宋体" w:eastAsia="宋体" w:cs="Calibri"/>
                <w:kern w:val="0"/>
                <w:sz w:val="24"/>
                <w:szCs w:val="24"/>
                <w:highlight w:val="none"/>
                <w:lang w:val="en-US" w:eastAsia="zh-CN" w:bidi="ar-SA"/>
              </w:rPr>
            </w:pPr>
            <w:r>
              <w:rPr>
                <w:rFonts w:hint="eastAsia" w:ascii="宋体" w:hAnsi="宋体" w:cs="Calibri"/>
                <w:sz w:val="24"/>
                <w:szCs w:val="24"/>
                <w:highlight w:val="none"/>
              </w:rPr>
              <w:t>招标代理服务费</w:t>
            </w:r>
            <w:r>
              <w:rPr>
                <w:rFonts w:hint="eastAsia" w:ascii="宋体" w:hAnsi="宋体" w:cs="Calibri"/>
                <w:sz w:val="24"/>
                <w:szCs w:val="24"/>
                <w:highlight w:val="none"/>
                <w:lang w:eastAsia="zh-CN"/>
              </w:rPr>
              <w:t>：</w:t>
            </w:r>
          </w:p>
          <w:p w14:paraId="7064D093">
            <w:pPr>
              <w:pStyle w:val="9"/>
              <w:keepNext w:val="0"/>
              <w:keepLines w:val="0"/>
              <w:pageBreakBefore w:val="0"/>
              <w:kinsoku/>
              <w:wordWrap/>
              <w:overflowPunct/>
              <w:topLinePunct w:val="0"/>
              <w:autoSpaceDE/>
              <w:autoSpaceDN/>
              <w:bidi w:val="0"/>
              <w:spacing w:line="400" w:lineRule="exact"/>
              <w:ind w:firstLine="0" w:firstLineChars="0"/>
              <w:rPr>
                <w:rFonts w:ascii="宋体" w:hAnsi="宋体" w:eastAsia="宋体" w:cs="Calibri"/>
                <w:kern w:val="0"/>
                <w:sz w:val="24"/>
                <w:szCs w:val="24"/>
                <w:highlight w:val="none"/>
                <w:lang w:val="en-US" w:eastAsia="zh-CN" w:bidi="ar-SA"/>
              </w:rPr>
            </w:pPr>
            <w:r>
              <w:rPr>
                <w:rFonts w:hint="eastAsia" w:ascii="宋体" w:hAnsi="宋体" w:eastAsia="宋体" w:cs="Calibri"/>
                <w:kern w:val="0"/>
                <w:sz w:val="24"/>
                <w:szCs w:val="24"/>
                <w:highlight w:val="none"/>
                <w:lang w:val="en-US" w:eastAsia="zh-CN" w:bidi="ar-SA"/>
              </w:rPr>
              <w:t>代理费用收取方式：</w:t>
            </w:r>
            <w:r>
              <w:rPr>
                <w:rFonts w:hint="eastAsia" w:ascii="宋体" w:hAnsi="宋体" w:cs="Calibri"/>
                <w:kern w:val="0"/>
                <w:sz w:val="24"/>
                <w:szCs w:val="24"/>
                <w:highlight w:val="none"/>
                <w:lang w:val="en-US" w:eastAsia="zh-CN" w:bidi="ar-SA"/>
              </w:rPr>
              <w:t>公户</w:t>
            </w:r>
            <w:r>
              <w:rPr>
                <w:rFonts w:hint="eastAsia" w:ascii="宋体" w:hAnsi="宋体" w:eastAsia="宋体" w:cs="Calibri"/>
                <w:kern w:val="0"/>
                <w:sz w:val="24"/>
                <w:szCs w:val="24"/>
                <w:highlight w:val="none"/>
                <w:lang w:val="en-US" w:eastAsia="zh-CN" w:bidi="ar-SA"/>
              </w:rPr>
              <w:t>转账</w:t>
            </w:r>
          </w:p>
          <w:p w14:paraId="5AE1295C">
            <w:pPr>
              <w:pStyle w:val="9"/>
              <w:keepNext w:val="0"/>
              <w:keepLines w:val="0"/>
              <w:pageBreakBefore w:val="0"/>
              <w:kinsoku/>
              <w:wordWrap/>
              <w:overflowPunct/>
              <w:topLinePunct w:val="0"/>
              <w:autoSpaceDE/>
              <w:autoSpaceDN/>
              <w:bidi w:val="0"/>
              <w:spacing w:line="400" w:lineRule="exact"/>
              <w:ind w:firstLine="0" w:firstLineChars="0"/>
              <w:rPr>
                <w:rFonts w:hint="eastAsia" w:ascii="宋体" w:hAnsi="宋体" w:eastAsia="宋体" w:cs="Calibri"/>
                <w:kern w:val="0"/>
                <w:sz w:val="24"/>
                <w:szCs w:val="24"/>
                <w:highlight w:val="none"/>
                <w:lang w:val="en-US" w:eastAsia="zh-CN" w:bidi="ar-SA"/>
              </w:rPr>
            </w:pPr>
            <w:r>
              <w:rPr>
                <w:rFonts w:hint="eastAsia" w:ascii="宋体" w:hAnsi="宋体" w:eastAsia="宋体" w:cs="Calibri"/>
                <w:kern w:val="0"/>
                <w:sz w:val="24"/>
                <w:szCs w:val="24"/>
                <w:highlight w:val="none"/>
                <w:lang w:val="en-US" w:eastAsia="zh-CN" w:bidi="ar-SA"/>
              </w:rPr>
              <w:t>代理费用收取标准：本项目招标代理费用参照河南省招标投标协会豫招办[2023]002号文《河南省招标投标协会关于印发《河南省招标代理服务收费指导意见》的通知》中关于招标代理服务费收费标准，招标代理服务费用由中标人按照以上标准支付。</w:t>
            </w:r>
          </w:p>
          <w:p w14:paraId="74857CBE">
            <w:pPr>
              <w:keepNext w:val="0"/>
              <w:keepLines w:val="0"/>
              <w:pageBreakBefore w:val="0"/>
              <w:kinsoku/>
              <w:wordWrap/>
              <w:overflowPunct/>
              <w:topLinePunct w:val="0"/>
              <w:autoSpaceDE/>
              <w:autoSpaceDN/>
              <w:bidi w:val="0"/>
              <w:adjustRightInd/>
              <w:snapToGrid/>
              <w:spacing w:line="440" w:lineRule="exac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单位名称</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lang w:eastAsia="zh-CN"/>
              </w:rPr>
              <w:t>驿大项目管理有限公司</w:t>
            </w:r>
            <w:r>
              <w:rPr>
                <w:rFonts w:hint="eastAsia" w:ascii="宋体" w:hAnsi="宋体" w:eastAsia="宋体" w:cs="宋体"/>
                <w:kern w:val="0"/>
                <w:sz w:val="24"/>
                <w:szCs w:val="24"/>
                <w:highlight w:val="none"/>
                <w:lang w:val="en-US" w:eastAsia="zh-CN"/>
              </w:rPr>
              <w:t>灵宝分公司</w:t>
            </w:r>
          </w:p>
          <w:p w14:paraId="755087CA">
            <w:pPr>
              <w:keepNext w:val="0"/>
              <w:keepLines w:val="0"/>
              <w:pageBreakBefore w:val="0"/>
              <w:kinsoku/>
              <w:wordWrap/>
              <w:overflowPunct/>
              <w:topLinePunct w:val="0"/>
              <w:autoSpaceDE/>
              <w:autoSpaceDN/>
              <w:bidi w:val="0"/>
              <w:adjustRightInd/>
              <w:snapToGrid/>
              <w:spacing w:line="440" w:lineRule="exac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开户行</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中国银行股份有限公司灵宝桃林支行</w:t>
            </w:r>
          </w:p>
          <w:p w14:paraId="0FD18125">
            <w:pPr>
              <w:keepLines/>
              <w:spacing w:line="360" w:lineRule="auto"/>
              <w:jc w:val="left"/>
              <w:rPr>
                <w:rFonts w:hint="eastAsia" w:ascii="宋体" w:hAnsi="宋体" w:eastAsia="宋体" w:cs="宋体"/>
                <w:sz w:val="24"/>
                <w:szCs w:val="24"/>
                <w:lang w:val="en-US" w:eastAsia="zh-CN"/>
              </w:rPr>
            </w:pPr>
            <w:r>
              <w:rPr>
                <w:rFonts w:hint="eastAsia" w:ascii="宋体" w:hAnsi="宋体" w:eastAsia="宋体" w:cs="宋体"/>
                <w:kern w:val="0"/>
                <w:sz w:val="24"/>
                <w:szCs w:val="24"/>
                <w:highlight w:val="none"/>
              </w:rPr>
              <w:t>账号</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263786195656</w:t>
            </w:r>
          </w:p>
        </w:tc>
      </w:tr>
      <w:tr w14:paraId="5539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301D3C3">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5453CC8">
            <w:pPr>
              <w:spacing w:line="440" w:lineRule="exact"/>
              <w:jc w:val="center"/>
              <w:rPr>
                <w:rFonts w:hint="eastAsia" w:ascii="宋体" w:hAnsi="宋体" w:eastAsia="宋体" w:cs="宋体"/>
                <w:bCs/>
                <w:color w:val="auto"/>
                <w:kern w:val="0"/>
                <w:sz w:val="24"/>
                <w:szCs w:val="24"/>
                <w:lang w:val="en-US" w:eastAsia="zh-CN" w:bidi="ar-SA"/>
              </w:rPr>
            </w:pPr>
            <w:r>
              <w:rPr>
                <w:rFonts w:hint="eastAsia" w:ascii="宋体" w:hAnsi="宋体" w:eastAsia="宋体" w:cs="宋体"/>
                <w:color w:val="auto"/>
                <w:sz w:val="24"/>
                <w:szCs w:val="24"/>
                <w:lang w:val="en-US" w:eastAsia="zh-CN"/>
              </w:rPr>
              <w:t>响应文件</w:t>
            </w:r>
            <w:r>
              <w:rPr>
                <w:rFonts w:hint="eastAsia" w:ascii="宋体" w:hAnsi="宋体" w:eastAsia="宋体" w:cs="宋体"/>
                <w:color w:val="auto"/>
                <w:sz w:val="24"/>
                <w:szCs w:val="24"/>
                <w:lang w:eastAsia="zh-CN"/>
              </w:rPr>
              <w:t>份数</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8976D51">
            <w:pPr>
              <w:pStyle w:val="5"/>
              <w:keepNext w:val="0"/>
              <w:keepLines w:val="0"/>
              <w:pageBreakBefore w:val="0"/>
              <w:widowControl w:val="0"/>
              <w:kinsoku/>
              <w:wordWrap/>
              <w:overflowPunct/>
              <w:topLinePunct w:val="0"/>
              <w:autoSpaceDE/>
              <w:autoSpaceDN/>
              <w:bidi w:val="0"/>
              <w:adjustRightInd/>
              <w:snapToGrid/>
              <w:spacing w:afterLines="0" w:line="40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2"/>
                <w:sz w:val="24"/>
                <w:szCs w:val="24"/>
                <w:lang w:val="en-US" w:eastAsia="zh-CN" w:bidi="ar-SA"/>
              </w:rPr>
              <w:t>开标时不再递交纸质响应文件，成交单位领取成交通知书时提交三份纸质响应文件。</w:t>
            </w:r>
          </w:p>
        </w:tc>
      </w:tr>
      <w:tr w14:paraId="53DA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9FF66E2">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010C350E">
            <w:pPr>
              <w:widowControl/>
              <w:spacing w:line="360" w:lineRule="auto"/>
              <w:jc w:val="center"/>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不良行为记录</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4CB56C9A">
            <w:pPr>
              <w:widowControl/>
              <w:spacing w:line="360" w:lineRule="auto"/>
              <w:jc w:val="left"/>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在以往建设项目中，因质量、安全、节能及交易活动受通报批评或记入不良行为记录。</w:t>
            </w:r>
          </w:p>
        </w:tc>
      </w:tr>
      <w:tr w14:paraId="1545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0A17621F">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F04A7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rPr>
              <w:t>河南省政府采购合同融资政策告知函</w:t>
            </w:r>
          </w:p>
        </w:tc>
        <w:tc>
          <w:tcPr>
            <w:tcW w:w="63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D31A6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各供应商：</w:t>
            </w:r>
          </w:p>
          <w:p w14:paraId="6A85214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欢迎贵公司参与河南省政府采购活动！</w:t>
            </w:r>
          </w:p>
          <w:p w14:paraId="7DC39AE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5DAB781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rPr>
              <w:t>贷款渠道和提供贷款的金融机构，可在河南省政府采购网“河南省政府采购合同融资平台”查询联系。</w:t>
            </w:r>
          </w:p>
        </w:tc>
      </w:tr>
      <w:tr w14:paraId="5923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25DB913">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3BC99F9">
            <w:pPr>
              <w:spacing w:line="360" w:lineRule="auto"/>
              <w:jc w:val="center"/>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知识产权</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0918EE05">
            <w:pPr>
              <w:spacing w:line="360" w:lineRule="auto"/>
              <w:jc w:val="left"/>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构成本竞争性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文件各个组成部分的文件，未经采购人书面同意，</w:t>
            </w:r>
            <w:r>
              <w:rPr>
                <w:rFonts w:hint="eastAsia" w:ascii="宋体" w:hAnsi="宋体" w:eastAsia="宋体" w:cs="宋体"/>
                <w:color w:val="auto"/>
                <w:sz w:val="24"/>
                <w:szCs w:val="24"/>
                <w:highlight w:val="none"/>
                <w:lang w:eastAsia="zh-CN"/>
              </w:rPr>
              <w:t>响应人</w:t>
            </w:r>
            <w:r>
              <w:rPr>
                <w:rFonts w:hint="eastAsia" w:ascii="宋体" w:hAnsi="宋体" w:eastAsia="宋体" w:cs="宋体"/>
                <w:color w:val="auto"/>
                <w:sz w:val="24"/>
                <w:szCs w:val="24"/>
                <w:highlight w:val="none"/>
              </w:rPr>
              <w:t>不得擅自复印和用于非本招标项目所需的其他目的。采购人全部或者部分使用未成交人</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中的技术成果或技术方案时，需征得其书面同意，并不得擅自复印或提供给第三人</w:t>
            </w:r>
          </w:p>
        </w:tc>
      </w:tr>
      <w:tr w14:paraId="3C85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5D289704">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6F0F388F">
            <w:pPr>
              <w:spacing w:line="360" w:lineRule="auto"/>
              <w:jc w:val="center"/>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监督</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2A4C0E10">
            <w:pPr>
              <w:spacing w:line="360" w:lineRule="auto"/>
              <w:jc w:val="left"/>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本项目的招标投标活动及其相关当事人应当接受有管辖权的建设工程招标投标行政监督部门依法实施的监督</w:t>
            </w:r>
          </w:p>
        </w:tc>
      </w:tr>
      <w:tr w14:paraId="6132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7C858572">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36A22232">
            <w:pPr>
              <w:spacing w:line="360" w:lineRule="auto"/>
              <w:jc w:val="center"/>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解释权</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1EEDD707">
            <w:pPr>
              <w:spacing w:line="360" w:lineRule="auto"/>
              <w:jc w:val="left"/>
              <w:rPr>
                <w:rFonts w:hint="eastAsia" w:ascii="宋体" w:hAnsi="宋体" w:eastAsia="宋体" w:cs="宋体"/>
                <w:kern w:val="44"/>
                <w:sz w:val="24"/>
                <w:szCs w:val="24"/>
                <w:highlight w:val="none"/>
              </w:rPr>
            </w:pPr>
            <w:r>
              <w:rPr>
                <w:rFonts w:hint="eastAsia" w:ascii="宋体" w:hAnsi="宋体" w:eastAsia="宋体" w:cs="宋体"/>
                <w:color w:val="auto"/>
                <w:sz w:val="24"/>
                <w:szCs w:val="24"/>
                <w:highlight w:val="none"/>
              </w:rPr>
              <w:t>构成本竞争性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文件的各个组成部分应互为解释，互为说明，如有不明确或不一致，构成合同文件组成内容，以合同文件约定内容为准，且以专用</w:t>
            </w:r>
            <w:r>
              <w:rPr>
                <w:rFonts w:hint="eastAsia" w:ascii="宋体" w:hAnsi="宋体" w:eastAsia="宋体" w:cs="宋体"/>
                <w:color w:val="auto"/>
                <w:sz w:val="24"/>
                <w:szCs w:val="24"/>
                <w:highlight w:val="none"/>
                <w:lang w:eastAsia="zh-CN"/>
              </w:rPr>
              <w:t>合同草案</w:t>
            </w:r>
            <w:r>
              <w:rPr>
                <w:rFonts w:hint="eastAsia" w:ascii="宋体" w:hAnsi="宋体" w:eastAsia="宋体" w:cs="宋体"/>
                <w:color w:val="auto"/>
                <w:sz w:val="24"/>
                <w:szCs w:val="24"/>
                <w:highlight w:val="none"/>
              </w:rPr>
              <w:t>约定的合同文件优先顺序解释；除竞争性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文件中有特别规定外，仅适用于招标投标阶段的规定，按招标公告（投标邀请书）、评标办法、</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格式的先后顺序解释；同一组成文件中就同一事项的规定或约定不一致的，以编排顺序在后者为准；同一组成文件不同版本之间有不一致的，已形成时间在后者为准。按本款前述规定仍不能形成结论的，由采购人</w:t>
            </w:r>
            <w:r>
              <w:rPr>
                <w:rFonts w:hint="eastAsia" w:ascii="宋体" w:hAnsi="宋体" w:eastAsia="宋体" w:cs="宋体"/>
                <w:color w:val="auto"/>
                <w:sz w:val="24"/>
                <w:szCs w:val="24"/>
                <w:highlight w:val="none"/>
                <w:lang w:eastAsia="zh-CN"/>
              </w:rPr>
              <w:t>或委托代理机构</w:t>
            </w:r>
            <w:r>
              <w:rPr>
                <w:rFonts w:hint="eastAsia" w:ascii="宋体" w:hAnsi="宋体" w:eastAsia="宋体" w:cs="宋体"/>
                <w:color w:val="auto"/>
                <w:sz w:val="24"/>
                <w:szCs w:val="24"/>
                <w:highlight w:val="none"/>
              </w:rPr>
              <w:t>负责解释</w:t>
            </w:r>
            <w:r>
              <w:rPr>
                <w:rFonts w:hint="eastAsia" w:ascii="宋体" w:hAnsi="宋体" w:eastAsia="宋体" w:cs="宋体"/>
                <w:color w:val="auto"/>
                <w:sz w:val="24"/>
                <w:szCs w:val="24"/>
                <w:highlight w:val="none"/>
                <w:lang w:eastAsia="zh-CN"/>
              </w:rPr>
              <w:t>。</w:t>
            </w:r>
          </w:p>
        </w:tc>
      </w:tr>
      <w:tr w14:paraId="631F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4B56CEF">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792C6E35">
            <w:pPr>
              <w:spacing w:line="360" w:lineRule="auto"/>
              <w:jc w:val="center"/>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同义词语</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05787C23">
            <w:pPr>
              <w:spacing w:line="360" w:lineRule="auto"/>
              <w:jc w:val="left"/>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构成竞争性磋商文件组成部分的“通用合同条款”、“专用合同条款”、“技术标准和要求”等章节中出现的措辞“发包人”和“承包人”，在招标投标阶段应当分别按“</w:t>
            </w:r>
            <w:r>
              <w:rPr>
                <w:rFonts w:hint="eastAsia" w:ascii="宋体" w:hAnsi="宋体" w:eastAsia="宋体" w:cs="宋体"/>
                <w:kern w:val="44"/>
                <w:sz w:val="24"/>
                <w:szCs w:val="24"/>
                <w:highlight w:val="none"/>
                <w:lang w:eastAsia="zh-CN"/>
              </w:rPr>
              <w:t>采购人</w:t>
            </w:r>
            <w:r>
              <w:rPr>
                <w:rFonts w:hint="eastAsia" w:ascii="宋体" w:hAnsi="宋体" w:eastAsia="宋体" w:cs="宋体"/>
                <w:kern w:val="44"/>
                <w:sz w:val="24"/>
                <w:szCs w:val="24"/>
                <w:highlight w:val="none"/>
              </w:rPr>
              <w:t>”和“</w:t>
            </w:r>
            <w:r>
              <w:rPr>
                <w:rFonts w:hint="eastAsia" w:ascii="宋体" w:hAnsi="宋体" w:eastAsia="宋体" w:cs="宋体"/>
                <w:kern w:val="44"/>
                <w:sz w:val="24"/>
                <w:szCs w:val="24"/>
                <w:highlight w:val="none"/>
                <w:lang w:eastAsia="zh-CN"/>
              </w:rPr>
              <w:t>响应人</w:t>
            </w:r>
            <w:r>
              <w:rPr>
                <w:rFonts w:hint="eastAsia" w:ascii="宋体" w:hAnsi="宋体" w:eastAsia="宋体" w:cs="宋体"/>
                <w:kern w:val="44"/>
                <w:sz w:val="24"/>
                <w:szCs w:val="24"/>
                <w:highlight w:val="none"/>
              </w:rPr>
              <w:t>”进行理解。</w:t>
            </w:r>
          </w:p>
        </w:tc>
      </w:tr>
      <w:tr w14:paraId="3520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14:paraId="3D82E2B7">
            <w:pPr>
              <w:numPr>
                <w:ilvl w:val="0"/>
                <w:numId w:val="1"/>
              </w:numPr>
              <w:spacing w:line="360" w:lineRule="auto"/>
              <w:ind w:left="425" w:leftChars="0" w:hanging="425" w:firstLineChars="0"/>
              <w:jc w:val="center"/>
              <w:rPr>
                <w:rFonts w:hint="eastAsia" w:ascii="宋体" w:hAnsi="宋体" w:eastAsia="宋体" w:cs="宋体"/>
                <w:color w:val="auto"/>
                <w:sz w:val="24"/>
                <w:szCs w:val="24"/>
                <w:highlight w:val="none"/>
                <w:lang w:val="en-US" w:eastAsia="zh-CN"/>
              </w:rPr>
            </w:pPr>
          </w:p>
        </w:tc>
        <w:tc>
          <w:tcPr>
            <w:tcW w:w="2306" w:type="dxa"/>
            <w:tcBorders>
              <w:top w:val="single" w:color="auto" w:sz="4" w:space="0"/>
              <w:left w:val="single" w:color="auto" w:sz="4" w:space="0"/>
              <w:bottom w:val="single" w:color="auto" w:sz="4" w:space="0"/>
              <w:right w:val="single" w:color="auto" w:sz="4" w:space="0"/>
            </w:tcBorders>
            <w:noWrap w:val="0"/>
            <w:vAlign w:val="center"/>
          </w:tcPr>
          <w:p w14:paraId="51F53ACF">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电子化交易</w:t>
            </w:r>
          </w:p>
          <w:p w14:paraId="421BD5B3">
            <w:pPr>
              <w:widowControl/>
              <w:wordWrap w:val="0"/>
              <w:spacing w:line="360" w:lineRule="auto"/>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注意事项</w:t>
            </w:r>
          </w:p>
        </w:tc>
        <w:tc>
          <w:tcPr>
            <w:tcW w:w="6382" w:type="dxa"/>
            <w:tcBorders>
              <w:top w:val="single" w:color="auto" w:sz="4" w:space="0"/>
              <w:left w:val="single" w:color="auto" w:sz="4" w:space="0"/>
              <w:bottom w:val="single" w:color="auto" w:sz="4" w:space="0"/>
              <w:right w:val="single" w:color="auto" w:sz="4" w:space="0"/>
            </w:tcBorders>
            <w:noWrap w:val="0"/>
            <w:vAlign w:val="center"/>
          </w:tcPr>
          <w:p w14:paraId="641E4E37">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具体要求：本项目为电子化、无纸化交易项目，响应文件是响应人通过中心磋商响应文件制作系统制作，并经过签章和加密后生成的电子版磋商响应文件。</w:t>
            </w:r>
          </w:p>
          <w:p w14:paraId="385F9AC8">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一、电子化投标</w:t>
            </w:r>
          </w:p>
          <w:p w14:paraId="27F365FC">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（一）网上磋商保证金的缴纳</w:t>
            </w:r>
          </w:p>
          <w:p w14:paraId="2ABBE78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根据《河南省财政厅关于优化政府采购营商环境有关问题的通知》（豫财购【2019】4号）第6条的规定，磋商保证金不再收取。</w:t>
            </w:r>
          </w:p>
          <w:p w14:paraId="15947EEA">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（二）电子化响应文件的签章</w:t>
            </w:r>
          </w:p>
          <w:p w14:paraId="35F3A1E3">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1、响应人在生成电子化磋商响应文件后，应对电子化磋商响应文件进行签章，未进行签章的视为无效响应。</w:t>
            </w:r>
          </w:p>
          <w:p w14:paraId="4C1114A4">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2、竞争性磋商文件中要求磋商响应响应人盖章的，以签盖单位章为准；要求法定代表人或授权代理人签章的，以签盖法定代表人签章为准。</w:t>
            </w:r>
          </w:p>
          <w:p w14:paraId="4A63ACD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（三）电子化磋商响应文件的格式及上传投标</w:t>
            </w:r>
          </w:p>
          <w:p w14:paraId="12407AA1">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响应人所上传的电子化磋商响应文件，应是通过中心响应文件制作系统制作的（响应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210FFDA9">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电子化磋商响应文件具体制作教材请响应人点击以下链接学习http://gzjy.smx.gov.cn/SMX/InformationCenter/NewsDetail.do?CID=fdd6c8fc-bb0a-4c07-8715-d29609fc7a80&amp;ID=3061a14f-cf3f-4cdd-aad4-7e2873151413</w:t>
            </w:r>
          </w:p>
          <w:p w14:paraId="3348DE4A">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注：响应人投报多个标段的，需要每个标段单独制作电子磋商响应文件。</w:t>
            </w:r>
          </w:p>
          <w:p w14:paraId="7DDC1DB5">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2、电子化磋商响应文件应在磋商截止时间前成功上传至三门峡市公共资源电子化交易系统。至磋商截止时间止，仍未上传成功的电子化磋商响应文件将不予接收。</w:t>
            </w:r>
          </w:p>
          <w:p w14:paraId="5024B69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注：如按照电子化投标操作教材制作完成的电子化磋商响应文件无法上传的，响应人应在磋商截止时间前尽早的联系中心技术人员，以便有充分的时间进行处理。响应人应充分考虑到处理技术问题和上传数据等工作所需的时间问题，磋商响应文件未在磋商截止时间前成功上传的，其磋商响应文件不予接收。</w:t>
            </w:r>
          </w:p>
          <w:p w14:paraId="591E1907">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技术联系电话：4009980000</w:t>
            </w:r>
          </w:p>
          <w:p w14:paraId="2CC243BC">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（四）电子化项目开标、解密、唱标、评标</w:t>
            </w:r>
          </w:p>
          <w:p w14:paraId="09E45847">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本项目采用电子化、无纸化进行招标，开标当日，响应人无需到开标现场参加开标会议，响应人应当在磋商截止时间前，登陆不见面开标大厅选择登陆三门峡市公共资源电子招投标系统进行登陆（网址为http://120.194.249.36:10094/BidOpening/bidopeninghallaction/hall/login）</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eastAsia="zh-CN"/>
              </w:rPr>
              <w:t>在线准时参加开标活动并进行磋商响应文件解密等。</w:t>
            </w:r>
          </w:p>
          <w:p w14:paraId="6656F4D8">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电子化磋商响应文件采用一次加密方式。开标时，由响应人使用CA证书，在规定时间内对其电子化磋商响应文件进行解密。每位响应人的解密时间为开标时间起30分钟内，如在规定时间内未完成解密的，其磋商响应文件不予开标、唱标。</w:t>
            </w:r>
          </w:p>
          <w:p w14:paraId="2844AA2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3、电子化磋商响应文件解密异常的处理</w:t>
            </w:r>
          </w:p>
          <w:p w14:paraId="4A135854">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如出现响应人的电子磋商响应文件无法解密等异常情况，响应人应及时致电中介服务机构说明。磋商响应文件异常，按以下步骤进行处理：</w:t>
            </w:r>
          </w:p>
          <w:p w14:paraId="26C63F37">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（1）首先由技术人员进行问题排查。</w:t>
            </w:r>
          </w:p>
          <w:p w14:paraId="303F9F68">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（2）经技术人员排查后，是响应人文件自身问题导致磋商响应文件无法解密的，该磋商响应文件将不予接收、解密和唱标。开标会议继续进行。</w:t>
            </w:r>
          </w:p>
          <w:p w14:paraId="6CBA0776">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2F2C9550">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4、待所有响应人磋商响应文件解密完成后，由中介服务机构操作，对所有已解密磋商响应文件进行唱标。</w:t>
            </w:r>
          </w:p>
          <w:p w14:paraId="7502844F">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响应人应保证在磋商期间电话、电脑、网络能够正常工作，响应人因停电、电脑病毒、网络堵塞等原因，未在规定的解密时间内对磋商响应文件进行解密的，其磋商响应文件不予接收、唱标。</w:t>
            </w:r>
          </w:p>
          <w:p w14:paraId="68704D13">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5、磋商时响应人可登录到交易系统中在开标解密栏中点击报价一览表查看自己的磋商响应报价。如对自己的唱标内容有异议的，应在响应人解密成功后10分钟内向中介服务机构电话质疑。中介服务机构应在监督人员的监督下进行免提通话接受响应人的质疑并做好书面记录。响应人未在规定时间内提出质疑的，视为认可唱标内容。</w:t>
            </w:r>
          </w:p>
          <w:p w14:paraId="56868883">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6、评审时，磋商小组对电子化磋商响应文件有质疑的，将通过电子化交易系统对响应人发起质疑，并在监督人员的监督下，用免提模式致电需要答复的响应人对质疑进行回复。响应人的回复文件必须以经过响应人和其法定代表人签章的PDF格式文件为准，并通过电子化交易系统提交至评标委员会。</w:t>
            </w:r>
          </w:p>
          <w:p w14:paraId="2CE22B00">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7、如磋商小组对需要回复的响应人连续三次致电未接通的，视为响应人放弃回复，磋商小组将自行对需要回复的内容进行认定。</w:t>
            </w:r>
          </w:p>
          <w:p w14:paraId="5ADA723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二、相关证书原件的提交</w:t>
            </w:r>
          </w:p>
          <w:p w14:paraId="2127FD8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1、本项目实行资格后审，资格审查内容以响应文件为准，其资料真实性由响应人自行承担，同时响应人要完善主体库。</w:t>
            </w:r>
          </w:p>
          <w:p w14:paraId="66BC4BE5">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2、评审打分部分：评审打分部分仍按照100分制原则进行，涉及到资格审查、企业荣誉、人员业绩、企业业绩等计分部分时，以响应人自行上传到响应文件中的相应内容为准。</w:t>
            </w:r>
          </w:p>
          <w:p w14:paraId="07AAE72D">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3、响应人按照响应文件格式进行响应文件编制，在响应文件编制时，应明确将响应人企业基本情况、资质情况、人员情况、财务情况、业绩情况等信息编入响应文件，便于进行资格审查及评审打分。</w:t>
            </w:r>
          </w:p>
          <w:p w14:paraId="234E1EBB">
            <w:pPr>
              <w:widowControl/>
              <w:wordWrap w:val="0"/>
              <w:spacing w:line="360" w:lineRule="auto"/>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提示：本项目为电子化、无纸化交易项目，为保证您能投标成功，请需仔细阅读以上条款。</w:t>
            </w:r>
          </w:p>
        </w:tc>
      </w:tr>
    </w:tbl>
    <w:p w14:paraId="6DC36EF6">
      <w:pPr>
        <w:widowControl/>
        <w:spacing w:line="240" w:lineRule="auto"/>
        <w:jc w:val="left"/>
        <w:rPr>
          <w:rFonts w:hint="eastAsia" w:ascii="Times New Roman" w:hAnsi="Times New Roman"/>
          <w:color w:val="000000"/>
          <w:kern w:val="0"/>
          <w:sz w:val="20"/>
          <w:szCs w:val="20"/>
          <w:highlight w:val="none"/>
        </w:rPr>
      </w:pPr>
    </w:p>
    <w:bookmarkEnd w:id="50"/>
    <w:bookmarkEnd w:id="51"/>
    <w:bookmarkEnd w:id="52"/>
    <w:bookmarkEnd w:id="53"/>
    <w:bookmarkEnd w:id="54"/>
    <w:bookmarkEnd w:id="55"/>
    <w:bookmarkEnd w:id="56"/>
    <w:bookmarkEnd w:id="57"/>
    <w:bookmarkEnd w:id="58"/>
    <w:p w14:paraId="78D570BD">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68" w:name="_Toc19607"/>
      <w:r>
        <w:rPr>
          <w:rFonts w:hint="eastAsia" w:ascii="宋体" w:hAnsi="宋体" w:eastAsia="宋体" w:cs="宋体"/>
          <w:b/>
          <w:bCs/>
          <w:color w:val="auto"/>
          <w:kern w:val="2"/>
          <w:sz w:val="24"/>
          <w:szCs w:val="24"/>
          <w:lang w:val="en-US" w:eastAsia="zh-CN" w:bidi="ar-SA"/>
        </w:rPr>
        <w:t>1.总则</w:t>
      </w:r>
      <w:bookmarkEnd w:id="68"/>
    </w:p>
    <w:p w14:paraId="365FC821">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 项目概况</w:t>
      </w:r>
    </w:p>
    <w:p w14:paraId="3028ED1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1.1.1《中华人民共和国政府采购法》、《政府采购竞争性磋商采购方式管理暂行办法》及财库〔2015〕124号文。</w:t>
      </w:r>
    </w:p>
    <w:p w14:paraId="57D736C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1.1.2 采购人：见供应商须知前附表。</w:t>
      </w:r>
    </w:p>
    <w:p w14:paraId="1ED68D9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1.1.3 代理机构：见供应商须知前附表。</w:t>
      </w:r>
    </w:p>
    <w:p w14:paraId="3D6A32C0">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1.1.4 采购项目名称：见供应商须知前附表。</w:t>
      </w:r>
    </w:p>
    <w:p w14:paraId="13562AF5">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1.1.5 项目地点：见供应商须知前附表。</w:t>
      </w:r>
    </w:p>
    <w:p w14:paraId="7C60D101">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 资金来源和落实情况</w:t>
      </w:r>
    </w:p>
    <w:p w14:paraId="4DC925BE">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1.2.1 资金来源：见供应商须知前附表。</w:t>
      </w:r>
    </w:p>
    <w:p w14:paraId="5F1F6668">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1.2.2资金落实情况：见供应商须知前附表。</w:t>
      </w:r>
    </w:p>
    <w:p w14:paraId="063731B8">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 磋商范围、服务周期和质量标准</w:t>
      </w:r>
    </w:p>
    <w:p w14:paraId="413D597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1.3.1 磋商范围：见供应商须知前附表。</w:t>
      </w:r>
    </w:p>
    <w:p w14:paraId="167EECE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1.3.2 服务周期：见供应商须知前附表。</w:t>
      </w:r>
    </w:p>
    <w:p w14:paraId="16C0255E">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1.3.3 质量标准：见供应商须知前附表。</w:t>
      </w:r>
    </w:p>
    <w:p w14:paraId="69D3C1C5">
      <w:p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1.4 供应商资格要求</w:t>
      </w:r>
    </w:p>
    <w:p w14:paraId="425368B4">
      <w:pPr>
        <w:spacing w:line="360" w:lineRule="auto"/>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详见供应商前附表供应商资格要求</w:t>
      </w:r>
    </w:p>
    <w:p w14:paraId="456C34E1">
      <w:pPr>
        <w:spacing w:line="360" w:lineRule="auto"/>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1.4.1供应商不得存在下列情形之一：</w:t>
      </w:r>
    </w:p>
    <w:p w14:paraId="102AD6CB">
      <w:pPr>
        <w:spacing w:line="360" w:lineRule="auto"/>
        <w:ind w:firstLine="43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(1)不具有独立法人资格的附属机构(单位)；</w:t>
      </w:r>
    </w:p>
    <w:p w14:paraId="5A2BB4F6">
      <w:pPr>
        <w:spacing w:line="360" w:lineRule="auto"/>
        <w:ind w:firstLine="43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(2)被责令停业的；</w:t>
      </w:r>
    </w:p>
    <w:p w14:paraId="44D913A5">
      <w:pPr>
        <w:spacing w:line="360" w:lineRule="auto"/>
        <w:ind w:firstLine="43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(3)被暂停或取消投标资格的；</w:t>
      </w:r>
    </w:p>
    <w:p w14:paraId="39ADA501">
      <w:pPr>
        <w:spacing w:line="360" w:lineRule="auto"/>
        <w:ind w:firstLine="43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(4)财产被接管或冻结的； </w:t>
      </w:r>
    </w:p>
    <w:p w14:paraId="3088CA04">
      <w:pPr>
        <w:spacing w:line="360" w:lineRule="auto"/>
        <w:ind w:firstLine="43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(5)在最近三年内有骗取中标或严重违约原因引起的重大工程质量问题的。</w:t>
      </w:r>
    </w:p>
    <w:p w14:paraId="4508B303">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1.5 费用承担</w:t>
      </w:r>
    </w:p>
    <w:p w14:paraId="55A76F4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供应商准备和参加磋商活动发生的费用自理。</w:t>
      </w:r>
    </w:p>
    <w:p w14:paraId="6943E350">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1.6 保密</w:t>
      </w:r>
    </w:p>
    <w:p w14:paraId="356FF59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参与磋商活动的各方应对磋商文件和响应文件中的商业和技术等秘密保密，违者应对由此造成的后果承担法律责任。</w:t>
      </w:r>
    </w:p>
    <w:p w14:paraId="3EBD167F">
      <w:pPr>
        <w:autoSpaceDE w:val="0"/>
        <w:autoSpaceDN w:val="0"/>
        <w:adjustRightInd w:val="0"/>
        <w:spacing w:line="360" w:lineRule="auto"/>
        <w:jc w:val="left"/>
        <w:textAlignment w:val="baseline"/>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 语言文字</w:t>
      </w:r>
    </w:p>
    <w:p w14:paraId="295B54C4">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除专用术语外，与磋商有关的语言均使用中文。必要时专用术语应附有中文注释。</w:t>
      </w:r>
    </w:p>
    <w:p w14:paraId="548EC4DB">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 计量单位</w:t>
      </w:r>
    </w:p>
    <w:p w14:paraId="5E896072">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所有计量均采用中华人民共和国法定计量单位。</w:t>
      </w:r>
    </w:p>
    <w:p w14:paraId="3D484378">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 踏勘现场</w:t>
      </w:r>
    </w:p>
    <w:p w14:paraId="5C00800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1.9.1 采购人不统一组织供应商踏勘项目现场。</w:t>
      </w:r>
    </w:p>
    <w:p w14:paraId="14FF32E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1.9.2 供应商踏勘现场发生的费用自理。</w:t>
      </w:r>
    </w:p>
    <w:p w14:paraId="4E50BB5E">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1.9.3 供应商自行负责在踏勘现场中所发生的人员伤亡和财产损失。</w:t>
      </w:r>
    </w:p>
    <w:p w14:paraId="03CCE43B">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1.10 磋商预备会：不召开</w:t>
      </w:r>
    </w:p>
    <w:p w14:paraId="4DE53B3B">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1.11 分包：不允许分包</w:t>
      </w:r>
    </w:p>
    <w:p w14:paraId="0C822FA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1.12 偏离：不允许偏离</w:t>
      </w:r>
    </w:p>
    <w:p w14:paraId="322EAFEE">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69" w:name="_Toc21135"/>
      <w:bookmarkStart w:id="70" w:name="_Toc513029210"/>
      <w:bookmarkStart w:id="71" w:name="_Toc20823282"/>
      <w:bookmarkStart w:id="72" w:name="_Toc16938526"/>
      <w:r>
        <w:rPr>
          <w:rFonts w:hint="eastAsia" w:ascii="宋体" w:hAnsi="宋体" w:eastAsia="宋体" w:cs="宋体"/>
          <w:b/>
          <w:bCs/>
          <w:color w:val="auto"/>
          <w:kern w:val="2"/>
          <w:sz w:val="24"/>
          <w:szCs w:val="24"/>
          <w:lang w:val="en-US" w:eastAsia="zh-CN" w:bidi="ar-SA"/>
        </w:rPr>
        <w:t>2.竞争性磋商文件构成</w:t>
      </w:r>
      <w:bookmarkEnd w:id="69"/>
      <w:bookmarkEnd w:id="70"/>
      <w:bookmarkEnd w:id="71"/>
      <w:bookmarkEnd w:id="72"/>
    </w:p>
    <w:p w14:paraId="3208BACE">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73" w:name="_Toc2601"/>
      <w:r>
        <w:rPr>
          <w:rFonts w:hint="eastAsia" w:ascii="宋体" w:hAnsi="宋体" w:eastAsia="宋体" w:cs="宋体"/>
          <w:color w:val="auto"/>
          <w:kern w:val="2"/>
          <w:sz w:val="24"/>
          <w:szCs w:val="24"/>
          <w:lang w:val="en-US" w:eastAsia="zh-CN" w:bidi="ar-SA"/>
        </w:rPr>
        <w:t>2.1 竞争性磋商文件有以下部分组成：</w:t>
      </w:r>
      <w:bookmarkEnd w:id="73"/>
    </w:p>
    <w:p w14:paraId="0D101CA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本竞争性磋商文件包括：</w:t>
      </w:r>
    </w:p>
    <w:p w14:paraId="34BB7F0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（1）竞争性磋商公告</w:t>
      </w:r>
    </w:p>
    <w:p w14:paraId="3C6925E2">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（2）供应商须知</w:t>
      </w:r>
    </w:p>
    <w:p w14:paraId="78A592AA">
      <w:pPr>
        <w:autoSpaceDE w:val="0"/>
        <w:autoSpaceDN w:val="0"/>
        <w:adjustRightInd w:val="0"/>
        <w:spacing w:line="360" w:lineRule="auto"/>
        <w:ind w:firstLine="480" w:firstLineChars="200"/>
        <w:jc w:val="left"/>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（3）评标办法</w:t>
      </w:r>
    </w:p>
    <w:p w14:paraId="0B8A3FF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（4）合同条款及格式</w:t>
      </w:r>
    </w:p>
    <w:p w14:paraId="6422D30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bookmarkStart w:id="74" w:name="_Toc16938527"/>
      <w:bookmarkStart w:id="75" w:name="_Toc462564070"/>
      <w:bookmarkStart w:id="76" w:name="_Toc20823283"/>
      <w:bookmarkStart w:id="77" w:name="_Toc513029211"/>
      <w:r>
        <w:rPr>
          <w:rFonts w:hint="eastAsia" w:ascii="宋体" w:hAnsi="宋体" w:eastAsia="宋体" w:cs="宋体"/>
          <w:color w:val="auto"/>
          <w:kern w:val="2"/>
          <w:sz w:val="24"/>
          <w:szCs w:val="24"/>
          <w:lang w:val="en-US" w:eastAsia="zh-CN" w:bidi="ar-SA"/>
        </w:rPr>
        <w:t>监理技术要求</w:t>
      </w:r>
    </w:p>
    <w:p w14:paraId="71CEB5F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（6）响应文件格式</w:t>
      </w:r>
    </w:p>
    <w:p w14:paraId="328791C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对竞争性磋商文件所作的澄清、修改，构成竞争性磋商文件的组成部分。</w:t>
      </w:r>
    </w:p>
    <w:p w14:paraId="2750DAFA">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78" w:name="_Toc454"/>
      <w:r>
        <w:rPr>
          <w:rFonts w:hint="eastAsia" w:ascii="宋体" w:hAnsi="宋体" w:eastAsia="宋体" w:cs="宋体"/>
          <w:color w:val="auto"/>
          <w:kern w:val="2"/>
          <w:sz w:val="24"/>
          <w:szCs w:val="24"/>
          <w:lang w:val="en-US" w:eastAsia="zh-CN" w:bidi="ar-SA"/>
        </w:rPr>
        <w:t>2.2 竞争性磋商文件的澄清</w:t>
      </w:r>
      <w:bookmarkEnd w:id="74"/>
      <w:bookmarkEnd w:id="75"/>
      <w:bookmarkEnd w:id="76"/>
      <w:bookmarkEnd w:id="77"/>
      <w:r>
        <w:rPr>
          <w:rFonts w:hint="eastAsia" w:ascii="宋体" w:hAnsi="宋体" w:eastAsia="宋体" w:cs="宋体"/>
          <w:color w:val="auto"/>
          <w:kern w:val="2"/>
          <w:sz w:val="24"/>
          <w:szCs w:val="24"/>
          <w:lang w:val="en-US" w:eastAsia="zh-CN" w:bidi="ar-SA"/>
        </w:rPr>
        <w:t>及修改</w:t>
      </w:r>
      <w:bookmarkEnd w:id="78"/>
    </w:p>
    <w:p w14:paraId="010AB1F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79" w:name="_Hlt16619475"/>
      <w:bookmarkEnd w:id="79"/>
      <w:r>
        <w:rPr>
          <w:rFonts w:hint="eastAsia" w:ascii="宋体" w:hAnsi="宋体" w:eastAsia="宋体" w:cs="宋体"/>
          <w:color w:val="auto"/>
          <w:kern w:val="2"/>
          <w:sz w:val="24"/>
          <w:szCs w:val="24"/>
          <w:lang w:val="en-US" w:eastAsia="zh-CN" w:bidi="ar-SA"/>
        </w:rPr>
        <w:t>2.2.1 供应商应仔细阅读和检查竞争性磋商文件的全部内容。如发现缺页或附件不全，应及时向采购人提出，以便补齐。如有疑问，应在供应商须知前附表规定的时间前以书面的形式，要求采购人对竞争性磋商文件予以澄清。</w:t>
      </w:r>
    </w:p>
    <w:p w14:paraId="0263016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2.2.2竞争性磋商文件的澄清将以书面形式发给所有购买竞争性磋商文件的供应商，但不指明澄清问题的来源。如果澄清发出的时间距供应商须知前附表规定的磋商截止时间不足5日，并且澄清内容影响磋商响应文件编制的，将相应延长磋商截止时间。 </w:t>
      </w:r>
    </w:p>
    <w:p w14:paraId="0ACA0DD0">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80" w:name="_Toc247085704"/>
      <w:bookmarkStart w:id="81" w:name="_Toc152042321"/>
      <w:bookmarkStart w:id="82" w:name="_Toc296602435"/>
      <w:bookmarkStart w:id="83" w:name="_Toc144974513"/>
      <w:bookmarkStart w:id="84" w:name="_Toc246996933"/>
      <w:bookmarkStart w:id="85" w:name="_Toc246996190"/>
      <w:bookmarkStart w:id="86" w:name="_Toc179632563"/>
      <w:bookmarkStart w:id="87" w:name="_Toc152045545"/>
      <w:bookmarkStart w:id="88" w:name="_Toc3808"/>
      <w:r>
        <w:rPr>
          <w:rFonts w:hint="eastAsia" w:ascii="宋体" w:hAnsi="宋体" w:eastAsia="宋体" w:cs="宋体"/>
          <w:color w:val="auto"/>
          <w:kern w:val="2"/>
          <w:sz w:val="24"/>
          <w:szCs w:val="24"/>
          <w:lang w:val="en-US" w:eastAsia="zh-CN" w:bidi="ar-SA"/>
        </w:rPr>
        <w:t>2.3 竞争性磋商文件的修改</w:t>
      </w:r>
      <w:bookmarkEnd w:id="80"/>
      <w:bookmarkEnd w:id="81"/>
      <w:bookmarkEnd w:id="82"/>
      <w:bookmarkEnd w:id="83"/>
      <w:bookmarkEnd w:id="84"/>
      <w:bookmarkEnd w:id="85"/>
      <w:bookmarkEnd w:id="86"/>
      <w:bookmarkEnd w:id="87"/>
      <w:bookmarkEnd w:id="88"/>
    </w:p>
    <w:p w14:paraId="3B1A0C8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2.3.1采购人可以书面形式修改竞争性磋商文件，但如果修改竞争性磋商文件的时间距磋商截止时间不足5日，并且修改内容影响磋商响应文件编制的，将相应延长磋商截止时间。</w:t>
      </w:r>
    </w:p>
    <w:p w14:paraId="4DEA994C">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89" w:name="_Toc24108"/>
      <w:r>
        <w:rPr>
          <w:rFonts w:hint="eastAsia" w:ascii="宋体" w:hAnsi="宋体" w:eastAsia="宋体" w:cs="宋体"/>
          <w:b/>
          <w:bCs/>
          <w:color w:val="auto"/>
          <w:kern w:val="2"/>
          <w:sz w:val="24"/>
          <w:szCs w:val="24"/>
          <w:lang w:val="en-US" w:eastAsia="zh-CN" w:bidi="ar-SA"/>
        </w:rPr>
        <w:t>3.响应文件</w:t>
      </w:r>
      <w:bookmarkEnd w:id="89"/>
    </w:p>
    <w:p w14:paraId="54EA67B1">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0" w:name="_Toc21801"/>
      <w:r>
        <w:rPr>
          <w:rFonts w:hint="eastAsia" w:ascii="宋体" w:hAnsi="宋体" w:eastAsia="宋体" w:cs="宋体"/>
          <w:color w:val="auto"/>
          <w:kern w:val="2"/>
          <w:sz w:val="24"/>
          <w:szCs w:val="24"/>
          <w:lang w:val="en-US" w:eastAsia="zh-CN" w:bidi="ar-SA"/>
        </w:rPr>
        <w:t>3.1 响应文件的组成</w:t>
      </w:r>
      <w:bookmarkEnd w:id="90"/>
    </w:p>
    <w:p w14:paraId="7955616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响应文件应包括下列内容：</w:t>
      </w:r>
    </w:p>
    <w:p w14:paraId="7F35558D">
      <w:pPr>
        <w:autoSpaceDE w:val="0"/>
        <w:autoSpaceDN w:val="0"/>
        <w:adjustRightInd w:val="0"/>
        <w:spacing w:line="360" w:lineRule="auto"/>
        <w:ind w:firstLine="480" w:firstLineChars="200"/>
        <w:jc w:val="left"/>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w:t>
      </w:r>
      <w:r>
        <w:rPr>
          <w:rFonts w:hint="eastAsia" w:ascii="宋体" w:hAnsi="宋体" w:cs="宋体"/>
          <w:color w:val="auto"/>
          <w:kern w:val="2"/>
          <w:sz w:val="24"/>
          <w:szCs w:val="24"/>
          <w:lang w:val="en-US" w:eastAsia="zh-CN" w:bidi="ar-SA"/>
        </w:rPr>
        <w:t>响应</w:t>
      </w:r>
      <w:r>
        <w:rPr>
          <w:rFonts w:hint="eastAsia" w:ascii="宋体" w:hAnsi="宋体" w:eastAsia="宋体" w:cs="宋体"/>
          <w:color w:val="auto"/>
          <w:kern w:val="2"/>
          <w:sz w:val="24"/>
          <w:szCs w:val="24"/>
          <w:lang w:val="en-US" w:eastAsia="zh-CN" w:bidi="ar-SA"/>
        </w:rPr>
        <w:t>文件格式</w:t>
      </w:r>
    </w:p>
    <w:p w14:paraId="1E8CC840">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1" w:name="_Toc10112"/>
      <w:r>
        <w:rPr>
          <w:rFonts w:hint="eastAsia" w:ascii="宋体" w:hAnsi="宋体" w:eastAsia="宋体" w:cs="宋体"/>
          <w:color w:val="auto"/>
          <w:kern w:val="2"/>
          <w:sz w:val="24"/>
          <w:szCs w:val="24"/>
          <w:lang w:val="en-US" w:eastAsia="zh-CN" w:bidi="ar-SA"/>
        </w:rPr>
        <w:t>3.2 报价</w:t>
      </w:r>
      <w:bookmarkEnd w:id="91"/>
    </w:p>
    <w:p w14:paraId="4C5AA57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3.2.1供应商应按照竞争性磋商文件中提供的格式完整地填写响应文件、报价一览表等。</w:t>
      </w:r>
    </w:p>
    <w:p w14:paraId="7D340BBC">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3.2.2供应商应按照竞争性磋商文件提供的报价表格式填写报价。</w:t>
      </w:r>
    </w:p>
    <w:p w14:paraId="07C8309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3.2.3供应商的响应报价应结合现行标准和最高限价自主进行报价。</w:t>
      </w:r>
    </w:p>
    <w:p w14:paraId="27021A7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3.2.4供应商的报价应含有所投服务、税费、交付后约定期限内免费后续服务等工作所发生的一切应有费用，报价为签订合同的依据。</w:t>
      </w:r>
    </w:p>
    <w:p w14:paraId="4DF6236C">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en-US" w:eastAsia="zh-CN" w:bidi="ar-SA"/>
        </w:rPr>
        <w:t>3.2.5</w:t>
      </w:r>
      <w:r>
        <w:rPr>
          <w:rFonts w:hint="eastAsia" w:ascii="宋体" w:hAnsi="宋体" w:eastAsia="宋体" w:cs="宋体"/>
          <w:color w:val="auto"/>
          <w:kern w:val="2"/>
          <w:sz w:val="24"/>
          <w:szCs w:val="24"/>
          <w:lang w:val="zh-CN" w:eastAsia="zh-CN" w:bidi="ar-SA"/>
        </w:rPr>
        <w:t>磋商过程供应商需两轮报价，不得超过采购人公布的项目预算，否则其投标无效。（初次报价、最终报价。本项目进行两次报价，响应文件中报价为初次报价，最终报价不能高于上次报价，高于上次报价视为无效响应）。</w:t>
      </w:r>
    </w:p>
    <w:p w14:paraId="4E96CDA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3.2.6</w:t>
      </w:r>
      <w:r>
        <w:rPr>
          <w:rFonts w:hint="eastAsia" w:ascii="宋体" w:hAnsi="宋体" w:eastAsia="宋体" w:cs="宋体"/>
          <w:color w:val="auto"/>
          <w:kern w:val="2"/>
          <w:sz w:val="24"/>
          <w:szCs w:val="24"/>
          <w:lang w:val="zh-CN" w:eastAsia="zh-CN" w:bidi="ar-SA"/>
        </w:rPr>
        <w:t>供应商不得以他人名义磋商或者以其他方式弄虚作假，骗取成交；</w:t>
      </w:r>
    </w:p>
    <w:p w14:paraId="332EF6C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en-US" w:eastAsia="zh-CN" w:bidi="ar-SA"/>
        </w:rPr>
        <w:t>3.2.7</w:t>
      </w:r>
      <w:r>
        <w:rPr>
          <w:rFonts w:hint="eastAsia" w:ascii="宋体" w:hAnsi="宋体" w:eastAsia="宋体" w:cs="宋体"/>
          <w:color w:val="auto"/>
          <w:kern w:val="2"/>
          <w:sz w:val="24"/>
          <w:szCs w:val="24"/>
          <w:lang w:val="zh-CN" w:eastAsia="zh-CN" w:bidi="ar-SA"/>
        </w:rPr>
        <w:t>响应性文件应对竞争性磋商文件中各项做出实质性响应，否则该磋商将可能被拒绝。供应商服务承诺书应按不低于竞争性磋商文件中的服务要求标准做出响应。</w:t>
      </w:r>
    </w:p>
    <w:p w14:paraId="446A60A4">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en-US" w:eastAsia="zh-CN" w:bidi="ar-SA"/>
        </w:rPr>
        <w:t>3.2.8</w:t>
      </w:r>
      <w:r>
        <w:rPr>
          <w:rFonts w:hint="eastAsia" w:ascii="宋体" w:hAnsi="宋体" w:eastAsia="宋体" w:cs="宋体"/>
          <w:color w:val="auto"/>
          <w:kern w:val="2"/>
          <w:sz w:val="24"/>
          <w:szCs w:val="24"/>
          <w:lang w:val="zh-CN" w:eastAsia="zh-CN" w:bidi="ar-SA"/>
        </w:rPr>
        <w:t>磋商文件能够详细列明采购标的服务要求的，磋商结束后，磋商小组应当要求所有实质性响应的供应商在规定时间内提交最终报价。最终报价是供应商响应文件的有效组成部分。</w:t>
      </w:r>
    </w:p>
    <w:p w14:paraId="3199C375">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2" w:name="_Toc6338"/>
      <w:r>
        <w:rPr>
          <w:rFonts w:hint="eastAsia" w:ascii="宋体" w:hAnsi="宋体" w:eastAsia="宋体" w:cs="宋体"/>
          <w:color w:val="auto"/>
          <w:kern w:val="2"/>
          <w:sz w:val="24"/>
          <w:szCs w:val="24"/>
          <w:lang w:val="en-US" w:eastAsia="zh-CN" w:bidi="ar-SA"/>
        </w:rPr>
        <w:t>3.3 磋商有效期</w:t>
      </w:r>
      <w:bookmarkEnd w:id="92"/>
    </w:p>
    <w:p w14:paraId="5F3C2A42">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3.3.1在供应商须知前附表规定的磋商有效期内， 供应商撤销或修改其磋商响应文件的，应承担磋商文件和法律规定的责任。</w:t>
      </w:r>
    </w:p>
    <w:p w14:paraId="377C1FC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3.3.2出现特殊情况需要延长磋商有效期的，采购人以书面形式通知所有供应商延长磋商效期。供应商同意延长的，不得要求或被允许修改或撤销其响应文件；供应商拒绝延长的，其投标失效。</w:t>
      </w:r>
    </w:p>
    <w:p w14:paraId="5ACADD73">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3" w:name="_Toc8600"/>
      <w:r>
        <w:rPr>
          <w:rFonts w:hint="eastAsia" w:ascii="宋体" w:hAnsi="宋体" w:eastAsia="宋体" w:cs="宋体"/>
          <w:color w:val="auto"/>
          <w:kern w:val="2"/>
          <w:sz w:val="24"/>
          <w:szCs w:val="24"/>
          <w:lang w:val="en-US" w:eastAsia="zh-CN" w:bidi="ar-SA"/>
        </w:rPr>
        <w:t>3.4 磋商保证金</w:t>
      </w:r>
      <w:bookmarkEnd w:id="93"/>
    </w:p>
    <w:p w14:paraId="73D4238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按照《河南省财政厅关于优化政府采购营商环境有关问题的通知》（豫财购[2019]4 号文）的要求本项目不再收取磋商供应商磋商保证金。</w:t>
      </w:r>
    </w:p>
    <w:p w14:paraId="0C06DB27">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4" w:name="_Toc28915"/>
      <w:r>
        <w:rPr>
          <w:rFonts w:hint="eastAsia" w:ascii="宋体" w:hAnsi="宋体" w:eastAsia="宋体" w:cs="宋体"/>
          <w:color w:val="auto"/>
          <w:kern w:val="2"/>
          <w:sz w:val="24"/>
          <w:szCs w:val="24"/>
          <w:lang w:val="en-US" w:eastAsia="zh-CN" w:bidi="ar-SA"/>
        </w:rPr>
        <w:t>3.5 资格审查资料</w:t>
      </w:r>
      <w:bookmarkEnd w:id="94"/>
    </w:p>
    <w:p w14:paraId="5502DA7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详见供应商须知表</w:t>
      </w:r>
    </w:p>
    <w:p w14:paraId="30CD2462">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5" w:name="_Toc1599"/>
      <w:r>
        <w:rPr>
          <w:rFonts w:hint="eastAsia" w:ascii="宋体" w:hAnsi="宋体" w:eastAsia="宋体" w:cs="宋体"/>
          <w:color w:val="auto"/>
          <w:kern w:val="2"/>
          <w:sz w:val="24"/>
          <w:szCs w:val="24"/>
          <w:lang w:val="en-US" w:eastAsia="zh-CN" w:bidi="ar-SA"/>
        </w:rPr>
        <w:t> 3.6 备选磋商方案</w:t>
      </w:r>
      <w:bookmarkEnd w:id="95"/>
    </w:p>
    <w:p w14:paraId="0CA1EC8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供应商不得递交备选磋商方案。</w:t>
      </w:r>
    </w:p>
    <w:p w14:paraId="095406FD">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6" w:name="_Toc14707"/>
      <w:r>
        <w:rPr>
          <w:rFonts w:hint="eastAsia" w:ascii="宋体" w:hAnsi="宋体" w:eastAsia="宋体" w:cs="宋体"/>
          <w:color w:val="auto"/>
          <w:kern w:val="2"/>
          <w:sz w:val="24"/>
          <w:szCs w:val="24"/>
          <w:lang w:val="en-US" w:eastAsia="zh-CN" w:bidi="ar-SA"/>
        </w:rPr>
        <w:t>3.7 响应文件的编制</w:t>
      </w:r>
      <w:bookmarkEnd w:id="96"/>
    </w:p>
    <w:p w14:paraId="59949824">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3.7.1磋商响应文件可按第六章“响应文件格式”进行编写，如有必要，可以增加附页作为磋商响应文件的组成部分。其中，磋商函附录在满足竞争性磋商文件实质性要求的基础上，可以提出比竞争性磋商文件要求更有利于采购人的承诺。</w:t>
      </w:r>
    </w:p>
    <w:p w14:paraId="0EB7EF3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3.7.2 磋商响应文件应当对磋商文件有关项目服务周期、磋商有效期、质量标准、磋商范围等实质性内容作出响应。</w:t>
      </w:r>
    </w:p>
    <w:p w14:paraId="5F6DABE0">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3.7.3供应商所上传的电子化磋商响应文件，应是通过中心</w:t>
      </w:r>
      <w:r>
        <w:rPr>
          <w:rFonts w:hint="eastAsia" w:ascii="宋体" w:hAnsi="宋体" w:cs="宋体"/>
          <w:color w:val="auto"/>
          <w:kern w:val="0"/>
          <w:sz w:val="24"/>
          <w:szCs w:val="24"/>
          <w:highlight w:val="none"/>
          <w:lang w:val="en-US" w:eastAsia="zh-CN"/>
        </w:rPr>
        <w:t>响应</w:t>
      </w:r>
      <w:r>
        <w:rPr>
          <w:rFonts w:hint="eastAsia" w:ascii="宋体" w:hAnsi="宋体" w:eastAsia="宋体" w:cs="宋体"/>
          <w:color w:val="auto"/>
          <w:kern w:val="2"/>
          <w:sz w:val="24"/>
          <w:szCs w:val="24"/>
          <w:lang w:val="en-US" w:eastAsia="zh-CN" w:bidi="ar-SA"/>
        </w:rPr>
        <w:t>文件制作系统制作的（</w:t>
      </w:r>
      <w:r>
        <w:rPr>
          <w:rFonts w:hint="eastAsia" w:ascii="宋体" w:hAnsi="宋体" w:cs="宋体"/>
          <w:color w:val="auto"/>
          <w:kern w:val="0"/>
          <w:sz w:val="24"/>
          <w:szCs w:val="24"/>
          <w:highlight w:val="none"/>
          <w:lang w:val="en-US" w:eastAsia="zh-CN"/>
        </w:rPr>
        <w:t>响应</w:t>
      </w:r>
      <w:r>
        <w:rPr>
          <w:rFonts w:hint="eastAsia" w:ascii="宋体" w:hAnsi="宋体" w:eastAsia="宋体" w:cs="宋体"/>
          <w:color w:val="auto"/>
          <w:kern w:val="2"/>
          <w:sz w:val="24"/>
          <w:szCs w:val="24"/>
          <w:lang w:val="en-US" w:eastAsia="zh-CN" w:bidi="ar-SA"/>
        </w:rPr>
        <w:t>文件制作工具下载地址：https://download.bqpoint.com/download/downloadlist.html?SoftTypeCode=03），经过签章和加密后生成的电子版磋商响应文件。其中包含用于磋商响应文件上传的主文件（后缀为.smxtf）和用于应急补救的磋商响应文件备份文件（后缀为.nsmxtf）。</w:t>
      </w:r>
    </w:p>
    <w:p w14:paraId="0E29448F">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97" w:name="_Toc3841"/>
      <w:r>
        <w:rPr>
          <w:rFonts w:hint="eastAsia" w:ascii="宋体" w:hAnsi="宋体" w:eastAsia="宋体" w:cs="宋体"/>
          <w:b/>
          <w:bCs/>
          <w:color w:val="auto"/>
          <w:kern w:val="2"/>
          <w:sz w:val="24"/>
          <w:szCs w:val="24"/>
          <w:lang w:val="en-US" w:eastAsia="zh-CN" w:bidi="ar-SA"/>
        </w:rPr>
        <w:t>4.磋商</w:t>
      </w:r>
      <w:bookmarkEnd w:id="97"/>
    </w:p>
    <w:p w14:paraId="35F4C9CC">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98" w:name="_Toc296602444"/>
      <w:bookmarkStart w:id="99" w:name="_Toc152045556"/>
      <w:bookmarkStart w:id="100" w:name="_Toc247085714"/>
      <w:bookmarkStart w:id="101" w:name="_Toc152042332"/>
      <w:bookmarkStart w:id="102" w:name="_Toc246996200"/>
      <w:bookmarkStart w:id="103" w:name="_Toc246996943"/>
      <w:bookmarkStart w:id="104" w:name="_Toc179632574"/>
      <w:bookmarkStart w:id="105" w:name="_Toc144974524"/>
      <w:bookmarkStart w:id="106" w:name="_Toc10121"/>
      <w:r>
        <w:rPr>
          <w:rFonts w:hint="eastAsia" w:ascii="宋体" w:hAnsi="宋体" w:eastAsia="宋体" w:cs="宋体"/>
          <w:color w:val="auto"/>
          <w:kern w:val="2"/>
          <w:sz w:val="24"/>
          <w:szCs w:val="24"/>
          <w:lang w:val="en-US" w:eastAsia="zh-CN" w:bidi="ar-SA"/>
        </w:rPr>
        <w:t>4.1 磋商响应文件的</w:t>
      </w:r>
      <w:bookmarkEnd w:id="98"/>
      <w:bookmarkEnd w:id="99"/>
      <w:bookmarkEnd w:id="100"/>
      <w:bookmarkEnd w:id="101"/>
      <w:bookmarkEnd w:id="102"/>
      <w:bookmarkEnd w:id="103"/>
      <w:bookmarkEnd w:id="104"/>
      <w:bookmarkEnd w:id="105"/>
      <w:r>
        <w:rPr>
          <w:rFonts w:hint="eastAsia" w:ascii="宋体" w:hAnsi="宋体" w:eastAsia="宋体" w:cs="宋体"/>
          <w:color w:val="auto"/>
          <w:kern w:val="2"/>
          <w:sz w:val="24"/>
          <w:szCs w:val="24"/>
          <w:lang w:val="en-US" w:eastAsia="zh-CN" w:bidi="ar-SA"/>
        </w:rPr>
        <w:t>签署</w:t>
      </w:r>
      <w:bookmarkEnd w:id="106"/>
    </w:p>
    <w:p w14:paraId="65CF02F5">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4.1.1供应商在进行电子化磋商响应文件签章时，竞争性磋商文件中要求供应商盖章的，以签盖单位章为准；要求法定代表人签章的，以签盖法定代表人签章为准。电子化磋商响应文件具体制作教材请供应商通过CA证书登录三门峡市公共资源电子化交易系统在右上角“组件下载”中查看。</w:t>
      </w:r>
    </w:p>
    <w:p w14:paraId="5925AC2E">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07" w:name="_Toc7752"/>
      <w:r>
        <w:rPr>
          <w:rFonts w:hint="eastAsia" w:ascii="宋体" w:hAnsi="宋体" w:eastAsia="宋体" w:cs="宋体"/>
          <w:color w:val="auto"/>
          <w:kern w:val="2"/>
          <w:sz w:val="24"/>
          <w:szCs w:val="24"/>
          <w:lang w:val="en-US" w:eastAsia="zh-CN" w:bidi="ar-SA"/>
        </w:rPr>
        <w:t>4.2 磋商响应文件的上传</w:t>
      </w:r>
      <w:bookmarkEnd w:id="107"/>
    </w:p>
    <w:p w14:paraId="6367F430">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电子化磋商响应文件应在磋商截止时间前成功上传至三门峡市公共资源电子化交易系统。至磋商截止时间止，仍未上传成功的电子化磋商响应文件将不予接收。</w:t>
      </w:r>
    </w:p>
    <w:p w14:paraId="7396F17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注：如按照电子化投标操作教材制作完成的电子化磋商响应文件无法上传的，供应商应在磋商截止时间前尽早的联系中心技术人员，以便有充分的时间进行处理。供应商应充分考虑到处理技术问题和上传数据等工作所需的时间问题，电子化磋商响应文件未在磋商截止时间前成功上传的，其磋商响应文件不予接收。</w:t>
      </w:r>
    </w:p>
    <w:p w14:paraId="7DE978B8">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08" w:name="_Toc5424"/>
      <w:r>
        <w:rPr>
          <w:rFonts w:hint="eastAsia" w:ascii="宋体" w:hAnsi="宋体" w:eastAsia="宋体" w:cs="宋体"/>
          <w:color w:val="auto"/>
          <w:kern w:val="2"/>
          <w:sz w:val="24"/>
          <w:szCs w:val="24"/>
          <w:lang w:val="en-US" w:eastAsia="zh-CN" w:bidi="ar-SA"/>
        </w:rPr>
        <w:t>4.3 响应文件的修改与撤回</w:t>
      </w:r>
      <w:bookmarkEnd w:id="108"/>
    </w:p>
    <w:p w14:paraId="5A5C826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4.2.1 在规定的磋商截止时间前，供应商可以修改或撤回响应文件。 </w:t>
      </w:r>
    </w:p>
    <w:p w14:paraId="771FD4E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4.2.2在磋商截止时间之后，供应商不得补充、修改电子化磋商响应文件。</w:t>
      </w:r>
    </w:p>
    <w:p w14:paraId="3F659DC5">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109" w:name="_Toc2685"/>
      <w:r>
        <w:rPr>
          <w:rFonts w:hint="eastAsia" w:ascii="宋体" w:hAnsi="宋体" w:eastAsia="宋体" w:cs="宋体"/>
          <w:b/>
          <w:bCs/>
          <w:color w:val="auto"/>
          <w:kern w:val="2"/>
          <w:sz w:val="24"/>
          <w:szCs w:val="24"/>
          <w:lang w:val="en-US" w:eastAsia="zh-CN" w:bidi="ar-SA"/>
        </w:rPr>
        <w:t>5．磋商</w:t>
      </w:r>
      <w:bookmarkEnd w:id="109"/>
    </w:p>
    <w:p w14:paraId="0C7FAE8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110" w:name="_Toc144974529"/>
      <w:bookmarkStart w:id="111" w:name="_Toc179632579"/>
      <w:bookmarkStart w:id="112" w:name="_Toc152042337"/>
      <w:bookmarkStart w:id="113" w:name="_Toc152045561"/>
      <w:bookmarkStart w:id="114" w:name="_Toc247085720"/>
      <w:bookmarkStart w:id="115" w:name="_Toc246996949"/>
      <w:bookmarkStart w:id="116" w:name="_Toc152045562"/>
      <w:bookmarkStart w:id="117" w:name="_Toc144974530"/>
      <w:bookmarkStart w:id="118" w:name="_Toc179632580"/>
      <w:bookmarkStart w:id="119" w:name="_Toc296602451"/>
      <w:bookmarkStart w:id="120" w:name="_Toc246996206"/>
      <w:bookmarkStart w:id="121" w:name="_Toc152042338"/>
      <w:r>
        <w:rPr>
          <w:rFonts w:hint="eastAsia" w:ascii="宋体" w:hAnsi="宋体" w:eastAsia="宋体" w:cs="宋体"/>
          <w:color w:val="auto"/>
          <w:kern w:val="2"/>
          <w:sz w:val="24"/>
          <w:szCs w:val="24"/>
          <w:lang w:val="en-US" w:eastAsia="zh-CN" w:bidi="ar-SA"/>
        </w:rPr>
        <w:t>5.1本项目采用电子化、无纸化进行招标，开标当日，供应商无需到开标现场参加开标会议，供应商应当在磋商截止时间前，登陆不见面开标大厅选择登陆三门峡市公共资源电子招投标系统进行登陆（网址为http://120.194.249.36:10094/BidOpening/bidopeninghallaction/hall/login）</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在线准时参加开标活动并进行磋商响应文件解密等。</w:t>
      </w:r>
    </w:p>
    <w:p w14:paraId="6215BB4B">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5.2 电子化磋商响应文件采用一次加密方式。开标时，由供应商使用CA 证书，在规定时间内对其电子化磋商响应文件进行解密。每位供应商的解密时间为开标时间起30 分钟内，如在规定时间内未完成解密的，其磋商响应文件不予开标、唱标。每位供应商的解密时间为开标时间起30分钟内完成。</w:t>
      </w:r>
    </w:p>
    <w:p w14:paraId="4DC1247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5.3 电子化磋商响应文件解密异常的处理</w:t>
      </w:r>
    </w:p>
    <w:p w14:paraId="4D381CA7">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如出现供应商的电子磋商响应文件无法解密等异常情况，供应商应及时致电中介服务机构说明。磋商响应文件异常，按以下步骤进行处理：</w:t>
      </w:r>
    </w:p>
    <w:p w14:paraId="3CDD73E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（1）首先由技术人员进行问题排查。</w:t>
      </w:r>
    </w:p>
    <w:p w14:paraId="46FCE2D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（2）经技术人员排查后，是供应商文件自身问题导致磋商响应文件无法解密的，该磋商响应文件将不予接收、解密和唱标。开标会议继续进行。</w:t>
      </w:r>
    </w:p>
    <w:p w14:paraId="3568AB35">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bookmarkEnd w:id="110"/>
      <w:bookmarkEnd w:id="111"/>
      <w:bookmarkEnd w:id="112"/>
      <w:bookmarkEnd w:id="113"/>
    </w:p>
    <w:bookmarkEnd w:id="114"/>
    <w:bookmarkEnd w:id="115"/>
    <w:bookmarkEnd w:id="116"/>
    <w:bookmarkEnd w:id="117"/>
    <w:bookmarkEnd w:id="118"/>
    <w:bookmarkEnd w:id="119"/>
    <w:bookmarkEnd w:id="120"/>
    <w:bookmarkEnd w:id="121"/>
    <w:p w14:paraId="4175C5C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122" w:name="_Toc179632581"/>
      <w:bookmarkStart w:id="123" w:name="_Toc296602452"/>
      <w:bookmarkStart w:id="124" w:name="_Toc152045563"/>
      <w:bookmarkStart w:id="125" w:name="_Toc247085721"/>
      <w:bookmarkStart w:id="126" w:name="_Toc152042339"/>
      <w:bookmarkStart w:id="127" w:name="_Toc144974531"/>
      <w:bookmarkStart w:id="128" w:name="_Toc246996950"/>
      <w:bookmarkStart w:id="129" w:name="_Toc246996207"/>
      <w:r>
        <w:rPr>
          <w:rFonts w:hint="eastAsia" w:ascii="宋体" w:hAnsi="宋体" w:eastAsia="宋体" w:cs="宋体"/>
          <w:color w:val="auto"/>
          <w:kern w:val="2"/>
          <w:sz w:val="24"/>
          <w:szCs w:val="24"/>
          <w:lang w:val="en-US" w:eastAsia="zh-CN" w:bidi="ar-SA"/>
        </w:rPr>
        <w:t>5.4 磋商小组</w:t>
      </w:r>
      <w:bookmarkEnd w:id="122"/>
      <w:bookmarkEnd w:id="123"/>
      <w:bookmarkEnd w:id="124"/>
      <w:bookmarkEnd w:id="125"/>
      <w:bookmarkEnd w:id="126"/>
      <w:bookmarkEnd w:id="127"/>
      <w:bookmarkEnd w:id="128"/>
      <w:bookmarkEnd w:id="129"/>
    </w:p>
    <w:p w14:paraId="5B382C7A">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5.4.1磋商小组由采购人代表和评审专家共3人以上单数组成，其中采购人代表1人，其余评审专家2人从相关评标专家库中随机抽取。</w:t>
      </w:r>
    </w:p>
    <w:p w14:paraId="1C9F278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5.4.2磋商小组对所有供应商的磋商响应文件进行评审，按评审后得分由高到低顺序排列，递交给采购人。</w:t>
      </w:r>
    </w:p>
    <w:p w14:paraId="6D8D712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2B49DA5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5.4.3磋商小组成员和评审工作有关人员不得干预或者影响正常评审工作，不得明示或者暗示其倾向性、引导性意见，不得修改磋商文件确定的评审程序、评审方法，不得征询采购人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7FD08A7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5.4.4磋商小组成员有下列情形之一的，应当回避：</w:t>
      </w:r>
    </w:p>
    <w:p w14:paraId="14686A0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（1）供应商或供应商主要负责人的近亲属；</w:t>
      </w:r>
    </w:p>
    <w:p w14:paraId="76DFBA6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（2）项目主管部门或者行政监督部门的人员；</w:t>
      </w:r>
    </w:p>
    <w:p w14:paraId="1B216C09">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（3）与供应商有经济利益关系；</w:t>
      </w:r>
    </w:p>
    <w:p w14:paraId="7255716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（4）曾因在招标、评标以及其他与招标投标有关活动中从事违法行为而受过行政处罚或刑事处罚的；</w:t>
      </w:r>
    </w:p>
    <w:p w14:paraId="1DED2462">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（5）与供应商有其他利害关系。</w:t>
      </w:r>
    </w:p>
    <w:p w14:paraId="358A4A4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130" w:name="_Toc296602453"/>
      <w:bookmarkStart w:id="131" w:name="_Toc152045564"/>
      <w:bookmarkStart w:id="132" w:name="_Toc179632582"/>
      <w:bookmarkStart w:id="133" w:name="_Toc246996208"/>
      <w:bookmarkStart w:id="134" w:name="_Toc246996951"/>
      <w:bookmarkStart w:id="135" w:name="_Toc144974532"/>
      <w:bookmarkStart w:id="136" w:name="_Toc247085722"/>
      <w:bookmarkStart w:id="137" w:name="_Toc152042340"/>
      <w:r>
        <w:rPr>
          <w:rFonts w:hint="eastAsia" w:ascii="宋体" w:hAnsi="宋体" w:eastAsia="宋体" w:cs="宋体"/>
          <w:color w:val="auto"/>
          <w:kern w:val="2"/>
          <w:sz w:val="24"/>
          <w:szCs w:val="24"/>
          <w:lang w:val="en-US" w:eastAsia="zh-CN" w:bidi="ar-SA"/>
        </w:rPr>
        <w:t>5.5磋商原则和方法</w:t>
      </w:r>
    </w:p>
    <w:p w14:paraId="64C666B3">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5.5.1坚持公开、公平、公正的原则。</w:t>
      </w:r>
    </w:p>
    <w:p w14:paraId="6EF2BD0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5.5.2磋商在磋商小组应当集中与单一供应商分别进行磋商，磋商小组将遵照磋商原则，公正、平等地对待所有供应商。</w:t>
      </w:r>
    </w:p>
    <w:p w14:paraId="438B64EE">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5.5.3评审方法</w:t>
      </w:r>
    </w:p>
    <w:p w14:paraId="064137C5">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（1）初步评审（是否响应竞争性磋商文件的要求），确定合格的供应商。</w:t>
      </w:r>
    </w:p>
    <w:p w14:paraId="650E439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（2）各供应商依据各自情况进行最后报价。</w:t>
      </w:r>
    </w:p>
    <w:p w14:paraId="3E23004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（3）磋商小组采用综合评分法对提交最后报价的供应商的响应文件和最后报价进行综合评分。</w:t>
      </w:r>
    </w:p>
    <w:p w14:paraId="388B6C8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5.6对供应商的评价</w:t>
      </w:r>
    </w:p>
    <w:p w14:paraId="15E70340">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5.6.1磋商小组只对已判定为实质性响应且通过初步审查的磋商响应文件进行详细评价和比较。</w:t>
      </w:r>
    </w:p>
    <w:p w14:paraId="41D0947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5.6.2磋商小组所有成员应当集中与单一供应商分别进行磋商，并给予所有参加磋商的供应商平等的磋商机会。磋商完成后，要求其在规定时间内提交最后报价，提交最后报价的供应商可以为两家。</w:t>
      </w:r>
    </w:p>
    <w:p w14:paraId="25AD8C0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5.6.3经磋商确定最终项目需求和提交最后报价的供应商后，磋商小组采用综合评分法对提交最后报价的供应商的磋商响应文件和最后报价进行综合评分。</w:t>
      </w:r>
    </w:p>
    <w:p w14:paraId="2D14098E">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743B2C6">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5.6.5如果第一名供应商放弃成交资格或因不可抗力提出不能履行合同、竞争性磋商文件规定应当提交履约担保而在规定的期限内未能提交的</w:t>
      </w:r>
      <w:bookmarkEnd w:id="130"/>
      <w:bookmarkEnd w:id="131"/>
      <w:bookmarkEnd w:id="132"/>
      <w:bookmarkEnd w:id="133"/>
      <w:bookmarkEnd w:id="134"/>
      <w:bookmarkEnd w:id="135"/>
      <w:bookmarkEnd w:id="136"/>
      <w:bookmarkEnd w:id="137"/>
      <w:bookmarkStart w:id="138" w:name="_Toc247085724"/>
      <w:bookmarkStart w:id="139" w:name="_Toc296602455"/>
      <w:bookmarkStart w:id="140" w:name="_Toc246996953"/>
      <w:bookmarkStart w:id="141" w:name="_Toc246996210"/>
      <w:bookmarkStart w:id="142" w:name="_Toc152042342"/>
      <w:bookmarkStart w:id="143" w:name="_Toc152045566"/>
      <w:bookmarkStart w:id="144" w:name="_Toc179632584"/>
      <w:bookmarkStart w:id="145" w:name="_Toc144974534"/>
      <w:r>
        <w:rPr>
          <w:rFonts w:hint="eastAsia" w:ascii="宋体" w:hAnsi="宋体" w:eastAsia="宋体" w:cs="宋体"/>
          <w:color w:val="auto"/>
          <w:kern w:val="2"/>
          <w:sz w:val="24"/>
          <w:szCs w:val="24"/>
          <w:lang w:val="en-US" w:eastAsia="zh-CN" w:bidi="ar-SA"/>
        </w:rPr>
        <w:t>，采购人可以按照评审报告推荐的成交候选人名单，确定下一成交候选人为成交人，也可以重新开展采购活动。</w:t>
      </w:r>
    </w:p>
    <w:p w14:paraId="0FCB31D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5.7确定成交人</w:t>
      </w:r>
    </w:p>
    <w:p w14:paraId="7983BBB1">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磋商小组根据综合评分情况，按评审得分由高到低的顺序确定3名成交候选人，并编写评审报告。评审得分相同的，按照最后报价由低到高的顺序推荐。评审得分相同且最后报价相同的，按照技术优劣顺序推荐。</w:t>
      </w:r>
    </w:p>
    <w:p w14:paraId="6033606F">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146" w:name="_Toc6714"/>
      <w:r>
        <w:rPr>
          <w:rFonts w:hint="eastAsia" w:ascii="宋体" w:hAnsi="宋体" w:eastAsia="宋体" w:cs="宋体"/>
          <w:b/>
          <w:bCs/>
          <w:color w:val="auto"/>
          <w:kern w:val="2"/>
          <w:sz w:val="24"/>
          <w:szCs w:val="24"/>
          <w:lang w:val="en-US" w:eastAsia="zh-CN" w:bidi="ar-SA"/>
        </w:rPr>
        <w:t>6. 合同授予</w:t>
      </w:r>
      <w:bookmarkEnd w:id="138"/>
      <w:bookmarkEnd w:id="139"/>
      <w:bookmarkEnd w:id="140"/>
      <w:bookmarkEnd w:id="141"/>
      <w:bookmarkEnd w:id="142"/>
      <w:bookmarkEnd w:id="143"/>
      <w:bookmarkEnd w:id="144"/>
      <w:bookmarkEnd w:id="145"/>
      <w:bookmarkEnd w:id="146"/>
    </w:p>
    <w:p w14:paraId="7756CC35">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47" w:name="_Toc246996211"/>
      <w:bookmarkStart w:id="148" w:name="_Toc25348"/>
      <w:bookmarkStart w:id="149" w:name="_Toc144974535"/>
      <w:bookmarkStart w:id="150" w:name="_Toc152045567"/>
      <w:bookmarkStart w:id="151" w:name="_Toc296602456"/>
      <w:bookmarkStart w:id="152" w:name="_Toc247085725"/>
      <w:bookmarkStart w:id="153" w:name="_Toc246996954"/>
      <w:bookmarkStart w:id="154" w:name="_Toc179632585"/>
      <w:bookmarkStart w:id="155" w:name="_Toc152042343"/>
      <w:r>
        <w:rPr>
          <w:rFonts w:hint="eastAsia" w:ascii="宋体" w:hAnsi="宋体" w:eastAsia="宋体" w:cs="宋体"/>
          <w:color w:val="auto"/>
          <w:kern w:val="2"/>
          <w:sz w:val="24"/>
          <w:szCs w:val="24"/>
          <w:lang w:val="en-US" w:eastAsia="zh-CN" w:bidi="ar-SA"/>
        </w:rPr>
        <w:t>6.1 定标方式</w:t>
      </w:r>
      <w:bookmarkEnd w:id="147"/>
      <w:bookmarkEnd w:id="148"/>
      <w:bookmarkEnd w:id="149"/>
      <w:bookmarkEnd w:id="150"/>
      <w:bookmarkEnd w:id="151"/>
      <w:bookmarkEnd w:id="152"/>
      <w:bookmarkEnd w:id="153"/>
      <w:bookmarkEnd w:id="154"/>
      <w:bookmarkEnd w:id="155"/>
    </w:p>
    <w:p w14:paraId="4DBC6B0C">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156" w:name="_Toc296602457"/>
      <w:r>
        <w:rPr>
          <w:rFonts w:hint="eastAsia" w:ascii="宋体" w:hAnsi="宋体" w:eastAsia="宋体" w:cs="宋体"/>
          <w:color w:val="auto"/>
          <w:kern w:val="2"/>
          <w:sz w:val="24"/>
          <w:szCs w:val="24"/>
          <w:lang w:val="en-US" w:eastAsia="zh-CN" w:bidi="ar-SA"/>
        </w:rPr>
        <w:t>评标结束后，采购人和其委托的采购代理机构，在政府采购项目评审结束当天完成评标报告的报送、中标成交供应商的确定、中标公告的发布、中标成交通知书发出。中标通知书对采购人和中标供应商具有同等法律效力。中标通知书发出后，采购人改变中标结果，或者中标供应商放弃中标，应按相关法律、规章、规范性文件的要求承担相应的法律责任。未按规定交纳服务费、领取中标通知书的视为自动放弃中标。</w:t>
      </w:r>
    </w:p>
    <w:p w14:paraId="4D362A06">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57" w:name="_Toc3027"/>
      <w:r>
        <w:rPr>
          <w:rFonts w:hint="eastAsia" w:ascii="宋体" w:hAnsi="宋体" w:eastAsia="宋体" w:cs="宋体"/>
          <w:color w:val="auto"/>
          <w:kern w:val="2"/>
          <w:sz w:val="24"/>
          <w:szCs w:val="24"/>
          <w:lang w:val="en-US" w:eastAsia="zh-CN" w:bidi="ar-SA"/>
        </w:rPr>
        <w:t xml:space="preserve">6.2 </w:t>
      </w:r>
      <w:bookmarkEnd w:id="156"/>
      <w:r>
        <w:rPr>
          <w:rFonts w:hint="eastAsia" w:ascii="宋体" w:hAnsi="宋体" w:eastAsia="宋体" w:cs="宋体"/>
          <w:color w:val="auto"/>
          <w:kern w:val="2"/>
          <w:sz w:val="24"/>
          <w:szCs w:val="24"/>
          <w:lang w:val="en-US" w:eastAsia="zh-CN" w:bidi="ar-SA"/>
        </w:rPr>
        <w:t>成交公告发布媒体</w:t>
      </w:r>
      <w:bookmarkEnd w:id="157"/>
    </w:p>
    <w:p w14:paraId="6FB4A3AC">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在</w:t>
      </w:r>
      <w:r>
        <w:rPr>
          <w:rFonts w:hint="eastAsia" w:ascii="宋体" w:hAnsi="宋体" w:eastAsia="宋体" w:cs="宋体"/>
          <w:color w:val="000000"/>
          <w:sz w:val="24"/>
          <w:highlight w:val="none"/>
          <w:lang w:eastAsia="zh-CN"/>
        </w:rPr>
        <w:t>《中国采购与招标网》、《中国招标投标公共服务平台》、《河南省政府采购网》、《三门峡市公共资源交易中心》</w:t>
      </w:r>
      <w:r>
        <w:rPr>
          <w:rFonts w:hint="eastAsia" w:ascii="宋体" w:hAnsi="宋体" w:eastAsia="宋体" w:cs="宋体"/>
          <w:color w:val="auto"/>
          <w:kern w:val="2"/>
          <w:sz w:val="24"/>
          <w:szCs w:val="24"/>
          <w:lang w:val="en-US" w:eastAsia="zh-CN" w:bidi="ar-SA"/>
        </w:rPr>
        <w:t>上发布。</w:t>
      </w:r>
    </w:p>
    <w:p w14:paraId="76DBF836">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58" w:name="_Toc179632587"/>
      <w:bookmarkStart w:id="159" w:name="_Toc247085727"/>
      <w:bookmarkStart w:id="160" w:name="_Toc144974537"/>
      <w:bookmarkStart w:id="161" w:name="_Toc296602459"/>
      <w:bookmarkStart w:id="162" w:name="_Toc246996213"/>
      <w:bookmarkStart w:id="163" w:name="_Toc152042345"/>
      <w:bookmarkStart w:id="164" w:name="_Toc246996956"/>
      <w:bookmarkStart w:id="165" w:name="_Toc152045569"/>
      <w:bookmarkStart w:id="166" w:name="_Toc1615"/>
      <w:r>
        <w:rPr>
          <w:rFonts w:hint="eastAsia" w:ascii="宋体" w:hAnsi="宋体" w:eastAsia="宋体" w:cs="宋体"/>
          <w:color w:val="auto"/>
          <w:kern w:val="2"/>
          <w:sz w:val="24"/>
          <w:szCs w:val="24"/>
          <w:lang w:val="en-US" w:eastAsia="zh-CN" w:bidi="ar-SA"/>
        </w:rPr>
        <w:t>6.3 履约</w:t>
      </w:r>
      <w:bookmarkEnd w:id="158"/>
      <w:bookmarkEnd w:id="159"/>
      <w:bookmarkEnd w:id="160"/>
      <w:bookmarkEnd w:id="161"/>
      <w:bookmarkEnd w:id="162"/>
      <w:bookmarkEnd w:id="163"/>
      <w:bookmarkEnd w:id="164"/>
      <w:bookmarkEnd w:id="165"/>
      <w:r>
        <w:rPr>
          <w:rFonts w:hint="eastAsia" w:ascii="宋体" w:hAnsi="宋体" w:eastAsia="宋体" w:cs="宋体"/>
          <w:color w:val="auto"/>
          <w:kern w:val="2"/>
          <w:sz w:val="24"/>
          <w:szCs w:val="24"/>
          <w:lang w:val="en-US" w:eastAsia="zh-CN" w:bidi="ar-SA"/>
        </w:rPr>
        <w:t>保证金</w:t>
      </w:r>
      <w:bookmarkEnd w:id="166"/>
    </w:p>
    <w:p w14:paraId="1FA258C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6.3.1履约保证金：见供应商须知前附表，与前附表一致。</w:t>
      </w:r>
    </w:p>
    <w:p w14:paraId="6017BDF7">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67" w:name="_Toc31953"/>
      <w:bookmarkStart w:id="168" w:name="_Toc246996957"/>
      <w:bookmarkStart w:id="169" w:name="_Toc247085728"/>
      <w:bookmarkStart w:id="170" w:name="_Toc144974538"/>
      <w:bookmarkStart w:id="171" w:name="_Toc152045570"/>
      <w:bookmarkStart w:id="172" w:name="_Toc296602460"/>
      <w:bookmarkStart w:id="173" w:name="_Toc152042346"/>
      <w:bookmarkStart w:id="174" w:name="_Toc179632588"/>
      <w:bookmarkStart w:id="175" w:name="_Toc246996214"/>
      <w:r>
        <w:rPr>
          <w:rFonts w:hint="eastAsia" w:ascii="宋体" w:hAnsi="宋体" w:eastAsia="宋体" w:cs="宋体"/>
          <w:color w:val="auto"/>
          <w:kern w:val="2"/>
          <w:sz w:val="24"/>
          <w:szCs w:val="24"/>
          <w:lang w:val="en-US" w:eastAsia="zh-CN" w:bidi="ar-SA"/>
        </w:rPr>
        <w:t>6.4 签订合同</w:t>
      </w:r>
      <w:bookmarkEnd w:id="167"/>
      <w:bookmarkEnd w:id="168"/>
      <w:bookmarkEnd w:id="169"/>
      <w:bookmarkEnd w:id="170"/>
      <w:bookmarkEnd w:id="171"/>
      <w:bookmarkEnd w:id="172"/>
      <w:bookmarkEnd w:id="173"/>
      <w:bookmarkEnd w:id="174"/>
      <w:bookmarkEnd w:id="175"/>
    </w:p>
    <w:p w14:paraId="43D78345">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176" w:name="_Toc296602461"/>
      <w:r>
        <w:rPr>
          <w:rFonts w:hint="eastAsia" w:ascii="宋体" w:hAnsi="宋体" w:eastAsia="宋体" w:cs="宋体"/>
          <w:color w:val="auto"/>
          <w:kern w:val="2"/>
          <w:sz w:val="24"/>
          <w:szCs w:val="24"/>
          <w:lang w:val="en-US" w:eastAsia="zh-CN" w:bidi="ar-SA"/>
        </w:rPr>
        <w:t>6.4.1 采购人、成交供应商在成交通知书发出后1个工作日，根据竞争性磋商文件确定的事项和成交供应商响应性文件签订合同。合同签订后1个工作日内在河南政府采购网上发布公告并完成合同备案。双方所签订的合同不得对竞争性磋商文件和成交供应商响应性文件作实质性修改。成交供应商逾期未签订合同，视为成交后无正当理由不与采购人签订合同，按照有关法律规定承担相应的法律责任。采购人逾期不与成交供应商签订合同的，按政府采购的有关规定处理。</w:t>
      </w:r>
    </w:p>
    <w:p w14:paraId="5459476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6.4.2 竞争性磋商文件、竞争性磋商文件的修改文件、成交供应商的响应性文件、补充或修改的文件及澄清或承诺文件等，均为双方签订合同的组成部分，并与合同一并作为本竞争性磋商文件所列采购项目的互补性法律文件，与合同具有同等法律效力。</w:t>
      </w:r>
    </w:p>
    <w:p w14:paraId="7A6CD7A8">
      <w:pPr>
        <w:autoSpaceDE w:val="0"/>
        <w:autoSpaceDN w:val="0"/>
        <w:adjustRightInd w:val="0"/>
        <w:spacing w:line="360" w:lineRule="auto"/>
        <w:ind w:firstLine="482" w:firstLineChars="200"/>
        <w:jc w:val="left"/>
        <w:textAlignment w:val="baseline"/>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6.4.3 成交供应商放弃成交、因不可抗力不能履行合同，或者被查实存在影响成交结果的违法行为等情形，不符合成交条件的，采购人可以按照磋商小组提出的成交候选供应商名单排序依次确定其他成交候选供应商为成交供应商，也可以重新组织采购。</w:t>
      </w:r>
    </w:p>
    <w:p w14:paraId="32A4C3F8">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177" w:name="_Toc22878"/>
      <w:r>
        <w:rPr>
          <w:rFonts w:hint="eastAsia" w:ascii="宋体" w:hAnsi="宋体" w:eastAsia="宋体" w:cs="宋体"/>
          <w:b/>
          <w:bCs/>
          <w:color w:val="auto"/>
          <w:kern w:val="2"/>
          <w:sz w:val="24"/>
          <w:szCs w:val="24"/>
          <w:lang w:val="en-US" w:eastAsia="zh-CN" w:bidi="ar-SA"/>
        </w:rPr>
        <w:t>7. 纪律和监督</w:t>
      </w:r>
      <w:bookmarkEnd w:id="176"/>
      <w:bookmarkEnd w:id="177"/>
    </w:p>
    <w:p w14:paraId="5205F478">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78" w:name="_Toc144974543"/>
      <w:bookmarkStart w:id="179" w:name="_Toc28072"/>
      <w:bookmarkStart w:id="180" w:name="_Toc296590983"/>
      <w:bookmarkStart w:id="181" w:name="_Toc152045575"/>
      <w:bookmarkStart w:id="182" w:name="_Toc246996219"/>
      <w:bookmarkStart w:id="183" w:name="_Toc179632593"/>
      <w:bookmarkStart w:id="184" w:name="_Toc296602462"/>
      <w:bookmarkStart w:id="185" w:name="_Toc246996962"/>
      <w:bookmarkStart w:id="186" w:name="_Toc152042351"/>
      <w:bookmarkStart w:id="187" w:name="_Toc247085733"/>
      <w:r>
        <w:rPr>
          <w:rFonts w:hint="eastAsia" w:ascii="宋体" w:hAnsi="宋体" w:eastAsia="宋体" w:cs="宋体"/>
          <w:color w:val="auto"/>
          <w:kern w:val="2"/>
          <w:sz w:val="24"/>
          <w:szCs w:val="24"/>
          <w:lang w:val="en-US" w:eastAsia="zh-CN" w:bidi="ar-SA"/>
        </w:rPr>
        <w:t>7.1 对采购人的纪律要求</w:t>
      </w:r>
      <w:bookmarkEnd w:id="178"/>
      <w:bookmarkEnd w:id="179"/>
      <w:bookmarkEnd w:id="180"/>
      <w:bookmarkEnd w:id="181"/>
      <w:bookmarkEnd w:id="182"/>
      <w:bookmarkEnd w:id="183"/>
      <w:bookmarkEnd w:id="184"/>
      <w:bookmarkEnd w:id="185"/>
      <w:bookmarkEnd w:id="186"/>
      <w:bookmarkEnd w:id="187"/>
    </w:p>
    <w:p w14:paraId="2E911579">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采购人不得泄漏招标投标活动中应当保密的情况和资料，不得与供应商串通损害国家利益、社会公共利益或者他人合法权益。</w:t>
      </w:r>
    </w:p>
    <w:p w14:paraId="6D922644">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88" w:name="_Toc152045576"/>
      <w:bookmarkStart w:id="189" w:name="_Toc246996963"/>
      <w:bookmarkStart w:id="190" w:name="_Toc296602463"/>
      <w:bookmarkStart w:id="191" w:name="_Toc247085734"/>
      <w:bookmarkStart w:id="192" w:name="_Toc179632594"/>
      <w:bookmarkStart w:id="193" w:name="_Toc144974544"/>
      <w:bookmarkStart w:id="194" w:name="_Toc246996220"/>
      <w:bookmarkStart w:id="195" w:name="_Toc13414"/>
      <w:bookmarkStart w:id="196" w:name="_Toc152042352"/>
      <w:r>
        <w:rPr>
          <w:rFonts w:hint="eastAsia" w:ascii="宋体" w:hAnsi="宋体" w:eastAsia="宋体" w:cs="宋体"/>
          <w:color w:val="auto"/>
          <w:kern w:val="2"/>
          <w:sz w:val="24"/>
          <w:szCs w:val="24"/>
          <w:lang w:val="en-US" w:eastAsia="zh-CN" w:bidi="ar-SA"/>
        </w:rPr>
        <w:t>7.2 对供应商的纪律要求</w:t>
      </w:r>
      <w:bookmarkEnd w:id="188"/>
      <w:bookmarkEnd w:id="189"/>
      <w:bookmarkEnd w:id="190"/>
      <w:bookmarkEnd w:id="191"/>
      <w:bookmarkEnd w:id="192"/>
      <w:bookmarkEnd w:id="193"/>
      <w:bookmarkEnd w:id="194"/>
      <w:bookmarkEnd w:id="195"/>
      <w:bookmarkEnd w:id="196"/>
    </w:p>
    <w:p w14:paraId="276CF74F">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供应商不得相互串通投标或者与采购人串通投标，不得向采购人或者磋商小组成员行贿谋取成交，不得以他人名义投标或者以其他方式弄虚作假骗取成交；供应商不得以任何方式干扰、影响评标工作。</w:t>
      </w:r>
    </w:p>
    <w:p w14:paraId="0617EBB4">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197" w:name="_Toc144974545"/>
      <w:bookmarkStart w:id="198" w:name="_Toc296602464"/>
      <w:bookmarkStart w:id="199" w:name="_Toc4364"/>
      <w:bookmarkStart w:id="200" w:name="_Toc152045577"/>
      <w:bookmarkStart w:id="201" w:name="_Toc246996221"/>
      <w:bookmarkStart w:id="202" w:name="_Toc246996964"/>
      <w:bookmarkStart w:id="203" w:name="_Toc152042353"/>
      <w:bookmarkStart w:id="204" w:name="_Toc179632595"/>
      <w:bookmarkStart w:id="205" w:name="_Toc247085735"/>
      <w:r>
        <w:rPr>
          <w:rFonts w:hint="eastAsia" w:ascii="宋体" w:hAnsi="宋体" w:eastAsia="宋体" w:cs="宋体"/>
          <w:color w:val="auto"/>
          <w:kern w:val="2"/>
          <w:sz w:val="24"/>
          <w:szCs w:val="24"/>
          <w:lang w:val="en-US" w:eastAsia="zh-CN" w:bidi="ar-SA"/>
        </w:rPr>
        <w:t>7.3 对磋商小组成员的纪律要求</w:t>
      </w:r>
      <w:bookmarkEnd w:id="197"/>
      <w:bookmarkEnd w:id="198"/>
      <w:bookmarkEnd w:id="199"/>
      <w:bookmarkEnd w:id="200"/>
      <w:bookmarkEnd w:id="201"/>
      <w:bookmarkEnd w:id="202"/>
      <w:bookmarkEnd w:id="203"/>
      <w:bookmarkEnd w:id="204"/>
      <w:bookmarkEnd w:id="205"/>
    </w:p>
    <w:p w14:paraId="3692F3E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3F9A8BD7">
      <w:pPr>
        <w:autoSpaceDE w:val="0"/>
        <w:autoSpaceDN w:val="0"/>
        <w:adjustRightInd w:val="0"/>
        <w:spacing w:line="360" w:lineRule="auto"/>
        <w:ind w:firstLine="480" w:firstLineChars="200"/>
        <w:jc w:val="left"/>
        <w:textAlignment w:val="baseline"/>
        <w:outlineLvl w:val="1"/>
        <w:rPr>
          <w:rFonts w:hint="eastAsia" w:ascii="宋体" w:hAnsi="宋体" w:eastAsia="宋体" w:cs="宋体"/>
          <w:color w:val="auto"/>
          <w:kern w:val="2"/>
          <w:sz w:val="24"/>
          <w:szCs w:val="24"/>
          <w:lang w:val="en-US" w:eastAsia="zh-CN" w:bidi="ar-SA"/>
        </w:rPr>
      </w:pPr>
      <w:bookmarkStart w:id="206" w:name="_Toc30061"/>
      <w:bookmarkStart w:id="207" w:name="_Toc246996222"/>
      <w:bookmarkStart w:id="208" w:name="_Toc296602465"/>
      <w:bookmarkStart w:id="209" w:name="_Toc247085736"/>
      <w:bookmarkStart w:id="210" w:name="_Toc152045578"/>
      <w:bookmarkStart w:id="211" w:name="_Toc179632596"/>
      <w:bookmarkStart w:id="212" w:name="_Toc152042354"/>
      <w:bookmarkStart w:id="213" w:name="_Toc246996965"/>
      <w:bookmarkStart w:id="214" w:name="_Toc144974546"/>
      <w:r>
        <w:rPr>
          <w:rFonts w:hint="eastAsia" w:ascii="宋体" w:hAnsi="宋体" w:eastAsia="宋体" w:cs="宋体"/>
          <w:color w:val="auto"/>
          <w:kern w:val="2"/>
          <w:sz w:val="24"/>
          <w:szCs w:val="24"/>
          <w:lang w:val="en-US" w:eastAsia="zh-CN" w:bidi="ar-SA"/>
        </w:rPr>
        <w:t>7.4 对与评标活动有关的工作人员的纪律要求</w:t>
      </w:r>
      <w:bookmarkEnd w:id="206"/>
      <w:bookmarkEnd w:id="207"/>
      <w:bookmarkEnd w:id="208"/>
      <w:bookmarkEnd w:id="209"/>
      <w:bookmarkEnd w:id="210"/>
      <w:bookmarkEnd w:id="211"/>
      <w:bookmarkEnd w:id="212"/>
      <w:bookmarkEnd w:id="213"/>
    </w:p>
    <w:p w14:paraId="19F8162D">
      <w:pPr>
        <w:autoSpaceDE w:val="0"/>
        <w:autoSpaceDN w:val="0"/>
        <w:adjustRightInd w:val="0"/>
        <w:spacing w:line="360" w:lineRule="auto"/>
        <w:ind w:firstLine="480" w:firstLineChars="200"/>
        <w:jc w:val="left"/>
        <w:textAlignment w:val="baseline"/>
        <w:rPr>
          <w:rFonts w:hint="eastAsia" w:ascii="宋体" w:hAnsi="宋体" w:eastAsia="宋体" w:cs="宋体"/>
          <w:color w:val="auto"/>
          <w:kern w:val="2"/>
          <w:sz w:val="24"/>
          <w:szCs w:val="24"/>
          <w:lang w:val="en-US" w:eastAsia="zh-CN" w:bidi="ar-SA"/>
        </w:rPr>
      </w:pPr>
      <w:bookmarkStart w:id="215" w:name="_Toc152042355"/>
      <w:r>
        <w:rPr>
          <w:rFonts w:hint="eastAsia" w:ascii="宋体" w:hAnsi="宋体" w:eastAsia="宋体" w:cs="宋体"/>
          <w:color w:val="auto"/>
          <w:kern w:val="2"/>
          <w:sz w:val="24"/>
          <w:szCs w:val="24"/>
          <w:lang w:val="en-US" w:eastAsia="zh-CN" w:bidi="ar-SA"/>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215"/>
      <w:bookmarkStart w:id="216" w:name="_Toc296602466"/>
      <w:bookmarkStart w:id="217" w:name="_Toc152045579"/>
      <w:bookmarkStart w:id="218" w:name="_Toc246996966"/>
      <w:bookmarkStart w:id="219" w:name="_Toc247085737"/>
      <w:bookmarkStart w:id="220" w:name="_Toc179632597"/>
      <w:bookmarkStart w:id="221" w:name="_Toc246996223"/>
      <w:bookmarkStart w:id="222" w:name="_Toc152042356"/>
    </w:p>
    <w:p w14:paraId="1DCAF3D2">
      <w:pPr>
        <w:autoSpaceDE w:val="0"/>
        <w:autoSpaceDN w:val="0"/>
        <w:adjustRightInd w:val="0"/>
        <w:spacing w:line="360" w:lineRule="auto"/>
        <w:ind w:firstLine="480" w:firstLineChars="200"/>
        <w:jc w:val="left"/>
        <w:textAlignment w:val="baseline"/>
        <w:outlineLvl w:val="1"/>
        <w:rPr>
          <w:rFonts w:hint="eastAsia" w:ascii="宋体" w:hAnsi="宋体" w:eastAsia="宋体" w:cs="宋体"/>
          <w:b w:val="0"/>
          <w:color w:val="auto"/>
          <w:kern w:val="2"/>
          <w:sz w:val="24"/>
          <w:szCs w:val="24"/>
          <w:lang w:val="en-US" w:eastAsia="zh-CN" w:bidi="ar-SA"/>
        </w:rPr>
      </w:pPr>
      <w:bookmarkStart w:id="223" w:name="_Toc29309"/>
      <w:r>
        <w:rPr>
          <w:rFonts w:hint="eastAsia" w:ascii="宋体" w:hAnsi="宋体" w:eastAsia="宋体" w:cs="宋体"/>
          <w:b w:val="0"/>
          <w:color w:val="auto"/>
          <w:kern w:val="2"/>
          <w:sz w:val="24"/>
          <w:szCs w:val="24"/>
          <w:lang w:val="en-US" w:eastAsia="zh-CN" w:bidi="ar-SA"/>
        </w:rPr>
        <w:t>7.5 投诉</w:t>
      </w:r>
      <w:bookmarkEnd w:id="214"/>
      <w:bookmarkEnd w:id="216"/>
      <w:bookmarkEnd w:id="217"/>
      <w:bookmarkEnd w:id="218"/>
      <w:bookmarkEnd w:id="219"/>
      <w:bookmarkEnd w:id="220"/>
      <w:bookmarkEnd w:id="221"/>
      <w:bookmarkEnd w:id="222"/>
      <w:bookmarkEnd w:id="223"/>
    </w:p>
    <w:p w14:paraId="78B13B50">
      <w:pPr>
        <w:spacing w:line="360" w:lineRule="auto"/>
        <w:ind w:firstLine="480" w:firstLineChars="200"/>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供应商和其他利害关系人认为本次招标活动违反法律、法规和规章规定的，有权向有关行政监督部门投诉。</w:t>
      </w:r>
      <w:bookmarkStart w:id="224" w:name="_Toc152042357"/>
      <w:bookmarkStart w:id="225" w:name="_Toc144974547"/>
      <w:bookmarkStart w:id="226" w:name="_Toc247085738"/>
      <w:bookmarkStart w:id="227" w:name="_Toc179632598"/>
      <w:bookmarkStart w:id="228" w:name="_Toc246996224"/>
      <w:bookmarkStart w:id="229" w:name="_Toc152045580"/>
      <w:bookmarkStart w:id="230" w:name="_Toc296602467"/>
      <w:bookmarkStart w:id="231" w:name="_Toc246996967"/>
    </w:p>
    <w:p w14:paraId="070594BC">
      <w:pPr>
        <w:widowControl/>
        <w:spacing w:after="200" w:line="360" w:lineRule="auto"/>
        <w:jc w:val="left"/>
        <w:outlineLvl w:val="0"/>
        <w:rPr>
          <w:rFonts w:hint="eastAsia" w:ascii="宋体" w:hAnsi="宋体" w:eastAsia="宋体" w:cs="宋体"/>
          <w:b/>
          <w:bCs/>
          <w:color w:val="auto"/>
          <w:kern w:val="2"/>
          <w:sz w:val="24"/>
          <w:szCs w:val="24"/>
          <w:lang w:val="en-US" w:eastAsia="zh-CN" w:bidi="ar-SA"/>
        </w:rPr>
      </w:pPr>
      <w:bookmarkStart w:id="232" w:name="_Toc28966"/>
      <w:r>
        <w:rPr>
          <w:rFonts w:hint="eastAsia" w:ascii="宋体" w:hAnsi="宋体" w:eastAsia="宋体" w:cs="宋体"/>
          <w:b/>
          <w:bCs/>
          <w:color w:val="auto"/>
          <w:kern w:val="2"/>
          <w:sz w:val="24"/>
          <w:szCs w:val="24"/>
          <w:lang w:val="en-US" w:eastAsia="zh-CN" w:bidi="ar-SA"/>
        </w:rPr>
        <w:t>8.需要补充的其他内容</w:t>
      </w:r>
      <w:bookmarkEnd w:id="224"/>
      <w:bookmarkEnd w:id="225"/>
      <w:bookmarkEnd w:id="226"/>
      <w:bookmarkEnd w:id="227"/>
      <w:bookmarkEnd w:id="228"/>
      <w:bookmarkEnd w:id="229"/>
      <w:bookmarkEnd w:id="230"/>
      <w:bookmarkEnd w:id="231"/>
      <w:bookmarkEnd w:id="232"/>
    </w:p>
    <w:p w14:paraId="478BDA21">
      <w:pPr>
        <w:spacing w:line="360" w:lineRule="auto"/>
        <w:ind w:firstLine="480" w:firstLineChars="200"/>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需要补充的其他内容：见供应商须知前附表。</w:t>
      </w:r>
    </w:p>
    <w:p w14:paraId="0A2FAA2B">
      <w:pPr>
        <w:pStyle w:val="20"/>
        <w:tabs>
          <w:tab w:val="left" w:pos="540"/>
        </w:tabs>
        <w:spacing w:line="480" w:lineRule="exact"/>
        <w:jc w:val="both"/>
        <w:outlineLvl w:val="9"/>
        <w:rPr>
          <w:rFonts w:hint="eastAsia" w:ascii="宋体" w:hAnsi="宋体" w:eastAsia="宋体" w:cs="宋体"/>
          <w:color w:val="auto"/>
          <w:kern w:val="2"/>
          <w:highlight w:val="none"/>
          <w:lang w:val="en-US" w:eastAsia="zh-CN"/>
        </w:rPr>
      </w:pPr>
    </w:p>
    <w:p w14:paraId="10726677">
      <w:pPr>
        <w:pStyle w:val="2"/>
        <w:spacing w:line="240" w:lineRule="auto"/>
        <w:jc w:val="center"/>
        <w:rPr>
          <w:rFonts w:hint="eastAsia"/>
          <w:sz w:val="36"/>
          <w:szCs w:val="36"/>
        </w:rPr>
      </w:pPr>
      <w:r>
        <w:rPr>
          <w:rFonts w:hint="eastAsia" w:ascii="宋体" w:hAnsi="宋体" w:eastAsia="宋体" w:cs="宋体"/>
          <w:b w:val="0"/>
          <w:bCs w:val="0"/>
          <w:color w:val="auto"/>
          <w:kern w:val="2"/>
          <w:sz w:val="24"/>
          <w:szCs w:val="24"/>
          <w:highlight w:val="none"/>
          <w:lang w:val="en-US" w:eastAsia="zh-CN" w:bidi="ar-SA"/>
        </w:rPr>
        <w:br w:type="page"/>
      </w:r>
      <w:bookmarkStart w:id="233" w:name="_Toc30288"/>
      <w:bookmarkStart w:id="234" w:name="_Toc6908"/>
      <w:bookmarkStart w:id="235" w:name="_Toc7803"/>
      <w:r>
        <w:rPr>
          <w:rFonts w:hint="eastAsia"/>
          <w:sz w:val="36"/>
          <w:szCs w:val="36"/>
        </w:rPr>
        <w:t>第三章 评标办法</w:t>
      </w:r>
      <w:bookmarkEnd w:id="233"/>
      <w:bookmarkEnd w:id="234"/>
      <w:bookmarkEnd w:id="235"/>
      <w:bookmarkStart w:id="236" w:name="_Toc64625926"/>
      <w:bookmarkStart w:id="237" w:name="_Toc246996242"/>
      <w:bookmarkStart w:id="238" w:name="_Toc152042376"/>
      <w:bookmarkStart w:id="239" w:name="_Toc144974566"/>
      <w:bookmarkStart w:id="240" w:name="_Toc246996985"/>
      <w:bookmarkStart w:id="241" w:name="_Toc152045599"/>
      <w:bookmarkStart w:id="242" w:name="_Toc247085757"/>
      <w:bookmarkStart w:id="243" w:name="_Toc179632617"/>
    </w:p>
    <w:p w14:paraId="386E4033">
      <w:pPr>
        <w:pStyle w:val="3"/>
        <w:spacing w:line="360" w:lineRule="auto"/>
        <w:jc w:val="center"/>
        <w:outlineLvl w:val="9"/>
        <w:rPr>
          <w:rFonts w:hint="eastAsia" w:ascii="宋体" w:hAnsi="宋体" w:eastAsia="宋体" w:cs="宋体"/>
        </w:rPr>
      </w:pPr>
      <w:bookmarkStart w:id="244" w:name="_Toc21321"/>
      <w:r>
        <w:rPr>
          <w:rFonts w:hint="eastAsia" w:ascii="宋体" w:hAnsi="宋体" w:eastAsia="宋体" w:cs="宋体"/>
        </w:rPr>
        <w:t>（综合评标法）</w:t>
      </w:r>
      <w:bookmarkEnd w:id="244"/>
    </w:p>
    <w:bookmarkEnd w:id="236"/>
    <w:p w14:paraId="04CCEEF1">
      <w:pPr>
        <w:spacing w:line="360" w:lineRule="auto"/>
        <w:ind w:firstLine="482" w:firstLineChars="200"/>
        <w:jc w:val="left"/>
        <w:outlineLvl w:val="0"/>
        <w:rPr>
          <w:rFonts w:ascii="宋体" w:hAnsi="宋体" w:cs="宋体"/>
          <w:color w:val="auto"/>
          <w:kern w:val="0"/>
          <w:sz w:val="24"/>
          <w:szCs w:val="24"/>
          <w:highlight w:val="none"/>
        </w:rPr>
      </w:pPr>
      <w:bookmarkStart w:id="245" w:name="_Toc31571"/>
      <w:bookmarkStart w:id="246" w:name="_Toc20564"/>
      <w:bookmarkStart w:id="247" w:name="_Toc23724"/>
      <w:bookmarkStart w:id="248" w:name="_Toc4579"/>
      <w:r>
        <w:rPr>
          <w:rFonts w:hint="eastAsia" w:ascii="宋体" w:hAnsi="宋体" w:cs="宋体"/>
          <w:b/>
          <w:bCs/>
          <w:color w:val="auto"/>
          <w:kern w:val="0"/>
          <w:sz w:val="24"/>
          <w:szCs w:val="24"/>
          <w:highlight w:val="none"/>
        </w:rPr>
        <w:t>1. 评标方法</w:t>
      </w:r>
      <w:bookmarkEnd w:id="245"/>
      <w:bookmarkEnd w:id="246"/>
      <w:bookmarkEnd w:id="247"/>
    </w:p>
    <w:p w14:paraId="5D1931A4">
      <w:pPr>
        <w:spacing w:line="360" w:lineRule="auto"/>
        <w:ind w:firstLine="476" w:firstLineChars="200"/>
        <w:jc w:val="left"/>
        <w:rPr>
          <w:rFonts w:ascii="宋体" w:hAnsi="宋体" w:cs="宋体"/>
          <w:color w:val="auto"/>
          <w:kern w:val="0"/>
          <w:sz w:val="24"/>
          <w:szCs w:val="24"/>
          <w:highlight w:val="none"/>
        </w:rPr>
      </w:pPr>
      <w:r>
        <w:rPr>
          <w:rFonts w:hint="eastAsia" w:ascii="宋体" w:hAnsi="宋体" w:cs="宋体"/>
          <w:color w:val="auto"/>
          <w:spacing w:val="-1"/>
          <w:kern w:val="0"/>
          <w:sz w:val="24"/>
          <w:szCs w:val="24"/>
          <w:highlight w:val="none"/>
        </w:rPr>
        <w:t>本次评标采用综合评分法。评标委员会对满足</w:t>
      </w:r>
      <w:r>
        <w:rPr>
          <w:rFonts w:hint="eastAsia" w:ascii="宋体" w:hAnsi="宋体" w:cs="宋体"/>
          <w:color w:val="auto"/>
          <w:spacing w:val="-1"/>
          <w:kern w:val="0"/>
          <w:sz w:val="24"/>
          <w:szCs w:val="24"/>
          <w:highlight w:val="none"/>
          <w:lang w:val="en-US" w:eastAsia="zh-CN"/>
        </w:rPr>
        <w:t>磋商</w:t>
      </w:r>
      <w:r>
        <w:rPr>
          <w:rFonts w:hint="eastAsia" w:ascii="宋体" w:hAnsi="宋体" w:cs="宋体"/>
          <w:color w:val="auto"/>
          <w:spacing w:val="-1"/>
          <w:kern w:val="0"/>
          <w:sz w:val="24"/>
          <w:szCs w:val="24"/>
          <w:highlight w:val="none"/>
        </w:rPr>
        <w:t>文件实质性要求的</w:t>
      </w:r>
      <w:r>
        <w:rPr>
          <w:rFonts w:hint="eastAsia" w:ascii="宋体" w:hAnsi="宋体" w:cs="宋体"/>
          <w:color w:val="auto"/>
          <w:spacing w:val="-1"/>
          <w:kern w:val="0"/>
          <w:sz w:val="24"/>
          <w:szCs w:val="24"/>
          <w:highlight w:val="none"/>
          <w:lang w:val="en-US" w:eastAsia="zh-CN"/>
        </w:rPr>
        <w:t>响应</w:t>
      </w:r>
      <w:r>
        <w:rPr>
          <w:rFonts w:hint="eastAsia" w:ascii="宋体" w:hAnsi="宋体" w:cs="宋体"/>
          <w:color w:val="auto"/>
          <w:spacing w:val="-1"/>
          <w:kern w:val="0"/>
          <w:sz w:val="24"/>
          <w:szCs w:val="24"/>
          <w:highlight w:val="none"/>
        </w:rPr>
        <w:t>文件，按照本章</w:t>
      </w:r>
      <w:r>
        <w:rPr>
          <w:rFonts w:hint="eastAsia" w:ascii="宋体" w:hAnsi="宋体" w:cs="宋体"/>
          <w:color w:val="auto"/>
          <w:kern w:val="0"/>
          <w:sz w:val="24"/>
          <w:szCs w:val="24"/>
          <w:highlight w:val="none"/>
          <w:lang w:val="en-US" w:eastAsia="zh-CN"/>
        </w:rPr>
        <w:t>附表2</w:t>
      </w:r>
      <w:r>
        <w:rPr>
          <w:rFonts w:hint="eastAsia" w:ascii="宋体" w:hAnsi="宋体" w:cs="宋体"/>
          <w:color w:val="auto"/>
          <w:kern w:val="0"/>
          <w:sz w:val="24"/>
          <w:szCs w:val="24"/>
          <w:highlight w:val="none"/>
        </w:rPr>
        <w:t>规定的评分标准进行打分，并按得分由高到低顺序推荐中标候选人，或根据招标人授</w:t>
      </w:r>
      <w:r>
        <w:rPr>
          <w:rFonts w:hint="eastAsia" w:ascii="宋体" w:hAnsi="宋体" w:cs="宋体"/>
          <w:color w:val="auto"/>
          <w:spacing w:val="-1"/>
          <w:kern w:val="0"/>
          <w:sz w:val="24"/>
          <w:szCs w:val="24"/>
          <w:highlight w:val="none"/>
        </w:rPr>
        <w:t>权直接确定中标人，但投标报价低于其成本的除外。综合评分相等时，以投标报价低的优先；投标报价也相等的，以监理大纲得分高的优先；如果监理大纲得分也相等，按照评标办法前附</w:t>
      </w:r>
      <w:r>
        <w:rPr>
          <w:rFonts w:hint="eastAsia" w:ascii="宋体" w:hAnsi="宋体" w:cs="宋体"/>
          <w:color w:val="auto"/>
          <w:kern w:val="0"/>
          <w:sz w:val="24"/>
          <w:szCs w:val="24"/>
          <w:highlight w:val="none"/>
        </w:rPr>
        <w:t>表的规定确定中标候选人顺序。</w:t>
      </w:r>
    </w:p>
    <w:p w14:paraId="4A97B57A">
      <w:pPr>
        <w:spacing w:line="360" w:lineRule="auto"/>
        <w:ind w:firstLine="482" w:firstLineChars="200"/>
        <w:jc w:val="left"/>
        <w:outlineLvl w:val="0"/>
        <w:rPr>
          <w:rFonts w:ascii="宋体" w:hAnsi="宋体" w:cs="宋体"/>
          <w:b/>
          <w:bCs/>
          <w:color w:val="auto"/>
          <w:kern w:val="0"/>
          <w:sz w:val="24"/>
          <w:szCs w:val="24"/>
          <w:highlight w:val="none"/>
        </w:rPr>
      </w:pPr>
      <w:bookmarkStart w:id="249" w:name="_bookmark85"/>
      <w:bookmarkEnd w:id="249"/>
      <w:bookmarkStart w:id="250" w:name="_Toc32659"/>
      <w:bookmarkStart w:id="251" w:name="_Toc26246"/>
      <w:bookmarkStart w:id="252" w:name="_Toc9976"/>
      <w:r>
        <w:rPr>
          <w:rFonts w:hint="eastAsia" w:ascii="宋体" w:hAnsi="宋体" w:cs="宋体"/>
          <w:b/>
          <w:bCs/>
          <w:color w:val="auto"/>
          <w:kern w:val="0"/>
          <w:sz w:val="24"/>
          <w:szCs w:val="24"/>
          <w:highlight w:val="none"/>
        </w:rPr>
        <w:t>2. 评审标准</w:t>
      </w:r>
      <w:bookmarkEnd w:id="250"/>
      <w:bookmarkEnd w:id="251"/>
      <w:bookmarkEnd w:id="252"/>
    </w:p>
    <w:p w14:paraId="38A4F768">
      <w:pPr>
        <w:spacing w:line="360" w:lineRule="auto"/>
        <w:ind w:firstLine="482" w:firstLineChars="200"/>
        <w:jc w:val="left"/>
        <w:outlineLvl w:val="1"/>
        <w:rPr>
          <w:rFonts w:ascii="宋体" w:hAnsi="宋体" w:cs="宋体"/>
          <w:b/>
          <w:bCs/>
          <w:color w:val="auto"/>
          <w:kern w:val="0"/>
          <w:sz w:val="24"/>
          <w:szCs w:val="24"/>
          <w:highlight w:val="none"/>
        </w:rPr>
      </w:pPr>
      <w:bookmarkStart w:id="253" w:name="_bookmark86"/>
      <w:bookmarkEnd w:id="253"/>
      <w:bookmarkStart w:id="254" w:name="_Toc19307"/>
      <w:r>
        <w:rPr>
          <w:rFonts w:hint="eastAsia" w:ascii="宋体" w:hAnsi="宋体" w:cs="宋体"/>
          <w:b/>
          <w:bCs/>
          <w:color w:val="auto"/>
          <w:kern w:val="0"/>
          <w:sz w:val="24"/>
          <w:szCs w:val="24"/>
          <w:highlight w:val="none"/>
        </w:rPr>
        <w:t>2.1初步评审标准</w:t>
      </w:r>
      <w:bookmarkEnd w:id="254"/>
    </w:p>
    <w:p w14:paraId="20C094B7">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2.1.1</w:t>
      </w:r>
      <w:r>
        <w:rPr>
          <w:rFonts w:hint="eastAsia" w:ascii="宋体" w:hAnsi="宋体" w:cs="宋体"/>
          <w:color w:val="auto"/>
          <w:kern w:val="0"/>
          <w:sz w:val="24"/>
          <w:szCs w:val="24"/>
          <w:highlight w:val="none"/>
          <w:lang w:eastAsia="zh-CN"/>
        </w:rPr>
        <w:t>符合性</w:t>
      </w:r>
      <w:r>
        <w:rPr>
          <w:rFonts w:hint="eastAsia" w:ascii="宋体" w:hAnsi="宋体" w:cs="宋体"/>
          <w:color w:val="auto"/>
          <w:kern w:val="0"/>
          <w:sz w:val="24"/>
          <w:szCs w:val="24"/>
          <w:highlight w:val="none"/>
        </w:rPr>
        <w:t>评审标准：见评标办法前附表。</w:t>
      </w:r>
    </w:p>
    <w:p w14:paraId="39AF65CE">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2.1.2资格评审标准：见评标办法前附表。</w:t>
      </w:r>
    </w:p>
    <w:p w14:paraId="674F10F1">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2.1.3响应性评审标准：见评标办法前附表。</w:t>
      </w:r>
    </w:p>
    <w:p w14:paraId="702FF3F6">
      <w:pPr>
        <w:spacing w:line="360" w:lineRule="auto"/>
        <w:ind w:firstLine="482" w:firstLineChars="200"/>
        <w:jc w:val="left"/>
        <w:outlineLvl w:val="1"/>
        <w:rPr>
          <w:rFonts w:ascii="宋体" w:hAnsi="宋体" w:cs="宋体"/>
          <w:b/>
          <w:bCs/>
          <w:color w:val="auto"/>
          <w:kern w:val="0"/>
          <w:sz w:val="24"/>
          <w:szCs w:val="24"/>
          <w:highlight w:val="none"/>
        </w:rPr>
      </w:pPr>
      <w:bookmarkStart w:id="255" w:name="_bookmark87"/>
      <w:bookmarkEnd w:id="255"/>
      <w:bookmarkStart w:id="256" w:name="_Toc8602"/>
      <w:r>
        <w:rPr>
          <w:rFonts w:hint="eastAsia" w:ascii="宋体" w:hAnsi="宋体" w:cs="宋体"/>
          <w:b/>
          <w:bCs/>
          <w:color w:val="auto"/>
          <w:kern w:val="0"/>
          <w:sz w:val="24"/>
          <w:szCs w:val="24"/>
          <w:highlight w:val="none"/>
        </w:rPr>
        <w:t>2.2分值构成与评分标准</w:t>
      </w:r>
      <w:bookmarkEnd w:id="256"/>
    </w:p>
    <w:p w14:paraId="6AF3D24F">
      <w:pPr>
        <w:spacing w:line="360" w:lineRule="auto"/>
        <w:ind w:firstLine="480" w:firstLineChars="200"/>
        <w:jc w:val="left"/>
        <w:outlineLvl w:val="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（1）投标报价：见评标办法前附表。</w:t>
      </w:r>
    </w:p>
    <w:p w14:paraId="662EBFF3">
      <w:pPr>
        <w:numPr>
          <w:ilvl w:val="0"/>
          <w:numId w:val="4"/>
        </w:numPr>
        <w:spacing w:line="360" w:lineRule="auto"/>
        <w:ind w:firstLine="480" w:firstLineChars="200"/>
        <w:jc w:val="left"/>
        <w:outlineLvl w:val="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商务标评分标准：见评标办法前附表。</w:t>
      </w:r>
    </w:p>
    <w:p w14:paraId="051E5216">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技术标评分标准：见评标办法前附表。</w:t>
      </w:r>
    </w:p>
    <w:p w14:paraId="75B2EBCB">
      <w:pPr>
        <w:spacing w:line="360" w:lineRule="auto"/>
        <w:ind w:firstLine="482" w:firstLineChars="200"/>
        <w:jc w:val="left"/>
        <w:outlineLvl w:val="0"/>
        <w:rPr>
          <w:rFonts w:ascii="宋体" w:hAnsi="宋体" w:cs="宋体"/>
          <w:b/>
          <w:bCs/>
          <w:color w:val="auto"/>
          <w:kern w:val="0"/>
          <w:sz w:val="24"/>
          <w:szCs w:val="24"/>
          <w:highlight w:val="none"/>
        </w:rPr>
      </w:pPr>
      <w:bookmarkStart w:id="257" w:name="_Toc26469"/>
      <w:bookmarkStart w:id="258" w:name="_Toc21103"/>
      <w:bookmarkStart w:id="259" w:name="_Toc26842"/>
      <w:r>
        <w:rPr>
          <w:rFonts w:hint="eastAsia" w:ascii="宋体" w:hAnsi="宋体" w:cs="宋体"/>
          <w:b/>
          <w:bCs/>
          <w:color w:val="auto"/>
          <w:kern w:val="0"/>
          <w:sz w:val="24"/>
          <w:szCs w:val="24"/>
          <w:highlight w:val="none"/>
        </w:rPr>
        <w:t>3.  评标程序</w:t>
      </w:r>
      <w:bookmarkEnd w:id="257"/>
      <w:bookmarkEnd w:id="258"/>
      <w:bookmarkEnd w:id="259"/>
    </w:p>
    <w:p w14:paraId="4A4D0030">
      <w:pPr>
        <w:spacing w:line="360" w:lineRule="auto"/>
        <w:ind w:firstLine="482" w:firstLineChars="200"/>
        <w:jc w:val="left"/>
        <w:outlineLvl w:val="1"/>
        <w:rPr>
          <w:rFonts w:ascii="宋体" w:hAnsi="宋体" w:cs="宋体"/>
          <w:b/>
          <w:bCs/>
          <w:color w:val="auto"/>
          <w:kern w:val="0"/>
          <w:sz w:val="24"/>
          <w:szCs w:val="24"/>
          <w:highlight w:val="none"/>
        </w:rPr>
      </w:pPr>
      <w:bookmarkStart w:id="260" w:name="_bookmark89"/>
      <w:bookmarkEnd w:id="260"/>
      <w:bookmarkStart w:id="261" w:name="_Toc17454"/>
      <w:r>
        <w:rPr>
          <w:rFonts w:hint="eastAsia" w:ascii="宋体" w:hAnsi="宋体" w:cs="宋体"/>
          <w:b/>
          <w:bCs/>
          <w:color w:val="auto"/>
          <w:kern w:val="0"/>
          <w:sz w:val="24"/>
          <w:szCs w:val="24"/>
          <w:highlight w:val="none"/>
        </w:rPr>
        <w:t>3.1 初步评审</w:t>
      </w:r>
      <w:bookmarkEnd w:id="261"/>
    </w:p>
    <w:p w14:paraId="47770908">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3.1.1  评标委员会依据本章第 2.1 款规定的标准对</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文件进行初步评审。有一项不符合评审标准的，评标委员会应当否决其投标。</w:t>
      </w:r>
    </w:p>
    <w:p w14:paraId="45B7C514">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3.1.2投标人有以下情形之一的，评标委员会应当否决其投标：</w:t>
      </w:r>
    </w:p>
    <w:p w14:paraId="2816E46D">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文件没有对</w:t>
      </w:r>
      <w:r>
        <w:rPr>
          <w:rFonts w:hint="eastAsia" w:ascii="宋体" w:hAnsi="宋体" w:cs="宋体"/>
          <w:color w:val="auto"/>
          <w:kern w:val="0"/>
          <w:sz w:val="24"/>
          <w:szCs w:val="24"/>
          <w:highlight w:val="none"/>
          <w:lang w:val="en-US" w:eastAsia="zh-CN"/>
        </w:rPr>
        <w:t>磋商</w:t>
      </w:r>
      <w:r>
        <w:rPr>
          <w:rFonts w:hint="eastAsia" w:ascii="宋体" w:hAnsi="宋体" w:cs="宋体"/>
          <w:color w:val="auto"/>
          <w:kern w:val="0"/>
          <w:sz w:val="24"/>
          <w:szCs w:val="24"/>
          <w:highlight w:val="none"/>
        </w:rPr>
        <w:t>文件的实质性要求和条件作出响应，或者对</w:t>
      </w:r>
      <w:r>
        <w:rPr>
          <w:rFonts w:hint="eastAsia" w:ascii="宋体" w:hAnsi="宋体" w:cs="宋体"/>
          <w:color w:val="auto"/>
          <w:kern w:val="0"/>
          <w:sz w:val="24"/>
          <w:szCs w:val="24"/>
          <w:highlight w:val="none"/>
          <w:lang w:val="en-US" w:eastAsia="zh-CN"/>
        </w:rPr>
        <w:t>磋商</w:t>
      </w:r>
      <w:r>
        <w:rPr>
          <w:rFonts w:hint="eastAsia" w:ascii="宋体" w:hAnsi="宋体" w:cs="宋体"/>
          <w:color w:val="auto"/>
          <w:kern w:val="0"/>
          <w:sz w:val="24"/>
          <w:szCs w:val="24"/>
          <w:highlight w:val="none"/>
        </w:rPr>
        <w:t>文件的偏差超出</w:t>
      </w:r>
      <w:r>
        <w:rPr>
          <w:rFonts w:hint="eastAsia" w:ascii="宋体" w:hAnsi="宋体" w:cs="宋体"/>
          <w:color w:val="auto"/>
          <w:kern w:val="0"/>
          <w:sz w:val="24"/>
          <w:szCs w:val="24"/>
          <w:highlight w:val="none"/>
          <w:lang w:val="en-US" w:eastAsia="zh-CN"/>
        </w:rPr>
        <w:t>磋商</w:t>
      </w:r>
      <w:r>
        <w:rPr>
          <w:rFonts w:hint="eastAsia" w:ascii="宋体" w:hAnsi="宋体" w:cs="宋体"/>
          <w:color w:val="auto"/>
          <w:kern w:val="0"/>
          <w:sz w:val="24"/>
          <w:szCs w:val="24"/>
          <w:highlight w:val="none"/>
        </w:rPr>
        <w:t>文件规定的偏差范围或最高项数；</w:t>
      </w:r>
    </w:p>
    <w:p w14:paraId="3FFF82F5">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（2）有串通投标、弄虚作假、行贿等违法行为。</w:t>
      </w:r>
    </w:p>
    <w:p w14:paraId="46B7FD96">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3.1.3投标报价有算术错误及其他错误的，评标委员会按以下原则要求投标人对投标报价进行修正，并要求投标人书面澄清确认。投标人拒不澄清确认的，评标委员会应当否决其投标：</w:t>
      </w:r>
    </w:p>
    <w:p w14:paraId="44A7F130">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文件中的大写金额与小写金额不一致的，以大写金额为准；</w:t>
      </w:r>
    </w:p>
    <w:p w14:paraId="7332AD40">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（2）总价金额与单价金额不一致的，以单价金额为准，但单价金额小数点有明显错误的除 外。</w:t>
      </w:r>
    </w:p>
    <w:p w14:paraId="02A4DCD3">
      <w:pPr>
        <w:spacing w:line="360" w:lineRule="auto"/>
        <w:ind w:firstLine="482" w:firstLineChars="200"/>
        <w:jc w:val="left"/>
        <w:outlineLvl w:val="1"/>
        <w:rPr>
          <w:rFonts w:ascii="宋体" w:hAnsi="宋体" w:cs="宋体"/>
          <w:b/>
          <w:bCs/>
          <w:color w:val="auto"/>
          <w:kern w:val="0"/>
          <w:sz w:val="24"/>
          <w:szCs w:val="24"/>
          <w:highlight w:val="none"/>
        </w:rPr>
      </w:pPr>
      <w:bookmarkStart w:id="262" w:name="_bookmark90"/>
      <w:bookmarkEnd w:id="262"/>
      <w:bookmarkStart w:id="263" w:name="_Toc19915"/>
      <w:r>
        <w:rPr>
          <w:rFonts w:hint="eastAsia" w:ascii="宋体" w:hAnsi="宋体" w:cs="宋体"/>
          <w:b/>
          <w:bCs/>
          <w:color w:val="auto"/>
          <w:kern w:val="0"/>
          <w:sz w:val="24"/>
          <w:szCs w:val="24"/>
          <w:highlight w:val="none"/>
        </w:rPr>
        <w:t>3.2 详细评审</w:t>
      </w:r>
      <w:bookmarkEnd w:id="263"/>
    </w:p>
    <w:p w14:paraId="471A1599">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3.2.1  评标委员会按本章规定的量化因素和分值进行打分，并计算出综合评估得分。</w:t>
      </w:r>
    </w:p>
    <w:p w14:paraId="1406FAFD">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（1）按本章第2.</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规定的评审因素和分值对投标报价计算出得分A；</w:t>
      </w:r>
    </w:p>
    <w:p w14:paraId="4E9AD44D">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（2）按本章第2.2.</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规定的评审因素和分值对商务标计算出得分B；</w:t>
      </w:r>
    </w:p>
    <w:p w14:paraId="0B1A74BE">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（3）按本章第2.2.</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规定的评审因素和分值对</w:t>
      </w:r>
      <w:r>
        <w:rPr>
          <w:rFonts w:hint="eastAsia" w:ascii="宋体" w:hAnsi="宋体" w:cs="宋体"/>
          <w:color w:val="auto"/>
          <w:kern w:val="0"/>
          <w:sz w:val="24"/>
          <w:szCs w:val="24"/>
          <w:highlight w:val="none"/>
          <w:lang w:val="en-US" w:eastAsia="zh-CN"/>
        </w:rPr>
        <w:t>技术标</w:t>
      </w:r>
      <w:r>
        <w:rPr>
          <w:rFonts w:hint="eastAsia" w:ascii="宋体" w:hAnsi="宋体" w:cs="宋体"/>
          <w:color w:val="auto"/>
          <w:kern w:val="0"/>
          <w:sz w:val="24"/>
          <w:szCs w:val="24"/>
          <w:highlight w:val="none"/>
        </w:rPr>
        <w:t>计算出得分C；</w:t>
      </w:r>
    </w:p>
    <w:p w14:paraId="5126A229">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3.2.2评分分值计算保留小数点后两位，小数点后第三位“四舍五入”。</w:t>
      </w:r>
    </w:p>
    <w:p w14:paraId="6CEF6231">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3.2.3投标人得分=A+B+C。</w:t>
      </w:r>
    </w:p>
    <w:p w14:paraId="380DE8FD">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3.2.4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0D886EC2">
      <w:pPr>
        <w:spacing w:line="360" w:lineRule="auto"/>
        <w:ind w:firstLine="482" w:firstLineChars="200"/>
        <w:jc w:val="left"/>
        <w:outlineLvl w:val="1"/>
        <w:rPr>
          <w:rFonts w:ascii="宋体" w:hAnsi="宋体" w:cs="宋体"/>
          <w:b/>
          <w:bCs/>
          <w:color w:val="auto"/>
          <w:kern w:val="0"/>
          <w:sz w:val="24"/>
          <w:szCs w:val="24"/>
          <w:highlight w:val="none"/>
        </w:rPr>
      </w:pPr>
      <w:bookmarkStart w:id="264" w:name="_bookmark91"/>
      <w:bookmarkEnd w:id="264"/>
      <w:bookmarkStart w:id="265" w:name="_Toc4537"/>
      <w:r>
        <w:rPr>
          <w:rFonts w:hint="eastAsia" w:ascii="宋体" w:hAnsi="宋体" w:cs="宋体"/>
          <w:b/>
          <w:bCs/>
          <w:color w:val="auto"/>
          <w:kern w:val="0"/>
          <w:sz w:val="24"/>
          <w:szCs w:val="24"/>
          <w:highlight w:val="none"/>
        </w:rPr>
        <w:t xml:space="preserve">3.3  </w:t>
      </w:r>
      <w:r>
        <w:rPr>
          <w:rFonts w:hint="eastAsia" w:ascii="宋体" w:hAnsi="宋体" w:cs="宋体"/>
          <w:b/>
          <w:bCs/>
          <w:color w:val="auto"/>
          <w:kern w:val="0"/>
          <w:sz w:val="24"/>
          <w:szCs w:val="24"/>
          <w:highlight w:val="none"/>
          <w:lang w:val="en-US" w:eastAsia="zh-CN"/>
        </w:rPr>
        <w:t>响应</w:t>
      </w:r>
      <w:r>
        <w:rPr>
          <w:rFonts w:hint="eastAsia" w:ascii="宋体" w:hAnsi="宋体" w:cs="宋体"/>
          <w:b/>
          <w:bCs/>
          <w:color w:val="auto"/>
          <w:kern w:val="0"/>
          <w:sz w:val="24"/>
          <w:szCs w:val="24"/>
          <w:highlight w:val="none"/>
        </w:rPr>
        <w:t>文件的澄清</w:t>
      </w:r>
      <w:bookmarkEnd w:id="265"/>
    </w:p>
    <w:p w14:paraId="6D055E6D">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3.3.1 在评标过程中，评标委员会可以书面形式要求投标人对</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文件中含义不明确、对同类问题表述不一致或者有明显文字和计算错误的内容作必要的澄清、说明或补正。澄清、说明 或补正应以书面方式进行。评标委员会不接受投标人主动提出的澄清、说明或补正。</w:t>
      </w:r>
    </w:p>
    <w:p w14:paraId="1BB68F92">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3.3.2澄清、说明或补正不得超出</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文件的范围且不得改变</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文件的实质性内容，并构成</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文件的组成部分。</w:t>
      </w:r>
    </w:p>
    <w:p w14:paraId="008A7B9C">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3.3.3评标委员会对</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人提交的澄清、说明或补正有疑问的，可以要求</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人进一步澄清、说明或补正，直至满足评标委员会的要求。</w:t>
      </w:r>
    </w:p>
    <w:p w14:paraId="4E95DEBD">
      <w:pPr>
        <w:spacing w:line="360" w:lineRule="auto"/>
        <w:ind w:firstLine="482" w:firstLineChars="200"/>
        <w:jc w:val="left"/>
        <w:outlineLvl w:val="1"/>
        <w:rPr>
          <w:rFonts w:ascii="宋体" w:hAnsi="宋体" w:cs="宋体"/>
          <w:b/>
          <w:bCs/>
          <w:color w:val="auto"/>
          <w:kern w:val="0"/>
          <w:sz w:val="24"/>
          <w:szCs w:val="24"/>
          <w:highlight w:val="none"/>
        </w:rPr>
      </w:pPr>
      <w:bookmarkStart w:id="266" w:name="_bookmark92"/>
      <w:bookmarkEnd w:id="266"/>
      <w:bookmarkStart w:id="267" w:name="_Toc8588"/>
      <w:r>
        <w:rPr>
          <w:rFonts w:hint="eastAsia" w:ascii="宋体" w:hAnsi="宋体" w:cs="宋体"/>
          <w:b/>
          <w:bCs/>
          <w:color w:val="auto"/>
          <w:kern w:val="0"/>
          <w:sz w:val="24"/>
          <w:szCs w:val="24"/>
          <w:highlight w:val="none"/>
        </w:rPr>
        <w:t>3.4 评标结果</w:t>
      </w:r>
      <w:bookmarkEnd w:id="267"/>
    </w:p>
    <w:p w14:paraId="4B270784">
      <w:pPr>
        <w:spacing w:line="360" w:lineRule="auto"/>
        <w:ind w:firstLine="480" w:firstLineChars="200"/>
        <w:jc w:val="left"/>
        <w:outlineLvl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3.4.1除第二章“</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人须知”前附表授权直接确定中标人外，评标委员会按照得分由高到低 的顺序推荐中标候选人，并标明排序。</w:t>
      </w:r>
    </w:p>
    <w:p w14:paraId="245FBFE7">
      <w:pPr>
        <w:spacing w:line="360" w:lineRule="auto"/>
        <w:jc w:val="center"/>
        <w:rPr>
          <w:rFonts w:hint="eastAsia" w:ascii="宋体" w:hAnsi="宋体" w:cs="宋体"/>
          <w:b/>
          <w:bCs/>
          <w:sz w:val="32"/>
          <w:szCs w:val="32"/>
        </w:rPr>
      </w:pPr>
      <w:r>
        <w:rPr>
          <w:rFonts w:hint="eastAsia" w:ascii="宋体" w:hAnsi="宋体" w:cs="宋体"/>
          <w:color w:val="auto"/>
          <w:kern w:val="0"/>
          <w:sz w:val="24"/>
          <w:szCs w:val="24"/>
          <w:highlight w:val="none"/>
        </w:rPr>
        <w:t>3.4.2评标委员会完成评标后，应当向招标人提交书面评标报告和中标候选人名单。</w:t>
      </w:r>
    </w:p>
    <w:p w14:paraId="10BBBB8F">
      <w:pPr>
        <w:jc w:val="center"/>
        <w:outlineLvl w:val="0"/>
        <w:rPr>
          <w:rFonts w:hint="eastAsia" w:ascii="宋体" w:hAnsi="宋体" w:cs="宋体"/>
          <w:b/>
          <w:bCs/>
          <w:sz w:val="32"/>
          <w:szCs w:val="32"/>
        </w:rPr>
      </w:pPr>
      <w:bookmarkStart w:id="268" w:name="_Toc9584"/>
      <w:r>
        <w:rPr>
          <w:rFonts w:hint="eastAsia" w:ascii="宋体" w:hAnsi="宋体" w:cs="宋体"/>
          <w:b/>
          <w:bCs/>
          <w:sz w:val="32"/>
          <w:szCs w:val="32"/>
        </w:rPr>
        <w:t>附表1初步评审表</w:t>
      </w:r>
      <w:bookmarkEnd w:id="248"/>
      <w:bookmarkEnd w:id="268"/>
    </w:p>
    <w:bookmarkEnd w:id="237"/>
    <w:bookmarkEnd w:id="238"/>
    <w:bookmarkEnd w:id="239"/>
    <w:bookmarkEnd w:id="240"/>
    <w:bookmarkEnd w:id="241"/>
    <w:bookmarkEnd w:id="242"/>
    <w:bookmarkEnd w:id="243"/>
    <w:tbl>
      <w:tblPr>
        <w:tblStyle w:val="16"/>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766"/>
        <w:gridCol w:w="1917"/>
        <w:gridCol w:w="5504"/>
      </w:tblGrid>
      <w:tr w14:paraId="5C34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8" w:type="dxa"/>
            <w:gridSpan w:val="2"/>
            <w:noWrap w:val="0"/>
            <w:vAlign w:val="center"/>
          </w:tcPr>
          <w:p w14:paraId="6A8B9044">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b/>
                <w:bCs/>
                <w:color w:val="000000"/>
                <w:sz w:val="24"/>
              </w:rPr>
            </w:pPr>
            <w:r>
              <w:rPr>
                <w:rFonts w:hint="eastAsia" w:ascii="宋体" w:hAnsi="宋体" w:cs="宋体"/>
                <w:b/>
                <w:bCs/>
                <w:color w:val="000000"/>
                <w:sz w:val="24"/>
              </w:rPr>
              <w:t>条款号</w:t>
            </w:r>
          </w:p>
        </w:tc>
        <w:tc>
          <w:tcPr>
            <w:tcW w:w="1917" w:type="dxa"/>
            <w:noWrap w:val="0"/>
            <w:vAlign w:val="center"/>
          </w:tcPr>
          <w:p w14:paraId="1CDB5298">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b/>
                <w:bCs/>
                <w:color w:val="000000"/>
                <w:sz w:val="24"/>
              </w:rPr>
            </w:pPr>
            <w:r>
              <w:rPr>
                <w:rFonts w:hint="eastAsia" w:ascii="宋体" w:hAnsi="宋体" w:cs="宋体"/>
                <w:b/>
                <w:bCs/>
                <w:color w:val="000000"/>
                <w:sz w:val="24"/>
              </w:rPr>
              <w:t>评审因素</w:t>
            </w:r>
          </w:p>
        </w:tc>
        <w:tc>
          <w:tcPr>
            <w:tcW w:w="5504" w:type="dxa"/>
            <w:noWrap w:val="0"/>
            <w:vAlign w:val="center"/>
          </w:tcPr>
          <w:p w14:paraId="2C7CA205">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b/>
                <w:bCs/>
                <w:color w:val="000000"/>
                <w:sz w:val="24"/>
              </w:rPr>
            </w:pPr>
            <w:r>
              <w:rPr>
                <w:rFonts w:hint="eastAsia" w:ascii="宋体" w:hAnsi="宋体" w:cs="宋体"/>
                <w:b/>
                <w:bCs/>
                <w:color w:val="000000"/>
                <w:sz w:val="24"/>
              </w:rPr>
              <w:t>评审标准</w:t>
            </w:r>
          </w:p>
        </w:tc>
      </w:tr>
      <w:tr w14:paraId="1838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restart"/>
            <w:noWrap w:val="0"/>
            <w:vAlign w:val="center"/>
          </w:tcPr>
          <w:p w14:paraId="71554E3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r>
              <w:rPr>
                <w:rFonts w:hint="eastAsia" w:ascii="宋体" w:hAnsi="宋体" w:cs="宋体"/>
                <w:color w:val="000000"/>
                <w:sz w:val="24"/>
              </w:rPr>
              <w:t>2.1.1</w:t>
            </w:r>
          </w:p>
        </w:tc>
        <w:tc>
          <w:tcPr>
            <w:tcW w:w="766" w:type="dxa"/>
            <w:vMerge w:val="restart"/>
            <w:noWrap w:val="0"/>
            <w:vAlign w:val="center"/>
          </w:tcPr>
          <w:p w14:paraId="19FF20F9">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r>
              <w:rPr>
                <w:rFonts w:hint="eastAsia" w:ascii="宋体" w:hAnsi="宋体" w:cs="宋体"/>
                <w:color w:val="000000"/>
                <w:sz w:val="24"/>
              </w:rPr>
              <w:t>形式</w:t>
            </w:r>
            <w:r>
              <w:rPr>
                <w:rFonts w:hint="eastAsia" w:ascii="宋体" w:hAnsi="宋体" w:cs="宋体"/>
                <w:color w:val="000000"/>
                <w:sz w:val="24"/>
                <w:lang w:eastAsia="zh-CN"/>
              </w:rPr>
              <w:t>（</w:t>
            </w:r>
            <w:r>
              <w:rPr>
                <w:rFonts w:hint="eastAsia" w:ascii="宋体" w:hAnsi="宋体" w:cs="宋体"/>
                <w:color w:val="000000"/>
                <w:sz w:val="24"/>
                <w:lang w:val="en-US" w:eastAsia="zh-CN"/>
              </w:rPr>
              <w:t>符合</w:t>
            </w:r>
            <w:r>
              <w:rPr>
                <w:rFonts w:hint="eastAsia" w:ascii="宋体" w:hAnsi="宋体" w:cs="宋体"/>
                <w:color w:val="000000"/>
                <w:sz w:val="24"/>
                <w:lang w:eastAsia="zh-CN"/>
              </w:rPr>
              <w:t>）</w:t>
            </w:r>
            <w:r>
              <w:rPr>
                <w:rFonts w:hint="eastAsia" w:ascii="宋体" w:hAnsi="宋体" w:cs="宋体"/>
                <w:color w:val="000000"/>
                <w:sz w:val="24"/>
              </w:rPr>
              <w:t>评审标准</w:t>
            </w:r>
          </w:p>
        </w:tc>
        <w:tc>
          <w:tcPr>
            <w:tcW w:w="1917" w:type="dxa"/>
            <w:noWrap w:val="0"/>
            <w:vAlign w:val="center"/>
          </w:tcPr>
          <w:p w14:paraId="2E3436D6">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lang w:eastAsia="zh-CN"/>
              </w:rPr>
              <w:t>响应人</w:t>
            </w:r>
            <w:r>
              <w:rPr>
                <w:rFonts w:hint="eastAsia" w:ascii="宋体" w:hAnsi="宋体" w:cs="宋体"/>
                <w:color w:val="000000"/>
                <w:sz w:val="24"/>
              </w:rPr>
              <w:t>名称</w:t>
            </w:r>
          </w:p>
        </w:tc>
        <w:tc>
          <w:tcPr>
            <w:tcW w:w="5504" w:type="dxa"/>
            <w:noWrap w:val="0"/>
            <w:vAlign w:val="center"/>
          </w:tcPr>
          <w:p w14:paraId="41696AE4">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rPr>
              <w:t>与营业执照一致</w:t>
            </w:r>
          </w:p>
        </w:tc>
      </w:tr>
      <w:tr w14:paraId="0274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2FBF15C9">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2723AF26">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08302DCA">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lang w:val="en-US" w:eastAsia="zh-CN"/>
              </w:rPr>
              <w:t>磋商</w:t>
            </w:r>
            <w:r>
              <w:rPr>
                <w:rFonts w:hint="eastAsia" w:ascii="宋体" w:hAnsi="宋体" w:cs="宋体"/>
                <w:color w:val="000000"/>
                <w:sz w:val="24"/>
              </w:rPr>
              <w:t>函签字盖章</w:t>
            </w:r>
          </w:p>
        </w:tc>
        <w:tc>
          <w:tcPr>
            <w:tcW w:w="5504" w:type="dxa"/>
            <w:noWrap w:val="0"/>
            <w:vAlign w:val="center"/>
          </w:tcPr>
          <w:p w14:paraId="23550A0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rPr>
              <w:t>有法定代表人电子签章，并签盖单位公章</w:t>
            </w:r>
          </w:p>
        </w:tc>
      </w:tr>
      <w:tr w14:paraId="2619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63277FB2">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0348B9E7">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5ADF126A">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lang w:eastAsia="zh-CN"/>
              </w:rPr>
              <w:t>响应文件</w:t>
            </w:r>
            <w:r>
              <w:rPr>
                <w:rFonts w:hint="eastAsia" w:ascii="宋体" w:hAnsi="宋体" w:cs="宋体"/>
                <w:color w:val="000000"/>
                <w:sz w:val="24"/>
              </w:rPr>
              <w:t>格式</w:t>
            </w:r>
          </w:p>
        </w:tc>
        <w:tc>
          <w:tcPr>
            <w:tcW w:w="5504" w:type="dxa"/>
            <w:noWrap w:val="0"/>
            <w:vAlign w:val="center"/>
          </w:tcPr>
          <w:p w14:paraId="09D1C4F6">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sz w:val="24"/>
              </w:rPr>
              <w:t>符合</w:t>
            </w:r>
            <w:r>
              <w:rPr>
                <w:rFonts w:hint="eastAsia" w:ascii="宋体" w:hAnsi="宋体" w:cs="宋体"/>
                <w:color w:val="000000"/>
                <w:sz w:val="24"/>
              </w:rPr>
              <w:t>第</w:t>
            </w:r>
            <w:r>
              <w:rPr>
                <w:rFonts w:hint="eastAsia" w:ascii="宋体" w:hAnsi="宋体" w:cs="宋体"/>
                <w:color w:val="000000"/>
                <w:sz w:val="24"/>
                <w:lang w:val="en-US" w:eastAsia="zh-CN"/>
              </w:rPr>
              <w:t>六</w:t>
            </w:r>
            <w:r>
              <w:rPr>
                <w:rFonts w:hint="eastAsia" w:ascii="宋体" w:hAnsi="宋体" w:cs="宋体"/>
                <w:color w:val="000000"/>
                <w:sz w:val="24"/>
              </w:rPr>
              <w:t>章</w:t>
            </w:r>
            <w:r>
              <w:rPr>
                <w:rFonts w:hint="eastAsia" w:ascii="宋体" w:hAnsi="宋体" w:cs="宋体"/>
                <w:sz w:val="24"/>
              </w:rPr>
              <w:t>“</w:t>
            </w:r>
            <w:r>
              <w:rPr>
                <w:rFonts w:hint="eastAsia" w:ascii="宋体" w:hAnsi="宋体" w:cs="宋体"/>
                <w:color w:val="000000"/>
                <w:sz w:val="24"/>
                <w:lang w:eastAsia="zh-CN"/>
              </w:rPr>
              <w:t>响应文件</w:t>
            </w:r>
            <w:r>
              <w:rPr>
                <w:rFonts w:hint="eastAsia" w:ascii="宋体" w:hAnsi="宋体" w:cs="宋体"/>
                <w:sz w:val="24"/>
              </w:rPr>
              <w:t>格式”的要</w:t>
            </w:r>
            <w:r>
              <w:rPr>
                <w:rFonts w:hint="eastAsia" w:ascii="宋体" w:hAnsi="宋体" w:cs="宋体"/>
                <w:color w:val="000000"/>
                <w:sz w:val="24"/>
              </w:rPr>
              <w:t>求</w:t>
            </w:r>
          </w:p>
        </w:tc>
      </w:tr>
      <w:tr w14:paraId="0734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5F155A3D">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1DC3C102">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641CDE1A">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Calibri" w:hAnsi="Calibri"/>
                <w:color w:val="auto"/>
                <w:kern w:val="2"/>
                <w:sz w:val="24"/>
                <w:szCs w:val="24"/>
                <w:highlight w:val="none"/>
                <w:lang w:val="en-US" w:eastAsia="zh-CN" w:bidi="ar-SA"/>
              </w:rPr>
            </w:pPr>
            <w:r>
              <w:rPr>
                <w:rFonts w:hint="eastAsia"/>
                <w:color w:val="auto"/>
                <w:sz w:val="24"/>
                <w:szCs w:val="24"/>
                <w:highlight w:val="none"/>
                <w:lang w:val="en-US"/>
              </w:rPr>
              <w:t>报价唯一</w:t>
            </w:r>
          </w:p>
        </w:tc>
        <w:tc>
          <w:tcPr>
            <w:tcW w:w="5504" w:type="dxa"/>
            <w:noWrap w:val="0"/>
            <w:vAlign w:val="center"/>
          </w:tcPr>
          <w:p w14:paraId="5481BDE2">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Calibri" w:hAnsi="Calibri"/>
                <w:color w:val="auto"/>
                <w:kern w:val="2"/>
                <w:sz w:val="24"/>
                <w:szCs w:val="24"/>
                <w:highlight w:val="none"/>
                <w:lang w:val="en-US" w:eastAsia="zh-CN" w:bidi="ar-SA"/>
              </w:rPr>
            </w:pPr>
            <w:r>
              <w:rPr>
                <w:rFonts w:hint="eastAsia"/>
                <w:color w:val="auto"/>
                <w:sz w:val="24"/>
                <w:szCs w:val="24"/>
                <w:highlight w:val="none"/>
                <w:lang w:val="en-US"/>
              </w:rPr>
              <w:t>只能有一个有效报价</w:t>
            </w:r>
          </w:p>
        </w:tc>
      </w:tr>
      <w:tr w14:paraId="24D8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restart"/>
            <w:noWrap w:val="0"/>
            <w:vAlign w:val="center"/>
          </w:tcPr>
          <w:p w14:paraId="4AB1CD09">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r>
              <w:rPr>
                <w:rFonts w:hint="eastAsia" w:ascii="宋体" w:hAnsi="宋体" w:cs="宋体"/>
                <w:color w:val="000000"/>
                <w:sz w:val="24"/>
              </w:rPr>
              <w:t>2.1.2</w:t>
            </w:r>
          </w:p>
        </w:tc>
        <w:tc>
          <w:tcPr>
            <w:tcW w:w="766" w:type="dxa"/>
            <w:vMerge w:val="restart"/>
            <w:noWrap w:val="0"/>
            <w:vAlign w:val="center"/>
          </w:tcPr>
          <w:p w14:paraId="275A0443">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r>
              <w:rPr>
                <w:rFonts w:hint="eastAsia" w:ascii="宋体" w:hAnsi="宋体" w:cs="宋体"/>
                <w:color w:val="000000"/>
                <w:sz w:val="24"/>
              </w:rPr>
              <w:t>资格评审标准</w:t>
            </w:r>
          </w:p>
        </w:tc>
        <w:tc>
          <w:tcPr>
            <w:tcW w:w="1917" w:type="dxa"/>
            <w:noWrap w:val="0"/>
            <w:vAlign w:val="top"/>
          </w:tcPr>
          <w:p w14:paraId="3C910844">
            <w:pPr>
              <w:pStyle w:val="21"/>
              <w:keepNext w:val="0"/>
              <w:keepLines w:val="0"/>
              <w:pageBreakBefore w:val="0"/>
              <w:widowControl w:val="0"/>
              <w:kinsoku/>
              <w:wordWrap w:val="0"/>
              <w:overflowPunct/>
              <w:topLinePunct/>
              <w:autoSpaceDE/>
              <w:autoSpaceDN/>
              <w:bidi w:val="0"/>
              <w:adjustRightInd w:val="0"/>
              <w:snapToGrid/>
              <w:spacing w:line="360" w:lineRule="auto"/>
              <w:ind w:left="0"/>
              <w:jc w:val="left"/>
              <w:textAlignment w:val="auto"/>
              <w:rPr>
                <w:rFonts w:hint="eastAsia" w:ascii="宋体" w:hAnsi="宋体" w:eastAsia="宋体" w:cs="宋体"/>
                <w:color w:val="000000"/>
                <w:sz w:val="24"/>
              </w:rPr>
            </w:pPr>
            <w:r>
              <w:rPr>
                <w:rFonts w:hint="eastAsia" w:ascii="宋体" w:hAnsi="宋体" w:eastAsia="宋体" w:cs="宋体"/>
                <w:lang w:eastAsia="zh-CN"/>
              </w:rPr>
              <w:t>满足《中华人民共和 国政府采购法》第二十二条规定</w:t>
            </w:r>
          </w:p>
        </w:tc>
        <w:tc>
          <w:tcPr>
            <w:tcW w:w="5504" w:type="dxa"/>
            <w:noWrap w:val="0"/>
            <w:vAlign w:val="top"/>
          </w:tcPr>
          <w:p w14:paraId="17DE02EA">
            <w:pPr>
              <w:pStyle w:val="21"/>
              <w:keepNext w:val="0"/>
              <w:keepLines w:val="0"/>
              <w:pageBreakBefore w:val="0"/>
              <w:widowControl w:val="0"/>
              <w:kinsoku/>
              <w:wordWrap w:val="0"/>
              <w:overflowPunct/>
              <w:topLinePunct/>
              <w:autoSpaceDE/>
              <w:autoSpaceDN/>
              <w:bidi w:val="0"/>
              <w:adjustRightInd w:val="0"/>
              <w:snapToGrid/>
              <w:spacing w:line="360" w:lineRule="auto"/>
              <w:ind w:left="0"/>
              <w:jc w:val="left"/>
              <w:textAlignment w:val="auto"/>
              <w:rPr>
                <w:rFonts w:hint="eastAsia" w:ascii="宋体" w:hAnsi="宋体" w:eastAsia="宋体" w:cs="宋体"/>
                <w:lang w:eastAsia="zh-CN"/>
              </w:rPr>
            </w:pPr>
          </w:p>
          <w:p w14:paraId="296534B1">
            <w:pPr>
              <w:pStyle w:val="21"/>
              <w:keepNext w:val="0"/>
              <w:keepLines w:val="0"/>
              <w:pageBreakBefore w:val="0"/>
              <w:widowControl w:val="0"/>
              <w:kinsoku/>
              <w:wordWrap w:val="0"/>
              <w:overflowPunct/>
              <w:topLinePunct/>
              <w:autoSpaceDE/>
              <w:autoSpaceDN/>
              <w:bidi w:val="0"/>
              <w:adjustRightInd w:val="0"/>
              <w:snapToGrid/>
              <w:spacing w:line="360" w:lineRule="auto"/>
              <w:ind w:left="0"/>
              <w:jc w:val="left"/>
              <w:textAlignment w:val="auto"/>
              <w:rPr>
                <w:rFonts w:hint="eastAsia" w:ascii="宋体" w:hAnsi="宋体" w:eastAsia="宋体" w:cs="宋体"/>
                <w:color w:val="000000"/>
                <w:sz w:val="24"/>
                <w:lang w:val="en-US" w:eastAsia="zh-CN"/>
              </w:rPr>
            </w:pPr>
            <w:r>
              <w:rPr>
                <w:rFonts w:hint="eastAsia" w:ascii="宋体" w:hAnsi="宋体" w:eastAsia="宋体" w:cs="宋体"/>
                <w:lang w:eastAsia="zh-CN"/>
              </w:rPr>
              <w:t>满足《中华人民共和国政府采购法》第二十二条规定，供应商提供承诺书</w:t>
            </w:r>
          </w:p>
        </w:tc>
      </w:tr>
      <w:tr w14:paraId="1BBC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70FACD57">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14E3B1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3EB67B3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rPr>
            </w:pPr>
            <w:r>
              <w:rPr>
                <w:rFonts w:hint="eastAsia" w:ascii="宋体" w:hAnsi="宋体" w:eastAsia="宋体" w:cs="宋体"/>
                <w:color w:val="000000"/>
                <w:sz w:val="24"/>
              </w:rPr>
              <w:t>营业执照</w:t>
            </w:r>
          </w:p>
        </w:tc>
        <w:tc>
          <w:tcPr>
            <w:tcW w:w="5504" w:type="dxa"/>
            <w:noWrap w:val="0"/>
            <w:vAlign w:val="center"/>
          </w:tcPr>
          <w:p w14:paraId="0278F8F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rPr>
            </w:pPr>
            <w:r>
              <w:rPr>
                <w:rFonts w:hint="eastAsia" w:ascii="宋体" w:hAnsi="宋体" w:eastAsia="宋体" w:cs="宋体"/>
                <w:color w:val="000000"/>
                <w:sz w:val="24"/>
                <w:lang w:val="en-US" w:eastAsia="zh-CN"/>
              </w:rPr>
              <w:t>具有独立法人资格，且持有效的营业执照</w:t>
            </w:r>
          </w:p>
        </w:tc>
      </w:tr>
      <w:tr w14:paraId="7A6F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45EDB12F">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356A5E1A">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42345125">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资质要求</w:t>
            </w:r>
          </w:p>
        </w:tc>
        <w:tc>
          <w:tcPr>
            <w:tcW w:w="5504" w:type="dxa"/>
            <w:noWrap w:val="0"/>
            <w:vAlign w:val="center"/>
          </w:tcPr>
          <w:p w14:paraId="5F6826FD">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eastAsia="宋体" w:cs="宋体"/>
                <w:color w:val="auto"/>
                <w:sz w:val="24"/>
                <w:szCs w:val="24"/>
                <w:highlight w:val="none"/>
                <w:lang w:val="en-US" w:eastAsia="zh-CN"/>
              </w:rPr>
              <w:t>具有房屋建筑工程专业监理</w:t>
            </w:r>
            <w:r>
              <w:rPr>
                <w:rFonts w:hint="eastAsia" w:ascii="宋体" w:hAnsi="宋体" w:cs="宋体"/>
                <w:color w:val="auto"/>
                <w:sz w:val="24"/>
                <w:szCs w:val="24"/>
                <w:highlight w:val="none"/>
                <w:lang w:val="en-US" w:eastAsia="zh-CN"/>
              </w:rPr>
              <w:t>甲级</w:t>
            </w:r>
            <w:r>
              <w:rPr>
                <w:rFonts w:hint="eastAsia" w:ascii="宋体" w:hAnsi="宋体" w:eastAsia="宋体" w:cs="宋体"/>
                <w:color w:val="auto"/>
                <w:sz w:val="24"/>
                <w:szCs w:val="24"/>
                <w:highlight w:val="none"/>
                <w:lang w:val="en-US" w:eastAsia="zh-CN"/>
              </w:rPr>
              <w:t>及以上资质或监理综合资质，并在人员、设备、资金等方面具备相应的监理能力（提供承诺函）。</w:t>
            </w:r>
          </w:p>
        </w:tc>
      </w:tr>
      <w:tr w14:paraId="3FE3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58282122">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025F22CA">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14411E69">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宋体"/>
                <w:color w:val="000000"/>
                <w:kern w:val="2"/>
                <w:sz w:val="24"/>
                <w:szCs w:val="24"/>
                <w:lang w:val="en-US" w:eastAsia="zh-CN" w:bidi="ar-SA"/>
              </w:rPr>
            </w:pPr>
            <w:r>
              <w:rPr>
                <w:rFonts w:hint="eastAsia" w:ascii="宋体" w:hAnsi="宋体" w:cs="宋体"/>
                <w:color w:val="000000"/>
                <w:sz w:val="24"/>
                <w:lang w:val="en-US" w:eastAsia="zh-CN"/>
              </w:rPr>
              <w:t>人员要求</w:t>
            </w:r>
          </w:p>
        </w:tc>
        <w:tc>
          <w:tcPr>
            <w:tcW w:w="5504" w:type="dxa"/>
            <w:noWrap w:val="0"/>
            <w:vAlign w:val="center"/>
          </w:tcPr>
          <w:p w14:paraId="27CAE1BE">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eastAsia="宋体" w:cs="宋体"/>
                <w:color w:val="auto"/>
                <w:sz w:val="24"/>
                <w:szCs w:val="24"/>
                <w:highlight w:val="none"/>
                <w:lang w:val="en-US" w:eastAsia="zh-CN"/>
              </w:rPr>
              <w:t>具有相关专业国家注册监理工程师资格证，具有</w:t>
            </w:r>
            <w:r>
              <w:rPr>
                <w:rFonts w:hint="eastAsia" w:ascii="宋体" w:hAnsi="宋体" w:cs="宋体"/>
                <w:color w:val="auto"/>
                <w:sz w:val="24"/>
                <w:szCs w:val="24"/>
                <w:highlight w:val="none"/>
                <w:lang w:val="en-US" w:eastAsia="zh-CN"/>
              </w:rPr>
              <w:t>高级</w:t>
            </w:r>
            <w:r>
              <w:rPr>
                <w:rFonts w:hint="eastAsia" w:ascii="宋体" w:hAnsi="宋体" w:eastAsia="宋体" w:cs="宋体"/>
                <w:color w:val="auto"/>
                <w:sz w:val="24"/>
                <w:szCs w:val="24"/>
                <w:highlight w:val="none"/>
                <w:lang w:val="en-US" w:eastAsia="zh-CN"/>
              </w:rPr>
              <w:t>及以上技术职称；并提供</w:t>
            </w:r>
            <w:r>
              <w:rPr>
                <w:rFonts w:hint="eastAsia" w:ascii="宋体" w:hAnsi="宋体" w:cs="宋体"/>
                <w:color w:val="auto"/>
                <w:sz w:val="24"/>
                <w:szCs w:val="24"/>
                <w:lang w:val="en-US" w:eastAsia="zh-CN"/>
              </w:rPr>
              <w:t>与响应单位的劳动关系证明。</w:t>
            </w:r>
          </w:p>
        </w:tc>
      </w:tr>
      <w:tr w14:paraId="5027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7163029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4F34C229">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07F00EC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eastAsia="宋体" w:cs="Times New Roman"/>
                <w:color w:val="auto"/>
                <w:sz w:val="24"/>
                <w:szCs w:val="24"/>
                <w:highlight w:val="none"/>
                <w:lang w:val="en-US" w:eastAsia="zh-CN"/>
              </w:rPr>
              <w:t>参加政府采购活动前三年内，在经营活动中没有重大违法记录</w:t>
            </w:r>
          </w:p>
        </w:tc>
        <w:tc>
          <w:tcPr>
            <w:tcW w:w="5504" w:type="dxa"/>
            <w:noWrap w:val="0"/>
            <w:vAlign w:val="center"/>
          </w:tcPr>
          <w:p w14:paraId="4D7993DB">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rPr>
            </w:pPr>
            <w:r>
              <w:rPr>
                <w:rFonts w:hint="eastAsia" w:ascii="宋体" w:hAnsi="宋体" w:eastAsia="宋体" w:cs="宋体"/>
                <w:color w:val="000000"/>
                <w:sz w:val="24"/>
                <w:lang w:val="en-US" w:eastAsia="zh-CN"/>
              </w:rPr>
              <w:t>参加政府采购活动前三年内，在经营活动中没有重大违法记录（提供书面声明）；</w:t>
            </w:r>
          </w:p>
        </w:tc>
      </w:tr>
      <w:tr w14:paraId="45C5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7B0E36A5">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5E01DC5D">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23C94DEA">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中国裁判文书网（wenshu.court.gov.cn）自行查询的无行贿犯罪记录或自行承诺</w:t>
            </w:r>
          </w:p>
        </w:tc>
        <w:tc>
          <w:tcPr>
            <w:tcW w:w="5504" w:type="dxa"/>
            <w:noWrap w:val="0"/>
            <w:vAlign w:val="center"/>
          </w:tcPr>
          <w:p w14:paraId="129DCCA8">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eastAsia="宋体" w:cs="宋体"/>
                <w:color w:val="auto"/>
                <w:sz w:val="24"/>
                <w:szCs w:val="24"/>
                <w:highlight w:val="none"/>
                <w:lang w:val="en-US" w:eastAsia="zh-CN"/>
              </w:rPr>
              <w:t>须提供在中国裁判文书网（wenshu.court.gov.cn）自行查询的无行贿犯罪记录或自行承诺（查询/承诺对象：企业、法定代表人、项目总监）；</w:t>
            </w:r>
          </w:p>
        </w:tc>
      </w:tr>
      <w:tr w14:paraId="5AE2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0BDB5C57">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51D15B0">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614AD1E0">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eastAsia="宋体" w:cs="宋体"/>
                <w:color w:val="auto"/>
                <w:sz w:val="24"/>
                <w:szCs w:val="24"/>
                <w:highlight w:val="none"/>
                <w:lang w:val="en-US" w:eastAsia="zh-CN"/>
              </w:rPr>
              <w:t>无商业贿赂和不正当竞争行为的承诺函</w:t>
            </w:r>
          </w:p>
        </w:tc>
        <w:tc>
          <w:tcPr>
            <w:tcW w:w="5504" w:type="dxa"/>
            <w:noWrap w:val="0"/>
            <w:vAlign w:val="center"/>
          </w:tcPr>
          <w:p w14:paraId="1145F9B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Times New Roman"/>
                <w:color w:val="auto"/>
                <w:sz w:val="24"/>
                <w:szCs w:val="24"/>
                <w:highlight w:val="none"/>
                <w:lang w:eastAsia="zh-CN"/>
              </w:rPr>
            </w:pPr>
            <w:r>
              <w:rPr>
                <w:rFonts w:hint="eastAsia" w:ascii="宋体" w:hAnsi="宋体" w:eastAsia="宋体" w:cs="宋体"/>
                <w:color w:val="auto"/>
                <w:sz w:val="24"/>
                <w:szCs w:val="24"/>
                <w:highlight w:val="none"/>
                <w:lang w:val="en-US" w:eastAsia="zh-CN"/>
              </w:rPr>
              <w:t>提供企业无商业贿赂和不正当竞争行为的承诺函</w:t>
            </w:r>
          </w:p>
        </w:tc>
      </w:tr>
      <w:tr w14:paraId="1638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5FEE84FC">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FF61F79">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31714CF0">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color w:val="000000"/>
                <w:sz w:val="24"/>
              </w:rPr>
              <w:t>信用中国、政府采购网查询结果</w:t>
            </w:r>
          </w:p>
        </w:tc>
        <w:tc>
          <w:tcPr>
            <w:tcW w:w="5504" w:type="dxa"/>
            <w:noWrap w:val="0"/>
            <w:vAlign w:val="center"/>
          </w:tcPr>
          <w:p w14:paraId="11AB31C9">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bCs/>
                <w:sz w:val="24"/>
                <w:highlight w:val="none"/>
              </w:rPr>
              <w:t>根据《关于在政府采购活动中查询及使用信用记录有关问题的通知》</w:t>
            </w:r>
            <w:r>
              <w:rPr>
                <w:rFonts w:hint="eastAsia" w:ascii="宋体" w:hAnsi="宋体" w:cs="宋体"/>
                <w:bCs/>
                <w:sz w:val="24"/>
                <w:highlight w:val="none"/>
                <w:lang w:eastAsia="zh-CN"/>
              </w:rPr>
              <w:t>（</w:t>
            </w:r>
            <w:r>
              <w:rPr>
                <w:rFonts w:hint="eastAsia" w:ascii="宋体" w:hAnsi="宋体" w:cs="宋体"/>
                <w:bCs/>
                <w:sz w:val="24"/>
                <w:highlight w:val="none"/>
              </w:rPr>
              <w:t>财库[2016]125号</w:t>
            </w:r>
            <w:r>
              <w:rPr>
                <w:rFonts w:hint="eastAsia" w:ascii="宋体" w:hAnsi="宋体" w:cs="宋体"/>
                <w:bCs/>
                <w:sz w:val="24"/>
                <w:highlight w:val="none"/>
                <w:lang w:eastAsia="zh-CN"/>
              </w:rPr>
              <w:t>）</w:t>
            </w:r>
            <w:r>
              <w:rPr>
                <w:rFonts w:hint="eastAsia" w:ascii="宋体" w:hAnsi="宋体" w:cs="宋体"/>
                <w:bCs/>
                <w:sz w:val="24"/>
                <w:highlight w:val="none"/>
              </w:rPr>
              <w:t>和豫财购【2016】15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r>
              <w:rPr>
                <w:rFonts w:hint="eastAsia" w:ascii="宋体" w:hAnsi="宋体" w:cs="宋体"/>
                <w:bCs/>
                <w:sz w:val="24"/>
                <w:highlight w:val="none"/>
                <w:lang w:eastAsia="zh-CN"/>
              </w:rPr>
              <w:t>，</w:t>
            </w:r>
            <w:r>
              <w:rPr>
                <w:rFonts w:hint="eastAsia" w:ascii="宋体" w:hAnsi="宋体" w:cs="宋体"/>
                <w:bCs/>
                <w:sz w:val="24"/>
                <w:highlight w:val="none"/>
              </w:rPr>
              <w:t>开标时间前截止，提供网站查询截图</w:t>
            </w:r>
            <w:r>
              <w:rPr>
                <w:rFonts w:hint="eastAsia" w:ascii="宋体" w:hAnsi="宋体" w:cs="宋体"/>
                <w:bCs/>
                <w:sz w:val="24"/>
                <w:highlight w:val="none"/>
                <w:lang w:eastAsia="zh-CN"/>
              </w:rPr>
              <w:t>；</w:t>
            </w:r>
            <w:r>
              <w:rPr>
                <w:rFonts w:hint="eastAsia" w:ascii="宋体" w:hAnsi="宋体" w:cs="宋体"/>
                <w:bCs/>
                <w:sz w:val="24"/>
                <w:highlight w:val="none"/>
                <w:lang w:val="en-US" w:eastAsia="zh-CN"/>
              </w:rPr>
              <w:t>同时，</w:t>
            </w:r>
            <w:r>
              <w:rPr>
                <w:rFonts w:hint="eastAsia" w:ascii="宋体" w:hAnsi="宋体" w:cs="宋体"/>
                <w:bCs/>
                <w:sz w:val="24"/>
                <w:highlight w:val="none"/>
              </w:rPr>
              <w:t>开标后由</w:t>
            </w:r>
            <w:r>
              <w:rPr>
                <w:rFonts w:hint="eastAsia" w:ascii="宋体" w:hAnsi="宋体" w:cs="宋体"/>
                <w:bCs/>
                <w:sz w:val="24"/>
                <w:highlight w:val="none"/>
                <w:lang w:val="en-US" w:eastAsia="zh-CN"/>
              </w:rPr>
              <w:t>招标</w:t>
            </w:r>
            <w:r>
              <w:rPr>
                <w:rFonts w:hint="eastAsia" w:ascii="宋体" w:hAnsi="宋体" w:cs="宋体"/>
                <w:bCs/>
                <w:sz w:val="24"/>
                <w:highlight w:val="none"/>
              </w:rPr>
              <w:t>人或代理机构通过以上网站进行查询，信用信息查询记录和证据将同</w:t>
            </w:r>
            <w:r>
              <w:rPr>
                <w:rFonts w:hint="eastAsia" w:ascii="宋体" w:hAnsi="宋体" w:cs="宋体"/>
                <w:bCs/>
                <w:sz w:val="24"/>
                <w:highlight w:val="none"/>
                <w:lang w:val="en-US" w:eastAsia="zh-CN"/>
              </w:rPr>
              <w:t>磋商</w:t>
            </w:r>
            <w:r>
              <w:rPr>
                <w:rFonts w:hint="eastAsia" w:ascii="宋体" w:hAnsi="宋体" w:cs="宋体"/>
                <w:bCs/>
                <w:sz w:val="24"/>
                <w:highlight w:val="none"/>
              </w:rPr>
              <w:t>文件等资料一同归档保存。相关网站有最新规定的，按最新规定执行）</w:t>
            </w:r>
            <w:r>
              <w:rPr>
                <w:rFonts w:hint="eastAsia" w:ascii="宋体" w:hAnsi="宋体" w:eastAsia="宋体" w:cs="宋体"/>
                <w:color w:val="auto"/>
                <w:sz w:val="24"/>
                <w:szCs w:val="24"/>
                <w:highlight w:val="none"/>
                <w:lang w:val="en-US" w:eastAsia="zh-CN"/>
              </w:rPr>
              <w:t>；</w:t>
            </w:r>
          </w:p>
        </w:tc>
      </w:tr>
      <w:tr w14:paraId="3FAE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6770F9E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6C1B8D4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1AA73536">
            <w:pPr>
              <w:keepNext w:val="0"/>
              <w:keepLines w:val="0"/>
              <w:pageBreakBefore w:val="0"/>
              <w:widowControl w:val="0"/>
              <w:kinsoku/>
              <w:wordWrap w:val="0"/>
              <w:overflowPunct/>
              <w:topLinePunct/>
              <w:autoSpaceDE/>
              <w:autoSpaceDN/>
              <w:bidi w:val="0"/>
              <w:snapToGrid/>
              <w:spacing w:line="360" w:lineRule="auto"/>
              <w:ind w:left="0" w:firstLine="240" w:firstLineChars="100"/>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控股关系</w:t>
            </w:r>
          </w:p>
        </w:tc>
        <w:tc>
          <w:tcPr>
            <w:tcW w:w="5504" w:type="dxa"/>
            <w:noWrap w:val="0"/>
            <w:vAlign w:val="center"/>
          </w:tcPr>
          <w:p w14:paraId="10BC2143">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cs="宋体"/>
                <w:bCs/>
                <w:sz w:val="24"/>
                <w:highlight w:val="none"/>
                <w:lang w:val="en-US" w:eastAsia="zh-CN"/>
              </w:rPr>
              <w:t>单位负责人为同一人或者存在直接控股、管理关系的不同投标人，不得同时参加本次招标活动，提供国家企业信用信息公示系统（网址http://www.gsxt.gov.cn/）公示的企业信息网页截图，查询内容须包含公司基本信息、股东信息）</w:t>
            </w:r>
            <w:r>
              <w:rPr>
                <w:rFonts w:hint="eastAsia" w:ascii="宋体" w:hAnsi="宋体" w:eastAsia="宋体" w:cs="宋体"/>
                <w:color w:val="auto"/>
                <w:sz w:val="24"/>
                <w:szCs w:val="24"/>
                <w:highlight w:val="none"/>
                <w:lang w:val="en-US" w:eastAsia="zh-CN"/>
              </w:rPr>
              <w:t>；</w:t>
            </w:r>
          </w:p>
        </w:tc>
      </w:tr>
      <w:tr w14:paraId="768A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72CC8C0D">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36234A9E">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4E2B48DC">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非联合体投标</w:t>
            </w:r>
          </w:p>
        </w:tc>
        <w:tc>
          <w:tcPr>
            <w:tcW w:w="5504" w:type="dxa"/>
            <w:noWrap w:val="0"/>
            <w:vAlign w:val="center"/>
          </w:tcPr>
          <w:p w14:paraId="77F1CB2C">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本项目不接受联合体投标，提供非联合体承诺书；</w:t>
            </w:r>
          </w:p>
        </w:tc>
      </w:tr>
      <w:tr w14:paraId="0375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29" w:type="dxa"/>
            <w:gridSpan w:val="4"/>
            <w:noWrap w:val="0"/>
            <w:vAlign w:val="center"/>
          </w:tcPr>
          <w:p w14:paraId="26A594F2">
            <w:pPr>
              <w:keepNext w:val="0"/>
              <w:keepLines w:val="0"/>
              <w:pageBreakBefore w:val="0"/>
              <w:widowControl w:val="0"/>
              <w:kinsoku/>
              <w:wordWrap w:val="0"/>
              <w:overflowPunct/>
              <w:topLinePunct/>
              <w:autoSpaceDE/>
              <w:autoSpaceDN/>
              <w:bidi w:val="0"/>
              <w:snapToGrid/>
              <w:spacing w:line="360" w:lineRule="auto"/>
              <w:ind w:left="0" w:firstLine="482" w:firstLineChars="200"/>
              <w:textAlignment w:val="auto"/>
              <w:rPr>
                <w:rFonts w:hint="eastAsia" w:ascii="宋体" w:hAnsi="宋体" w:cs="宋体"/>
                <w:sz w:val="24"/>
              </w:rPr>
            </w:pPr>
            <w:r>
              <w:rPr>
                <w:rFonts w:hint="eastAsia" w:ascii="宋体" w:hAnsi="宋体" w:cs="宋体"/>
                <w:b/>
                <w:bCs/>
                <w:sz w:val="24"/>
              </w:rPr>
              <w:t>注：本项涉及各类证</w:t>
            </w:r>
            <w:r>
              <w:rPr>
                <w:rFonts w:hint="eastAsia" w:ascii="宋体" w:hAnsi="宋体" w:cs="宋体"/>
                <w:b/>
                <w:bCs/>
                <w:sz w:val="24"/>
                <w:lang w:val="en-US" w:eastAsia="zh-CN"/>
              </w:rPr>
              <w:t>明</w:t>
            </w:r>
            <w:r>
              <w:rPr>
                <w:rFonts w:hint="eastAsia" w:ascii="宋体" w:hAnsi="宋体" w:cs="宋体"/>
                <w:b/>
                <w:bCs/>
                <w:sz w:val="24"/>
              </w:rPr>
              <w:t>（除营业执照）等内容的评审，均以</w:t>
            </w:r>
            <w:r>
              <w:rPr>
                <w:rFonts w:hint="eastAsia" w:ascii="宋体" w:hAnsi="宋体" w:cs="宋体"/>
                <w:b/>
                <w:bCs/>
                <w:sz w:val="24"/>
                <w:lang w:eastAsia="zh-CN"/>
              </w:rPr>
              <w:t>响应文件</w:t>
            </w:r>
            <w:r>
              <w:rPr>
                <w:rFonts w:hint="eastAsia" w:ascii="宋体" w:hAnsi="宋体" w:cs="宋体"/>
                <w:b/>
                <w:bCs/>
                <w:sz w:val="24"/>
              </w:rPr>
              <w:t>中原件扫描件为准且必须内容人齐全、真实有效、清晰可辨，同时</w:t>
            </w:r>
            <w:r>
              <w:rPr>
                <w:rFonts w:hint="eastAsia" w:ascii="宋体" w:hAnsi="宋体" w:cs="宋体"/>
                <w:b/>
                <w:bCs/>
                <w:sz w:val="24"/>
                <w:lang w:eastAsia="zh-CN"/>
              </w:rPr>
              <w:t>响应人</w:t>
            </w:r>
            <w:r>
              <w:rPr>
                <w:rFonts w:hint="eastAsia" w:ascii="宋体" w:hAnsi="宋体" w:cs="宋体"/>
                <w:b/>
                <w:bCs/>
                <w:sz w:val="24"/>
              </w:rPr>
              <w:t>应完善主体信息库中本项目投标资料，其内容真实性由</w:t>
            </w:r>
            <w:r>
              <w:rPr>
                <w:rFonts w:hint="eastAsia" w:ascii="宋体" w:hAnsi="宋体" w:cs="宋体"/>
                <w:b/>
                <w:bCs/>
                <w:sz w:val="24"/>
                <w:lang w:eastAsia="zh-CN"/>
              </w:rPr>
              <w:t>响应人</w:t>
            </w:r>
            <w:r>
              <w:rPr>
                <w:rFonts w:hint="eastAsia" w:ascii="宋体" w:hAnsi="宋体" w:cs="宋体"/>
                <w:b/>
                <w:bCs/>
                <w:sz w:val="24"/>
              </w:rPr>
              <w:t>自行承担。</w:t>
            </w:r>
          </w:p>
        </w:tc>
      </w:tr>
      <w:tr w14:paraId="787B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restart"/>
            <w:noWrap w:val="0"/>
            <w:vAlign w:val="center"/>
          </w:tcPr>
          <w:p w14:paraId="7FAE210C">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2.1.3</w:t>
            </w:r>
          </w:p>
        </w:tc>
        <w:tc>
          <w:tcPr>
            <w:tcW w:w="766" w:type="dxa"/>
            <w:vMerge w:val="restart"/>
            <w:noWrap w:val="0"/>
            <w:vAlign w:val="center"/>
          </w:tcPr>
          <w:p w14:paraId="4D2D24BC">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响应性评审标准</w:t>
            </w:r>
          </w:p>
        </w:tc>
        <w:tc>
          <w:tcPr>
            <w:tcW w:w="1917" w:type="dxa"/>
            <w:noWrap w:val="0"/>
            <w:vAlign w:val="center"/>
          </w:tcPr>
          <w:p w14:paraId="68819B84">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采购内容</w:t>
            </w:r>
          </w:p>
        </w:tc>
        <w:tc>
          <w:tcPr>
            <w:tcW w:w="5504" w:type="dxa"/>
            <w:noWrap w:val="0"/>
            <w:vAlign w:val="center"/>
          </w:tcPr>
          <w:p w14:paraId="70FA0815">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sz w:val="24"/>
              </w:rPr>
              <w:t>符合第二章“</w:t>
            </w:r>
            <w:r>
              <w:rPr>
                <w:rFonts w:hint="eastAsia" w:ascii="宋体" w:hAnsi="宋体" w:cs="宋体"/>
                <w:sz w:val="24"/>
                <w:lang w:eastAsia="zh-CN"/>
              </w:rPr>
              <w:t>响应人</w:t>
            </w:r>
            <w:r>
              <w:rPr>
                <w:rFonts w:hint="eastAsia" w:ascii="宋体" w:hAnsi="宋体" w:cs="宋体"/>
                <w:sz w:val="24"/>
              </w:rPr>
              <w:t>须知”规定</w:t>
            </w:r>
          </w:p>
        </w:tc>
      </w:tr>
      <w:tr w14:paraId="71BA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274CCC71">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77956AA">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5398DC80">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eastAsia="zh-CN"/>
              </w:rPr>
            </w:pPr>
            <w:r>
              <w:rPr>
                <w:rFonts w:hint="eastAsia" w:ascii="宋体" w:hAnsi="宋体" w:cs="宋体"/>
                <w:color w:val="000000"/>
                <w:sz w:val="24"/>
                <w:lang w:val="en-US" w:eastAsia="zh-CN"/>
              </w:rPr>
              <w:t>服务期</w:t>
            </w:r>
          </w:p>
        </w:tc>
        <w:tc>
          <w:tcPr>
            <w:tcW w:w="5504" w:type="dxa"/>
            <w:noWrap w:val="0"/>
            <w:vAlign w:val="center"/>
          </w:tcPr>
          <w:p w14:paraId="7B29693E">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sz w:val="24"/>
              </w:rPr>
              <w:t>符合第二章“</w:t>
            </w:r>
            <w:r>
              <w:rPr>
                <w:rFonts w:hint="eastAsia" w:ascii="宋体" w:hAnsi="宋体" w:cs="宋体"/>
                <w:sz w:val="24"/>
                <w:lang w:eastAsia="zh-CN"/>
              </w:rPr>
              <w:t>响应人</w:t>
            </w:r>
            <w:r>
              <w:rPr>
                <w:rFonts w:hint="eastAsia" w:ascii="宋体" w:hAnsi="宋体" w:cs="宋体"/>
                <w:sz w:val="24"/>
              </w:rPr>
              <w:t>须知”规定</w:t>
            </w:r>
          </w:p>
        </w:tc>
      </w:tr>
      <w:tr w14:paraId="55FD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70323AD6">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1B43CC74">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529ACD0A">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质量要求</w:t>
            </w:r>
          </w:p>
        </w:tc>
        <w:tc>
          <w:tcPr>
            <w:tcW w:w="5504" w:type="dxa"/>
            <w:noWrap w:val="0"/>
            <w:vAlign w:val="center"/>
          </w:tcPr>
          <w:p w14:paraId="59DC4AF8">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sz w:val="24"/>
              </w:rPr>
            </w:pPr>
            <w:r>
              <w:rPr>
                <w:rFonts w:hint="eastAsia" w:ascii="宋体" w:hAnsi="宋体" w:cs="宋体"/>
                <w:sz w:val="24"/>
              </w:rPr>
              <w:t>符合第二章“</w:t>
            </w:r>
            <w:r>
              <w:rPr>
                <w:rFonts w:hint="eastAsia" w:ascii="宋体" w:hAnsi="宋体" w:cs="宋体"/>
                <w:sz w:val="24"/>
                <w:lang w:eastAsia="zh-CN"/>
              </w:rPr>
              <w:t>响应人</w:t>
            </w:r>
            <w:r>
              <w:rPr>
                <w:rFonts w:hint="eastAsia" w:ascii="宋体" w:hAnsi="宋体" w:cs="宋体"/>
                <w:sz w:val="24"/>
              </w:rPr>
              <w:t>须知”规定</w:t>
            </w:r>
          </w:p>
        </w:tc>
      </w:tr>
      <w:tr w14:paraId="73AB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5DFA1AF2">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E0812F6">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20DB9E9C">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kern w:val="2"/>
                <w:sz w:val="24"/>
                <w:szCs w:val="24"/>
                <w:lang w:val="en-US" w:eastAsia="zh-CN" w:bidi="ar-SA"/>
              </w:rPr>
            </w:pPr>
            <w:r>
              <w:rPr>
                <w:rFonts w:hint="eastAsia" w:ascii="宋体" w:hAnsi="宋体" w:cs="宋体"/>
                <w:color w:val="000000"/>
                <w:sz w:val="24"/>
                <w:lang w:val="en-US" w:eastAsia="zh-CN"/>
              </w:rPr>
              <w:t>磋商</w:t>
            </w:r>
            <w:r>
              <w:rPr>
                <w:rFonts w:hint="eastAsia" w:ascii="宋体" w:hAnsi="宋体" w:cs="宋体"/>
                <w:color w:val="000000"/>
                <w:sz w:val="24"/>
              </w:rPr>
              <w:t>有效期</w:t>
            </w:r>
          </w:p>
        </w:tc>
        <w:tc>
          <w:tcPr>
            <w:tcW w:w="5504" w:type="dxa"/>
            <w:noWrap w:val="0"/>
            <w:vAlign w:val="center"/>
          </w:tcPr>
          <w:p w14:paraId="3419E478">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cs="宋体"/>
                <w:color w:val="000000"/>
                <w:kern w:val="2"/>
                <w:sz w:val="24"/>
                <w:szCs w:val="24"/>
                <w:lang w:val="en-US" w:eastAsia="zh-CN" w:bidi="ar-SA"/>
              </w:rPr>
            </w:pPr>
            <w:r>
              <w:rPr>
                <w:rFonts w:hint="eastAsia" w:ascii="宋体" w:hAnsi="宋体" w:eastAsia="宋体" w:cs="宋体"/>
                <w:color w:val="000000"/>
                <w:kern w:val="0"/>
                <w:sz w:val="24"/>
                <w:szCs w:val="24"/>
                <w:highlight w:val="none"/>
                <w:lang w:eastAsia="zh-CN"/>
              </w:rPr>
              <w:t>响应文件递交截止之日起</w:t>
            </w:r>
            <w:r>
              <w:rPr>
                <w:rFonts w:hint="eastAsia" w:ascii="宋体" w:hAnsi="宋体" w:cs="宋体"/>
                <w:color w:val="000000"/>
                <w:kern w:val="0"/>
                <w:sz w:val="24"/>
                <w:szCs w:val="24"/>
                <w:highlight w:val="none"/>
                <w:lang w:val="en-US" w:eastAsia="zh-CN"/>
              </w:rPr>
              <w:t>90</w:t>
            </w:r>
            <w:r>
              <w:rPr>
                <w:rFonts w:hint="eastAsia" w:ascii="宋体" w:hAnsi="宋体" w:eastAsia="宋体" w:cs="宋体"/>
                <w:color w:val="000000"/>
                <w:kern w:val="0"/>
                <w:sz w:val="24"/>
                <w:szCs w:val="24"/>
                <w:highlight w:val="none"/>
                <w:lang w:eastAsia="zh-CN"/>
              </w:rPr>
              <w:t>日历天</w:t>
            </w:r>
          </w:p>
        </w:tc>
      </w:tr>
      <w:tr w14:paraId="0AD6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vMerge w:val="continue"/>
            <w:noWrap w:val="0"/>
            <w:vAlign w:val="center"/>
          </w:tcPr>
          <w:p w14:paraId="44880518">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766" w:type="dxa"/>
            <w:vMerge w:val="continue"/>
            <w:noWrap w:val="0"/>
            <w:vAlign w:val="center"/>
          </w:tcPr>
          <w:p w14:paraId="7CAC1463">
            <w:pPr>
              <w:keepNext w:val="0"/>
              <w:keepLines w:val="0"/>
              <w:pageBreakBefore w:val="0"/>
              <w:widowControl w:val="0"/>
              <w:kinsoku/>
              <w:wordWrap w:val="0"/>
              <w:overflowPunct/>
              <w:topLinePunct/>
              <w:autoSpaceDE/>
              <w:autoSpaceDN/>
              <w:bidi w:val="0"/>
              <w:snapToGrid/>
              <w:spacing w:line="360" w:lineRule="auto"/>
              <w:ind w:left="0"/>
              <w:jc w:val="center"/>
              <w:textAlignment w:val="auto"/>
              <w:rPr>
                <w:rFonts w:hint="eastAsia" w:ascii="宋体" w:hAnsi="宋体" w:cs="宋体"/>
                <w:color w:val="000000"/>
                <w:sz w:val="24"/>
              </w:rPr>
            </w:pPr>
          </w:p>
        </w:tc>
        <w:tc>
          <w:tcPr>
            <w:tcW w:w="1917" w:type="dxa"/>
            <w:noWrap w:val="0"/>
            <w:vAlign w:val="center"/>
          </w:tcPr>
          <w:p w14:paraId="33C1DA61">
            <w:pPr>
              <w:keepNext w:val="0"/>
              <w:keepLines w:val="0"/>
              <w:pageBreakBefore w:val="0"/>
              <w:widowControl w:val="0"/>
              <w:kinsoku/>
              <w:wordWrap w:val="0"/>
              <w:overflowPunct/>
              <w:topLinePunct/>
              <w:autoSpaceDE/>
              <w:autoSpaceDN/>
              <w:bidi w:val="0"/>
              <w:snapToGrid/>
              <w:spacing w:line="360" w:lineRule="auto"/>
              <w:ind w:left="0"/>
              <w:textAlignment w:val="auto"/>
              <w:rPr>
                <w:rFonts w:hint="default" w:ascii="宋体" w:hAnsi="宋体" w:eastAsia="宋体" w:cs="宋体"/>
                <w:color w:val="000000"/>
                <w:sz w:val="24"/>
                <w:lang w:val="en-US" w:eastAsia="zh-CN"/>
              </w:rPr>
            </w:pPr>
            <w:r>
              <w:rPr>
                <w:rFonts w:hint="eastAsia" w:ascii="宋体" w:hAnsi="宋体" w:cs="宋体"/>
                <w:sz w:val="24"/>
                <w:lang w:val="en-US" w:eastAsia="zh-CN"/>
              </w:rPr>
              <w:t>报价唯一</w:t>
            </w:r>
          </w:p>
        </w:tc>
        <w:tc>
          <w:tcPr>
            <w:tcW w:w="5504" w:type="dxa"/>
            <w:noWrap w:val="0"/>
            <w:vAlign w:val="center"/>
          </w:tcPr>
          <w:p w14:paraId="7A8886EE">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sz w:val="24"/>
                <w:szCs w:val="24"/>
                <w:lang w:eastAsia="zh-CN"/>
              </w:rPr>
            </w:pPr>
            <w:r>
              <w:rPr>
                <w:rFonts w:hint="eastAsia" w:ascii="宋体" w:hAnsi="宋体" w:eastAsia="宋体" w:cs="宋体"/>
                <w:sz w:val="24"/>
                <w:szCs w:val="24"/>
              </w:rPr>
              <w:t>只能有一个有效报价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大小写一致</w:t>
            </w:r>
            <w:r>
              <w:rPr>
                <w:rFonts w:hint="eastAsia" w:ascii="宋体" w:hAnsi="宋体" w:eastAsia="宋体" w:cs="宋体"/>
                <w:sz w:val="24"/>
                <w:szCs w:val="24"/>
                <w:lang w:eastAsia="zh-CN"/>
              </w:rPr>
              <w:t>）</w:t>
            </w:r>
            <w:r>
              <w:rPr>
                <w:rFonts w:hint="eastAsia" w:ascii="宋体" w:hAnsi="宋体" w:eastAsia="宋体" w:cs="宋体"/>
                <w:sz w:val="24"/>
                <w:szCs w:val="24"/>
              </w:rPr>
              <w:t>且不超最高限价</w:t>
            </w:r>
            <w:r>
              <w:rPr>
                <w:rFonts w:hint="eastAsia" w:ascii="宋体" w:hAnsi="宋体" w:eastAsia="宋体" w:cs="宋体"/>
                <w:sz w:val="24"/>
                <w:szCs w:val="24"/>
                <w:lang w:eastAsia="zh-CN"/>
              </w:rPr>
              <w:t>；</w:t>
            </w:r>
          </w:p>
          <w:p w14:paraId="509E6D58">
            <w:pPr>
              <w:keepNext w:val="0"/>
              <w:keepLines w:val="0"/>
              <w:pageBreakBefore w:val="0"/>
              <w:widowControl w:val="0"/>
              <w:kinsoku/>
              <w:wordWrap w:val="0"/>
              <w:overflowPunct/>
              <w:topLinePunct/>
              <w:autoSpaceDE/>
              <w:autoSpaceDN/>
              <w:bidi w:val="0"/>
              <w:snapToGrid/>
              <w:spacing w:line="360" w:lineRule="auto"/>
              <w:ind w:left="0"/>
              <w:textAlignment w:val="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注：</w:t>
            </w:r>
            <w:r>
              <w:rPr>
                <w:rFonts w:hint="eastAsia" w:ascii="宋体" w:hAnsi="宋体" w:cs="宋体"/>
                <w:color w:val="000000"/>
                <w:sz w:val="24"/>
              </w:rPr>
              <w:t>未超过</w:t>
            </w:r>
            <w:r>
              <w:rPr>
                <w:rFonts w:hint="eastAsia" w:ascii="宋体" w:hAnsi="宋体" w:cs="宋体"/>
                <w:color w:val="000000"/>
                <w:sz w:val="24"/>
                <w:lang w:eastAsia="zh-CN"/>
              </w:rPr>
              <w:t>采购人</w:t>
            </w:r>
            <w:r>
              <w:rPr>
                <w:rFonts w:hint="eastAsia" w:ascii="宋体" w:hAnsi="宋体" w:cs="宋体"/>
                <w:color w:val="000000"/>
                <w:sz w:val="24"/>
                <w:lang w:val="en-US" w:eastAsia="zh-CN"/>
              </w:rPr>
              <w:t>预算金额的</w:t>
            </w:r>
            <w:r>
              <w:rPr>
                <w:rFonts w:hint="eastAsia" w:ascii="宋体" w:hAnsi="宋体" w:cs="宋体"/>
                <w:color w:val="000000"/>
                <w:sz w:val="24"/>
              </w:rPr>
              <w:t>为有效报价</w:t>
            </w:r>
            <w:r>
              <w:rPr>
                <w:rFonts w:hint="eastAsia" w:ascii="宋体" w:hAnsi="宋体" w:cs="宋体"/>
                <w:color w:val="000000"/>
                <w:sz w:val="24"/>
                <w:lang w:eastAsia="zh-CN"/>
              </w:rPr>
              <w:t>。</w:t>
            </w:r>
          </w:p>
        </w:tc>
      </w:tr>
    </w:tbl>
    <w:p w14:paraId="24958803">
      <w:pPr>
        <w:jc w:val="center"/>
        <w:outlineLvl w:val="0"/>
        <w:rPr>
          <w:rFonts w:hint="eastAsia" w:ascii="宋体" w:hAnsi="宋体" w:cs="宋体"/>
          <w:b/>
          <w:bCs/>
          <w:sz w:val="32"/>
          <w:szCs w:val="32"/>
        </w:rPr>
      </w:pPr>
      <w:r>
        <w:rPr>
          <w:rFonts w:hint="eastAsia" w:ascii="宋体" w:hAnsi="宋体" w:cs="宋体"/>
          <w:b/>
          <w:bCs/>
          <w:sz w:val="32"/>
          <w:szCs w:val="32"/>
        </w:rPr>
        <w:br w:type="page"/>
      </w:r>
      <w:bookmarkStart w:id="269" w:name="_Toc27932"/>
      <w:r>
        <w:rPr>
          <w:rFonts w:hint="eastAsia" w:ascii="宋体" w:hAnsi="宋体" w:cs="宋体"/>
          <w:b/>
          <w:bCs/>
          <w:sz w:val="32"/>
          <w:szCs w:val="32"/>
        </w:rPr>
        <w:t>附表</w:t>
      </w:r>
      <w:r>
        <w:rPr>
          <w:rFonts w:hint="eastAsia" w:ascii="宋体" w:hAnsi="宋体" w:cs="宋体"/>
          <w:b/>
          <w:bCs/>
          <w:sz w:val="32"/>
          <w:szCs w:val="32"/>
          <w:lang w:val="en-US" w:eastAsia="zh-CN"/>
        </w:rPr>
        <w:t>2 详细</w:t>
      </w:r>
      <w:r>
        <w:rPr>
          <w:rFonts w:hint="eastAsia" w:ascii="宋体" w:hAnsi="宋体" w:cs="宋体"/>
          <w:b/>
          <w:bCs/>
          <w:sz w:val="32"/>
          <w:szCs w:val="32"/>
        </w:rPr>
        <w:t>评审表</w:t>
      </w:r>
      <w:bookmarkEnd w:id="269"/>
    </w:p>
    <w:p w14:paraId="4FBA6541">
      <w:pPr>
        <w:pStyle w:val="15"/>
        <w:spacing w:before="0" w:beforeAutospacing="0" w:after="0" w:line="240" w:lineRule="auto"/>
        <w:ind w:left="0" w:leftChars="0" w:firstLine="0"/>
        <w:jc w:val="center"/>
        <w:rPr>
          <w:rFonts w:hint="eastAsia"/>
          <w:lang w:val="en-US" w:eastAsia="zh-CN"/>
        </w:rPr>
      </w:pPr>
      <w:r>
        <w:rPr>
          <w:rFonts w:hint="eastAsia" w:ascii="宋体" w:hAnsi="宋体" w:cs="宋体"/>
          <w:b/>
          <w:color w:val="auto"/>
          <w:kern w:val="1"/>
          <w:sz w:val="21"/>
          <w:szCs w:val="21"/>
        </w:rPr>
        <w:t>评分部分（满分100分）</w:t>
      </w:r>
    </w:p>
    <w:tbl>
      <w:tblPr>
        <w:tblStyle w:val="16"/>
        <w:tblW w:w="9428" w:type="dxa"/>
        <w:jc w:val="center"/>
        <w:tblLayout w:type="fixed"/>
        <w:tblCellMar>
          <w:top w:w="0" w:type="dxa"/>
          <w:left w:w="108" w:type="dxa"/>
          <w:bottom w:w="0" w:type="dxa"/>
          <w:right w:w="108" w:type="dxa"/>
        </w:tblCellMar>
      </w:tblPr>
      <w:tblGrid>
        <w:gridCol w:w="868"/>
        <w:gridCol w:w="1443"/>
        <w:gridCol w:w="7117"/>
      </w:tblGrid>
      <w:tr w14:paraId="65EBA510">
        <w:tblPrEx>
          <w:tblCellMar>
            <w:top w:w="0" w:type="dxa"/>
            <w:left w:w="108" w:type="dxa"/>
            <w:bottom w:w="0" w:type="dxa"/>
            <w:right w:w="108" w:type="dxa"/>
          </w:tblCellMar>
        </w:tblPrEx>
        <w:trPr>
          <w:trHeight w:val="90" w:hRule="atLeast"/>
          <w:jc w:val="center"/>
        </w:trPr>
        <w:tc>
          <w:tcPr>
            <w:tcW w:w="2311" w:type="dxa"/>
            <w:gridSpan w:val="2"/>
            <w:tcBorders>
              <w:top w:val="single" w:color="000000" w:sz="6" w:space="0"/>
              <w:left w:val="single" w:color="000000" w:sz="6" w:space="0"/>
              <w:bottom w:val="single" w:color="000000" w:sz="6" w:space="0"/>
              <w:right w:val="single" w:color="000000" w:sz="6" w:space="0"/>
            </w:tcBorders>
            <w:noWrap w:val="0"/>
            <w:vAlign w:val="center"/>
          </w:tcPr>
          <w:p w14:paraId="4E3BBD4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hanging="21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分值构成</w:t>
            </w:r>
          </w:p>
          <w:p w14:paraId="7D8956F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hanging="21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(总分100分)</w:t>
            </w:r>
          </w:p>
        </w:tc>
        <w:tc>
          <w:tcPr>
            <w:tcW w:w="7117" w:type="dxa"/>
            <w:tcBorders>
              <w:top w:val="single" w:color="000000" w:sz="6" w:space="0"/>
              <w:left w:val="single" w:color="000000" w:sz="6" w:space="0"/>
              <w:bottom w:val="single" w:color="000000" w:sz="6" w:space="0"/>
              <w:right w:val="single" w:color="000000" w:sz="12" w:space="0"/>
            </w:tcBorders>
            <w:noWrap w:val="0"/>
            <w:vAlign w:val="center"/>
          </w:tcPr>
          <w:p w14:paraId="77FC5A4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kern w:val="1"/>
                <w:sz w:val="24"/>
                <w:szCs w:val="24"/>
                <w:highlight w:val="none"/>
                <w:lang w:eastAsia="zh-CN"/>
              </w:rPr>
              <w:t>商务标：</w:t>
            </w:r>
            <w:r>
              <w:rPr>
                <w:rFonts w:hint="eastAsia" w:ascii="宋体" w:hAnsi="宋体" w:eastAsia="宋体" w:cs="宋体"/>
                <w:color w:val="auto"/>
                <w:kern w:val="1"/>
                <w:sz w:val="24"/>
                <w:szCs w:val="24"/>
                <w:highlight w:val="none"/>
                <w:u w:val="single"/>
                <w:lang w:val="en-US" w:eastAsia="zh-CN"/>
              </w:rPr>
              <w:t>20</w:t>
            </w:r>
            <w:r>
              <w:rPr>
                <w:rFonts w:hint="eastAsia" w:ascii="宋体" w:hAnsi="宋体" w:eastAsia="宋体" w:cs="宋体"/>
                <w:color w:val="auto"/>
                <w:kern w:val="1"/>
                <w:sz w:val="24"/>
                <w:szCs w:val="24"/>
                <w:highlight w:val="none"/>
                <w:lang w:eastAsia="zh-CN"/>
              </w:rPr>
              <w:t>分</w:t>
            </w:r>
          </w:p>
          <w:p w14:paraId="2B3ACF1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kern w:val="1"/>
                <w:sz w:val="24"/>
                <w:szCs w:val="24"/>
                <w:highlight w:val="none"/>
                <w:lang w:eastAsia="zh-CN"/>
              </w:rPr>
              <w:t>技术标：</w:t>
            </w:r>
            <w:r>
              <w:rPr>
                <w:rFonts w:hint="eastAsia" w:ascii="宋体" w:hAnsi="宋体" w:eastAsia="宋体" w:cs="宋体"/>
                <w:color w:val="auto"/>
                <w:kern w:val="1"/>
                <w:sz w:val="24"/>
                <w:szCs w:val="24"/>
                <w:highlight w:val="none"/>
                <w:u w:val="single"/>
                <w:lang w:val="en-US" w:eastAsia="zh-CN"/>
              </w:rPr>
              <w:t>50</w:t>
            </w:r>
            <w:r>
              <w:rPr>
                <w:rFonts w:hint="eastAsia" w:ascii="宋体" w:hAnsi="宋体" w:eastAsia="宋体" w:cs="宋体"/>
                <w:color w:val="auto"/>
                <w:kern w:val="1"/>
                <w:sz w:val="24"/>
                <w:szCs w:val="24"/>
                <w:highlight w:val="none"/>
                <w:lang w:eastAsia="zh-CN"/>
              </w:rPr>
              <w:t>分</w:t>
            </w:r>
          </w:p>
          <w:p w14:paraId="1D18FC5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kern w:val="1"/>
                <w:sz w:val="24"/>
                <w:szCs w:val="24"/>
                <w:lang w:eastAsia="zh-CN"/>
              </w:rPr>
            </w:pPr>
            <w:r>
              <w:rPr>
                <w:rFonts w:hint="eastAsia" w:ascii="宋体" w:hAnsi="宋体" w:eastAsia="宋体" w:cs="宋体"/>
                <w:color w:val="auto"/>
                <w:kern w:val="1"/>
                <w:sz w:val="24"/>
                <w:szCs w:val="24"/>
                <w:highlight w:val="none"/>
                <w:lang w:eastAsia="zh-CN"/>
              </w:rPr>
              <w:t>综合标：</w:t>
            </w:r>
            <w:r>
              <w:rPr>
                <w:rFonts w:hint="eastAsia" w:ascii="宋体" w:hAnsi="宋体" w:eastAsia="宋体" w:cs="宋体"/>
                <w:color w:val="auto"/>
                <w:kern w:val="1"/>
                <w:sz w:val="24"/>
                <w:szCs w:val="24"/>
                <w:highlight w:val="none"/>
                <w:u w:val="single"/>
                <w:lang w:val="en-US" w:eastAsia="zh-CN"/>
              </w:rPr>
              <w:t>30</w:t>
            </w:r>
            <w:r>
              <w:rPr>
                <w:rFonts w:hint="eastAsia" w:ascii="宋体" w:hAnsi="宋体" w:eastAsia="宋体" w:cs="宋体"/>
                <w:color w:val="auto"/>
                <w:kern w:val="1"/>
                <w:sz w:val="24"/>
                <w:szCs w:val="24"/>
                <w:highlight w:val="none"/>
                <w:lang w:eastAsia="zh-CN"/>
              </w:rPr>
              <w:t>分</w:t>
            </w:r>
          </w:p>
        </w:tc>
      </w:tr>
      <w:tr w14:paraId="64144C2D">
        <w:tblPrEx>
          <w:tblCellMar>
            <w:top w:w="0" w:type="dxa"/>
            <w:left w:w="108" w:type="dxa"/>
            <w:bottom w:w="0" w:type="dxa"/>
            <w:right w:w="108" w:type="dxa"/>
          </w:tblCellMar>
        </w:tblPrEx>
        <w:trPr>
          <w:trHeight w:val="207" w:hRule="atLeast"/>
          <w:jc w:val="center"/>
        </w:trPr>
        <w:tc>
          <w:tcPr>
            <w:tcW w:w="2311" w:type="dxa"/>
            <w:gridSpan w:val="2"/>
            <w:tcBorders>
              <w:top w:val="single" w:color="000000" w:sz="6" w:space="0"/>
              <w:left w:val="single" w:color="000000" w:sz="6" w:space="0"/>
              <w:bottom w:val="single" w:color="000000" w:sz="6" w:space="0"/>
              <w:right w:val="single" w:color="000000" w:sz="6" w:space="0"/>
            </w:tcBorders>
            <w:noWrap w:val="0"/>
            <w:vAlign w:val="center"/>
          </w:tcPr>
          <w:p w14:paraId="6CD31BE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b/>
                <w:color w:val="auto"/>
                <w:kern w:val="1"/>
                <w:sz w:val="24"/>
                <w:szCs w:val="24"/>
              </w:rPr>
            </w:pPr>
            <w:r>
              <w:rPr>
                <w:rFonts w:hint="eastAsia" w:ascii="宋体" w:hAnsi="宋体" w:eastAsia="宋体" w:cs="宋体"/>
                <w:b/>
                <w:color w:val="auto"/>
                <w:kern w:val="1"/>
                <w:sz w:val="24"/>
                <w:szCs w:val="24"/>
              </w:rPr>
              <w:t>评分因素</w:t>
            </w:r>
          </w:p>
        </w:tc>
        <w:tc>
          <w:tcPr>
            <w:tcW w:w="7117" w:type="dxa"/>
            <w:tcBorders>
              <w:top w:val="single" w:color="000000" w:sz="6" w:space="0"/>
              <w:left w:val="single" w:color="000000" w:sz="6" w:space="0"/>
              <w:bottom w:val="single" w:color="000000" w:sz="6" w:space="0"/>
              <w:right w:val="single" w:color="000000" w:sz="12" w:space="0"/>
            </w:tcBorders>
            <w:noWrap w:val="0"/>
            <w:vAlign w:val="center"/>
          </w:tcPr>
          <w:p w14:paraId="3FA3354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b/>
                <w:color w:val="auto"/>
                <w:kern w:val="1"/>
                <w:sz w:val="24"/>
                <w:szCs w:val="24"/>
              </w:rPr>
            </w:pPr>
            <w:r>
              <w:rPr>
                <w:rFonts w:hint="eastAsia" w:ascii="宋体" w:hAnsi="宋体" w:eastAsia="宋体" w:cs="宋体"/>
                <w:b/>
                <w:color w:val="auto"/>
                <w:kern w:val="1"/>
                <w:sz w:val="24"/>
                <w:szCs w:val="24"/>
              </w:rPr>
              <w:t>评分标准</w:t>
            </w:r>
          </w:p>
        </w:tc>
      </w:tr>
      <w:tr w14:paraId="4C7F45DD">
        <w:tblPrEx>
          <w:tblCellMar>
            <w:top w:w="0" w:type="dxa"/>
            <w:left w:w="108" w:type="dxa"/>
            <w:bottom w:w="0" w:type="dxa"/>
            <w:right w:w="108" w:type="dxa"/>
          </w:tblCellMar>
        </w:tblPrEx>
        <w:trPr>
          <w:trHeight w:val="602" w:hRule="atLeast"/>
          <w:jc w:val="center"/>
        </w:trPr>
        <w:tc>
          <w:tcPr>
            <w:tcW w:w="868" w:type="dxa"/>
            <w:tcBorders>
              <w:top w:val="single" w:color="000000" w:sz="6" w:space="0"/>
              <w:left w:val="single" w:color="000000" w:sz="4" w:space="0"/>
              <w:bottom w:val="single" w:color="000000" w:sz="6" w:space="0"/>
              <w:right w:val="single" w:color="000000" w:sz="6" w:space="0"/>
            </w:tcBorders>
            <w:noWrap w:val="0"/>
            <w:vAlign w:val="center"/>
          </w:tcPr>
          <w:p w14:paraId="5B875F2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商务标（</w:t>
            </w:r>
            <w:r>
              <w:rPr>
                <w:rFonts w:hint="eastAsia" w:ascii="宋体" w:hAnsi="宋体" w:eastAsia="宋体" w:cs="宋体"/>
                <w:color w:val="auto"/>
                <w:kern w:val="1"/>
                <w:sz w:val="24"/>
                <w:szCs w:val="24"/>
                <w:lang w:val="en-US" w:eastAsia="zh-CN"/>
              </w:rPr>
              <w:t>20</w:t>
            </w:r>
            <w:r>
              <w:rPr>
                <w:rFonts w:hint="eastAsia" w:ascii="宋体" w:hAnsi="宋体" w:eastAsia="宋体" w:cs="宋体"/>
                <w:color w:val="auto"/>
                <w:kern w:val="1"/>
                <w:sz w:val="24"/>
                <w:szCs w:val="24"/>
              </w:rPr>
              <w:t>分）</w:t>
            </w:r>
          </w:p>
        </w:tc>
        <w:tc>
          <w:tcPr>
            <w:tcW w:w="1443" w:type="dxa"/>
            <w:tcBorders>
              <w:top w:val="single" w:color="000000" w:sz="6" w:space="0"/>
              <w:left w:val="single" w:color="000000" w:sz="4" w:space="0"/>
              <w:bottom w:val="single" w:color="auto" w:sz="4" w:space="0"/>
              <w:right w:val="single" w:color="000000" w:sz="6" w:space="0"/>
            </w:tcBorders>
            <w:noWrap w:val="0"/>
            <w:vAlign w:val="center"/>
          </w:tcPr>
          <w:p w14:paraId="3635079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lang w:val="en-US" w:eastAsia="zh-CN"/>
              </w:rPr>
              <w:t>磋商</w:t>
            </w:r>
            <w:r>
              <w:rPr>
                <w:rFonts w:hint="eastAsia" w:ascii="宋体" w:hAnsi="宋体" w:eastAsia="宋体" w:cs="宋体"/>
                <w:color w:val="auto"/>
                <w:kern w:val="1"/>
                <w:sz w:val="24"/>
                <w:szCs w:val="24"/>
              </w:rPr>
              <w:t>报价</w:t>
            </w:r>
          </w:p>
          <w:p w14:paraId="54596FE7">
            <w:pPr>
              <w:pStyle w:val="22"/>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eastAsia="zh-CN"/>
              </w:rPr>
            </w:pPr>
            <w:r>
              <w:rPr>
                <w:rFonts w:hint="eastAsia" w:ascii="宋体" w:hAnsi="宋体" w:eastAsia="宋体" w:cs="宋体"/>
                <w:color w:val="auto"/>
                <w:kern w:val="1"/>
                <w:sz w:val="24"/>
                <w:szCs w:val="24"/>
                <w:lang w:eastAsia="zh-CN"/>
              </w:rPr>
              <w:t>（</w:t>
            </w:r>
            <w:r>
              <w:rPr>
                <w:rFonts w:hint="eastAsia" w:ascii="宋体" w:hAnsi="宋体" w:eastAsia="宋体" w:cs="宋体"/>
                <w:color w:val="auto"/>
                <w:kern w:val="1"/>
                <w:sz w:val="24"/>
                <w:szCs w:val="24"/>
                <w:lang w:val="en-US" w:eastAsia="zh-CN"/>
              </w:rPr>
              <w:t>20分</w:t>
            </w:r>
            <w:r>
              <w:rPr>
                <w:rFonts w:hint="eastAsia" w:ascii="宋体" w:hAnsi="宋体" w:eastAsia="宋体" w:cs="宋体"/>
                <w:color w:val="auto"/>
                <w:kern w:val="1"/>
                <w:sz w:val="24"/>
                <w:szCs w:val="24"/>
                <w:lang w:eastAsia="zh-CN"/>
              </w:rPr>
              <w:t>）</w:t>
            </w:r>
          </w:p>
        </w:tc>
        <w:tc>
          <w:tcPr>
            <w:tcW w:w="7117" w:type="dxa"/>
            <w:tcBorders>
              <w:top w:val="single" w:color="000000" w:sz="6" w:space="0"/>
              <w:left w:val="single" w:color="000000" w:sz="6" w:space="0"/>
              <w:bottom w:val="single" w:color="000000" w:sz="6" w:space="0"/>
              <w:right w:val="single" w:color="000000" w:sz="12" w:space="0"/>
            </w:tcBorders>
            <w:noWrap w:val="0"/>
            <w:vAlign w:val="center"/>
          </w:tcPr>
          <w:p w14:paraId="6A176BF6">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1、综合评分法中的价格分统一采用低价优先法计算，即满足磋商文件要求且最后报价最低的供应商的价格为磋商基准价，其价格分为满分。</w:t>
            </w:r>
          </w:p>
          <w:p w14:paraId="423BD3FB">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2、其他供应商的价格分统一按照下列公式计算：</w:t>
            </w:r>
          </w:p>
          <w:p w14:paraId="74BFB86F">
            <w:pPr>
              <w:pStyle w:val="21"/>
              <w:spacing w:before="50" w:line="291" w:lineRule="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磋商报价得分=（磋商基准价/最后磋商报价）×20</w:t>
            </w:r>
          </w:p>
          <w:p w14:paraId="19472B63">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注：超过最高限价的报价采购人不予接受，做无效标处理，分值计算保留两位小数。</w:t>
            </w:r>
          </w:p>
          <w:p w14:paraId="0343F561">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促进中小型企业发展，必须执行财政部、工信部印发的《政府采购促进中小企业发展管理办法》，对小型和微型企业的报价给予20%的扣除，用扣除后的价格参与评审。中小企业需提供《中小企业声明函》，并对其真实性负责，如有不实，属于“隐瞒真实情况，提供虚假资料”的情形，将依照《政府采购法》的有关规定追究相应责任。</w:t>
            </w:r>
          </w:p>
          <w:p w14:paraId="07BB897C">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（2）关于监狱企业：视同小微企业。须提供由省级以上监狱管理局、戒毒管理局（含新疆生产建设兵团）出具的属于监狱企业的证明文件。</w:t>
            </w:r>
          </w:p>
          <w:p w14:paraId="33048277">
            <w:pPr>
              <w:pStyle w:val="21"/>
              <w:spacing w:before="50" w:line="291"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（3）关于残疾人福利性单位：视同小微企业。须提供完整的“残疾人福利性单位声明函”。</w:t>
            </w:r>
          </w:p>
          <w:p w14:paraId="752A5DB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color w:val="auto"/>
                <w:kern w:val="0"/>
                <w:sz w:val="24"/>
                <w:szCs w:val="24"/>
                <w:highlight w:val="none"/>
                <w:lang w:val="en-US" w:eastAsia="zh-CN" w:bidi="ar-SA"/>
              </w:rPr>
              <w:t>（4）磋商小组认为供应商的报价明显低于其他通过符合性审查供应商的报价，有可能影响工程质量或者不能诚信履约的，应当要求其在合理的时间内提供说明，必要时提交相关证明材料；供应商不能证明其报价合理性的，磋商小组应当将其作为无效标处理。</w:t>
            </w:r>
          </w:p>
        </w:tc>
      </w:tr>
      <w:tr w14:paraId="7EFF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68" w:type="dxa"/>
            <w:vMerge w:val="restart"/>
            <w:noWrap/>
            <w:vAlign w:val="center"/>
          </w:tcPr>
          <w:p w14:paraId="6B7447A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技术标（</w:t>
            </w:r>
            <w:r>
              <w:rPr>
                <w:rFonts w:hint="eastAsia" w:ascii="宋体" w:hAnsi="宋体" w:eastAsia="宋体" w:cs="宋体"/>
                <w:color w:val="auto"/>
                <w:kern w:val="1"/>
                <w:sz w:val="24"/>
                <w:szCs w:val="24"/>
                <w:lang w:val="en-US" w:eastAsia="zh-CN"/>
              </w:rPr>
              <w:t>50</w:t>
            </w:r>
            <w:r>
              <w:rPr>
                <w:rFonts w:hint="eastAsia" w:ascii="宋体" w:hAnsi="宋体" w:eastAsia="宋体" w:cs="宋体"/>
                <w:color w:val="auto"/>
                <w:kern w:val="1"/>
                <w:sz w:val="24"/>
                <w:szCs w:val="24"/>
              </w:rPr>
              <w:t>分）</w:t>
            </w:r>
          </w:p>
        </w:tc>
        <w:tc>
          <w:tcPr>
            <w:tcW w:w="1443" w:type="dxa"/>
            <w:noWrap/>
            <w:vAlign w:val="center"/>
          </w:tcPr>
          <w:p w14:paraId="18CB558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组织机构</w:t>
            </w:r>
          </w:p>
          <w:p w14:paraId="5BB23D4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kern w:val="2"/>
                <w:sz w:val="24"/>
                <w:szCs w:val="24"/>
                <w:lang w:val="zh-CN" w:eastAsia="zh-CN" w:bidi="ar-SA"/>
              </w:rPr>
            </w:pPr>
            <w:r>
              <w:rPr>
                <w:rFonts w:hint="eastAsia" w:ascii="宋体" w:hAnsi="宋体" w:eastAsia="宋体" w:cs="宋体"/>
                <w:sz w:val="24"/>
                <w:szCs w:val="24"/>
                <w:lang w:val="en-US" w:eastAsia="zh-CN"/>
              </w:rPr>
              <w:t>（8分）</w:t>
            </w:r>
          </w:p>
        </w:tc>
        <w:tc>
          <w:tcPr>
            <w:tcW w:w="7117" w:type="dxa"/>
            <w:noWrap/>
            <w:vAlign w:val="center"/>
          </w:tcPr>
          <w:p w14:paraId="4EA92E8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1、有现场监理组织结构图的得1.5分，组织机构设置中考虑到公司对现场监理部监督管理的得1.5分。此项累计最多得3分，没有则不得分。 </w:t>
            </w:r>
          </w:p>
          <w:p w14:paraId="5994C7C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2、有明确的各级监理人员（包括总监理工程师、总监代表、专业监理工程师、监理员、见证员）岗位职责，得5分，缺一个岗位职责扣1分，此项扣完为止。 </w:t>
            </w:r>
          </w:p>
        </w:tc>
      </w:tr>
      <w:tr w14:paraId="453B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68" w:type="dxa"/>
            <w:vMerge w:val="continue"/>
            <w:noWrap/>
            <w:vAlign w:val="center"/>
          </w:tcPr>
          <w:p w14:paraId="4A28ACF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4CA58A7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监理工作程序、方法和制度</w:t>
            </w:r>
          </w:p>
          <w:p w14:paraId="04AD1E4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kern w:val="2"/>
                <w:sz w:val="24"/>
                <w:szCs w:val="24"/>
                <w:lang w:val="zh-CN" w:eastAsia="zh-CN" w:bidi="ar-SA"/>
              </w:rPr>
            </w:pPr>
            <w:r>
              <w:rPr>
                <w:rFonts w:hint="eastAsia" w:ascii="宋体" w:hAnsi="宋体" w:eastAsia="宋体" w:cs="宋体"/>
                <w:sz w:val="24"/>
                <w:szCs w:val="24"/>
                <w:lang w:val="en-US" w:eastAsia="zh-CN"/>
              </w:rPr>
              <w:t>（5分）</w:t>
            </w:r>
          </w:p>
        </w:tc>
        <w:tc>
          <w:tcPr>
            <w:tcW w:w="7117" w:type="dxa"/>
            <w:noWrap/>
            <w:vAlign w:val="center"/>
          </w:tcPr>
          <w:p w14:paraId="31E31FA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1、监理工作程序规范有序、系统全面，工作方法合理合规，工作制度健全完善得5分；</w:t>
            </w:r>
          </w:p>
          <w:p w14:paraId="5A573D8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2、监理工作程序基本规范、较为全面，工作方法基本合理合规，工作制度基本健全、较为完善得3分；</w:t>
            </w:r>
          </w:p>
          <w:p w14:paraId="376B02A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3、监理工作程序不规范、不全面，工作方法不够合理合规，工作制度不健全、不完善得1分；</w:t>
            </w:r>
          </w:p>
          <w:p w14:paraId="7120379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4、不提供则不得分。</w:t>
            </w:r>
          </w:p>
        </w:tc>
      </w:tr>
      <w:tr w14:paraId="31CC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68" w:type="dxa"/>
            <w:vMerge w:val="continue"/>
            <w:noWrap/>
            <w:vAlign w:val="center"/>
          </w:tcPr>
          <w:p w14:paraId="493E800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2C12F96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质量控制</w:t>
            </w:r>
          </w:p>
          <w:p w14:paraId="5C9A083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措施</w:t>
            </w:r>
          </w:p>
          <w:p w14:paraId="78F50BD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kern w:val="2"/>
                <w:sz w:val="24"/>
                <w:szCs w:val="24"/>
                <w:lang w:val="zh-CN" w:eastAsia="zh-CN" w:bidi="ar-SA"/>
              </w:rPr>
            </w:pPr>
            <w:r>
              <w:rPr>
                <w:rFonts w:hint="eastAsia" w:ascii="宋体" w:hAnsi="宋体" w:eastAsia="宋体" w:cs="宋体"/>
                <w:sz w:val="24"/>
                <w:szCs w:val="24"/>
                <w:lang w:val="en-US" w:eastAsia="zh-CN"/>
              </w:rPr>
              <w:t>（6分）</w:t>
            </w:r>
          </w:p>
        </w:tc>
        <w:tc>
          <w:tcPr>
            <w:tcW w:w="7117" w:type="dxa"/>
            <w:noWrap/>
            <w:vAlign w:val="center"/>
          </w:tcPr>
          <w:p w14:paraId="16FDD7E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提供事前、事中、事后质量控制措施：</w:t>
            </w:r>
          </w:p>
          <w:p w14:paraId="4B4DED4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1、质量控制措施合理完善、严谨有效、可行性高得6分；</w:t>
            </w:r>
          </w:p>
          <w:p w14:paraId="4221E16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2、质量控制措施基本合理、较为完善，具有基本的严谨性、有效性和可行性得4分；</w:t>
            </w:r>
          </w:p>
          <w:p w14:paraId="22E173E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3、质量控制措施不够合理、不完善，不严谨且低效，可行性较差得2分；</w:t>
            </w:r>
          </w:p>
          <w:p w14:paraId="512A9BF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4、不提供则不得分。</w:t>
            </w:r>
          </w:p>
        </w:tc>
      </w:tr>
      <w:tr w14:paraId="12C4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68" w:type="dxa"/>
            <w:vMerge w:val="continue"/>
            <w:noWrap/>
            <w:vAlign w:val="center"/>
          </w:tcPr>
          <w:p w14:paraId="046A49D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503A192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进度控制</w:t>
            </w:r>
          </w:p>
          <w:p w14:paraId="6509DED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措施</w:t>
            </w:r>
          </w:p>
          <w:p w14:paraId="1EE117A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kern w:val="2"/>
                <w:sz w:val="24"/>
                <w:szCs w:val="24"/>
                <w:lang w:val="zh-CN" w:eastAsia="zh-CN" w:bidi="ar-SA"/>
              </w:rPr>
            </w:pPr>
            <w:r>
              <w:rPr>
                <w:rFonts w:hint="eastAsia" w:ascii="宋体" w:hAnsi="宋体" w:eastAsia="宋体" w:cs="宋体"/>
                <w:sz w:val="24"/>
                <w:szCs w:val="24"/>
                <w:lang w:val="en-US" w:eastAsia="zh-CN"/>
              </w:rPr>
              <w:t>（5分）</w:t>
            </w:r>
          </w:p>
        </w:tc>
        <w:tc>
          <w:tcPr>
            <w:tcW w:w="7117" w:type="dxa"/>
            <w:noWrap/>
            <w:vAlign w:val="center"/>
          </w:tcPr>
          <w:p w14:paraId="53AFB77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1、进度控制措施合理有序、灵活高效得5分；</w:t>
            </w:r>
          </w:p>
          <w:p w14:paraId="23647B4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2、进度控制措施基本合理、较为有序、基本灵活、效率一般得3分；</w:t>
            </w:r>
          </w:p>
          <w:p w14:paraId="2DFB376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3、进度控制措施不合理、混乱无序、僵化低效得1分；</w:t>
            </w:r>
          </w:p>
          <w:p w14:paraId="453E5E9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4、不提供则不得分。</w:t>
            </w:r>
          </w:p>
        </w:tc>
      </w:tr>
      <w:tr w14:paraId="6A88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68A347E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70069FD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投资控制</w:t>
            </w:r>
          </w:p>
          <w:p w14:paraId="0E0DEC6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措施</w:t>
            </w:r>
          </w:p>
          <w:p w14:paraId="4ECD4B9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（5分）</w:t>
            </w:r>
          </w:p>
        </w:tc>
        <w:tc>
          <w:tcPr>
            <w:tcW w:w="7117" w:type="dxa"/>
            <w:noWrap/>
            <w:vAlign w:val="center"/>
          </w:tcPr>
          <w:p w14:paraId="05CB48C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提供整个项目实施</w:t>
            </w:r>
            <w:r>
              <w:rPr>
                <w:rFonts w:hint="eastAsia" w:ascii="宋体" w:hAnsi="宋体" w:eastAsia="宋体" w:cs="宋体"/>
                <w:sz w:val="24"/>
                <w:szCs w:val="24"/>
                <w:lang w:val="zh-CN" w:eastAsia="zh-CN"/>
              </w:rPr>
              <w:t>阶段投资控制措施：</w:t>
            </w:r>
          </w:p>
          <w:p w14:paraId="676A4A8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1、投资目标把控精准，投资控制全流程系统全面，控制措施规范，得5分；</w:t>
            </w:r>
          </w:p>
          <w:p w14:paraId="3D12DE7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2、投资目标把控基本准确，投资控制全流程较为系统、较全面，控制措施基本规范，得3分；</w:t>
            </w:r>
          </w:p>
          <w:p w14:paraId="300AC5C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3、投资目标把控模糊粗略，投资控制全流程片面零散，控制措施不够规范，得1分；</w:t>
            </w:r>
          </w:p>
          <w:p w14:paraId="1A2DDA0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4、不提供则不得分。</w:t>
            </w:r>
          </w:p>
        </w:tc>
      </w:tr>
      <w:tr w14:paraId="43BC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68" w:type="dxa"/>
            <w:vMerge w:val="continue"/>
            <w:noWrap/>
            <w:vAlign w:val="center"/>
          </w:tcPr>
          <w:p w14:paraId="31DBC44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7AE858A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合同、信息管理措施</w:t>
            </w:r>
          </w:p>
          <w:p w14:paraId="17A7233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（3分）</w:t>
            </w:r>
          </w:p>
        </w:tc>
        <w:tc>
          <w:tcPr>
            <w:tcW w:w="7117" w:type="dxa"/>
            <w:noWrap/>
            <w:vAlign w:val="center"/>
          </w:tcPr>
          <w:p w14:paraId="655DDCA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1、合同、信息管理措施合理齐全、针对性强得3分；</w:t>
            </w:r>
          </w:p>
          <w:p w14:paraId="70E8EF0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2、合同、信息管理措施基本合理、相对齐全、具有一定的针对性得2分；</w:t>
            </w:r>
          </w:p>
          <w:p w14:paraId="5B9F9AE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3、合同、信息管理措施不合理、片面、针对性较差得1分；</w:t>
            </w:r>
          </w:p>
          <w:p w14:paraId="6BB3AF9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4、不提供则不得分。</w:t>
            </w:r>
          </w:p>
        </w:tc>
      </w:tr>
      <w:tr w14:paraId="3600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24E670C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5DD75B6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安全文明施工及环境保护监理措施</w:t>
            </w:r>
          </w:p>
          <w:p w14:paraId="632BF31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（3分）</w:t>
            </w:r>
          </w:p>
        </w:tc>
        <w:tc>
          <w:tcPr>
            <w:tcW w:w="7117" w:type="dxa"/>
            <w:noWrap/>
            <w:vAlign w:val="center"/>
          </w:tcPr>
          <w:p w14:paraId="04BA4DD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1、措施详细全面、规范可行得3分；</w:t>
            </w:r>
          </w:p>
          <w:p w14:paraId="45E1346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2、措施较为全面、基本规范、具有可行性得2分；</w:t>
            </w:r>
          </w:p>
          <w:p w14:paraId="02C98D8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3、措施简略片面、不够规范、可行性较差得1分；</w:t>
            </w:r>
          </w:p>
          <w:p w14:paraId="6356317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4、不提供则不得分。</w:t>
            </w:r>
          </w:p>
        </w:tc>
      </w:tr>
      <w:tr w14:paraId="5CEC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4AE64CC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2256D61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组织协调的方法和措施</w:t>
            </w:r>
          </w:p>
          <w:p w14:paraId="18AB731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（3分）</w:t>
            </w:r>
          </w:p>
        </w:tc>
        <w:tc>
          <w:tcPr>
            <w:tcW w:w="7117" w:type="dxa"/>
            <w:noWrap/>
            <w:vAlign w:val="center"/>
          </w:tcPr>
          <w:p w14:paraId="4218CBF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1、方法和措施合理全面、灵活专业得3分；</w:t>
            </w:r>
          </w:p>
          <w:p w14:paraId="4C1B495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2、方法和措施基本合理全面、较为灵活、基本专业得2分；</w:t>
            </w:r>
          </w:p>
          <w:p w14:paraId="58BD9EB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3、方法和措施不够合理、片面、僵化业余得1分；</w:t>
            </w:r>
          </w:p>
          <w:p w14:paraId="61FECB6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4、不提供则不得分。</w:t>
            </w:r>
          </w:p>
        </w:tc>
      </w:tr>
      <w:tr w14:paraId="668F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30BCD0D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3A10DC6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保证旁站监理措施</w:t>
            </w:r>
          </w:p>
          <w:p w14:paraId="17BAB5A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（3分）</w:t>
            </w:r>
          </w:p>
        </w:tc>
        <w:tc>
          <w:tcPr>
            <w:tcW w:w="7117" w:type="dxa"/>
            <w:noWrap/>
            <w:vAlign w:val="center"/>
          </w:tcPr>
          <w:p w14:paraId="15E4469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1、旁站监理部位（过程）设置合理，措施详细全面、规范得3分；</w:t>
            </w:r>
          </w:p>
          <w:p w14:paraId="7E759DF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2、旁站监理部位（过程）设置基本合理，措施较为全面、基本规范得2分；</w:t>
            </w:r>
          </w:p>
          <w:p w14:paraId="6870060F">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3、旁站监理部位（过程）设置不够合理，措施简略片面、不够规范得1分；</w:t>
            </w:r>
          </w:p>
          <w:p w14:paraId="1886E90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4、不提供则不得分。</w:t>
            </w:r>
          </w:p>
        </w:tc>
      </w:tr>
      <w:tr w14:paraId="4DD8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6B40240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49A400D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监理工作重点与难点分析及对策</w:t>
            </w:r>
          </w:p>
          <w:p w14:paraId="318D141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lang w:val="en-US" w:eastAsia="zh-CN"/>
              </w:rPr>
              <w:t>（6分）</w:t>
            </w:r>
          </w:p>
        </w:tc>
        <w:tc>
          <w:tcPr>
            <w:tcW w:w="7117" w:type="dxa"/>
            <w:noWrap/>
            <w:vAlign w:val="center"/>
          </w:tcPr>
          <w:p w14:paraId="6A37C4D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1、重、难点分析合理全面、精准透彻，对策切实有效、预防性强，得6分；</w:t>
            </w:r>
          </w:p>
          <w:p w14:paraId="06FA991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2、重、难点分析基本合理、较为全面、准确，对策基本切合实际，有一定的效果和预防性，得4分；</w:t>
            </w:r>
          </w:p>
          <w:p w14:paraId="6DBE7FD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3、重、难点分析不够合理、片面、含糊不清，对策不切实际、收效甚微、预防性较差，得2分；</w:t>
            </w:r>
          </w:p>
          <w:p w14:paraId="4130FC4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lang w:val="en-US" w:eastAsia="zh-CN"/>
              </w:rPr>
              <w:t>4、不提供则不得分。</w:t>
            </w:r>
          </w:p>
        </w:tc>
      </w:tr>
      <w:tr w14:paraId="6AC4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090FA66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0CBDB97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缺陷责任期监理方案与措施</w:t>
            </w:r>
          </w:p>
          <w:p w14:paraId="505EB92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（3分）</w:t>
            </w:r>
          </w:p>
        </w:tc>
        <w:tc>
          <w:tcPr>
            <w:tcW w:w="7117" w:type="dxa"/>
            <w:noWrap/>
            <w:vAlign w:val="center"/>
          </w:tcPr>
          <w:p w14:paraId="4993B10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1、方案具体完善，措施保障性强，得3分；</w:t>
            </w:r>
          </w:p>
          <w:p w14:paraId="7AE0159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2、方案较为具体、基本完善，措施有基本的保障性，得2分；</w:t>
            </w:r>
          </w:p>
          <w:p w14:paraId="53D4B04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3、方案简略、不完善，措施保障性较差，得1分；</w:t>
            </w:r>
          </w:p>
          <w:p w14:paraId="7310A37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4、不提供则不得分。</w:t>
            </w:r>
          </w:p>
        </w:tc>
      </w:tr>
      <w:tr w14:paraId="2E6C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68" w:type="dxa"/>
            <w:vMerge w:val="continue"/>
            <w:noWrap/>
            <w:vAlign w:val="center"/>
          </w:tcPr>
          <w:p w14:paraId="28B877F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8560" w:type="dxa"/>
            <w:gridSpan w:val="2"/>
            <w:noWrap/>
            <w:vAlign w:val="center"/>
          </w:tcPr>
          <w:p w14:paraId="0AD5590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color w:val="auto"/>
                <w:kern w:val="1"/>
                <w:sz w:val="24"/>
                <w:szCs w:val="24"/>
                <w:lang w:val="en-US"/>
              </w:rPr>
            </w:pPr>
            <w:r>
              <w:rPr>
                <w:rFonts w:hint="eastAsia" w:ascii="宋体" w:hAnsi="宋体" w:eastAsia="宋体" w:cs="宋体"/>
                <w:bCs/>
                <w:color w:val="000000"/>
                <w:sz w:val="24"/>
                <w:szCs w:val="24"/>
              </w:rPr>
              <w:t>以上项目若有缺项的，该项为0分；不缺项的，不低于最低分。</w:t>
            </w:r>
          </w:p>
        </w:tc>
      </w:tr>
      <w:tr w14:paraId="527F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868" w:type="dxa"/>
            <w:vMerge w:val="restart"/>
            <w:noWrap/>
            <w:vAlign w:val="center"/>
          </w:tcPr>
          <w:p w14:paraId="2CACD1F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商务标（</w:t>
            </w:r>
            <w:r>
              <w:rPr>
                <w:rFonts w:hint="eastAsia" w:ascii="宋体" w:hAnsi="宋体" w:eastAsia="宋体" w:cs="宋体"/>
                <w:color w:val="auto"/>
                <w:kern w:val="1"/>
                <w:sz w:val="24"/>
                <w:szCs w:val="24"/>
                <w:lang w:val="en-US" w:eastAsia="zh-CN"/>
              </w:rPr>
              <w:t>30</w:t>
            </w:r>
            <w:r>
              <w:rPr>
                <w:rFonts w:hint="eastAsia" w:ascii="宋体" w:hAnsi="宋体" w:eastAsia="宋体" w:cs="宋体"/>
                <w:color w:val="auto"/>
                <w:kern w:val="1"/>
                <w:sz w:val="24"/>
                <w:szCs w:val="24"/>
                <w:lang w:val="en-US"/>
              </w:rPr>
              <w:t>分</w:t>
            </w:r>
            <w:r>
              <w:rPr>
                <w:rFonts w:hint="eastAsia" w:ascii="宋体" w:hAnsi="宋体" w:eastAsia="宋体" w:cs="宋体"/>
                <w:color w:val="auto"/>
                <w:kern w:val="1"/>
                <w:sz w:val="24"/>
                <w:szCs w:val="24"/>
              </w:rPr>
              <w:t>）</w:t>
            </w:r>
          </w:p>
        </w:tc>
        <w:tc>
          <w:tcPr>
            <w:tcW w:w="1443" w:type="dxa"/>
            <w:noWrap/>
            <w:vAlign w:val="center"/>
          </w:tcPr>
          <w:p w14:paraId="219DEFB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项目团队实力</w:t>
            </w:r>
          </w:p>
          <w:p w14:paraId="3782BB3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lang w:val="en-US" w:eastAsia="zh-CN"/>
              </w:rPr>
            </w:pPr>
            <w:r>
              <w:rPr>
                <w:rFonts w:hint="eastAsia" w:ascii="宋体" w:hAnsi="宋体" w:eastAsia="宋体" w:cs="宋体"/>
                <w:sz w:val="24"/>
                <w:szCs w:val="24"/>
                <w:lang w:val="en-US" w:eastAsia="zh-CN"/>
              </w:rPr>
              <w:t>（10分）</w:t>
            </w:r>
          </w:p>
        </w:tc>
        <w:tc>
          <w:tcPr>
            <w:tcW w:w="7117" w:type="dxa"/>
            <w:noWrap/>
            <w:vAlign w:val="center"/>
          </w:tcPr>
          <w:p w14:paraId="6D6E47D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kern w:val="1"/>
                <w:sz w:val="24"/>
                <w:szCs w:val="24"/>
                <w:lang w:val="en-US"/>
              </w:rPr>
            </w:pPr>
            <w:r>
              <w:rPr>
                <w:rFonts w:hint="eastAsia" w:ascii="宋体" w:hAnsi="宋体" w:eastAsia="宋体" w:cs="宋体"/>
                <w:sz w:val="24"/>
                <w:szCs w:val="24"/>
                <w:lang w:val="en-US" w:eastAsia="zh-CN"/>
              </w:rPr>
              <w:t>1.除总监理工程师外，项目组成员具有注册监理工程师证书的，每提供一人得2分，最多得10分。（注：需提供身份证、注册监理工程师证书、</w:t>
            </w:r>
            <w:r>
              <w:rPr>
                <w:rFonts w:hint="eastAsia" w:ascii="宋体" w:hAnsi="宋体" w:cs="宋体"/>
                <w:sz w:val="24"/>
                <w:szCs w:val="24"/>
                <w:lang w:val="en-US" w:eastAsia="zh-CN"/>
              </w:rPr>
              <w:t>劳动关系</w:t>
            </w:r>
            <w:r>
              <w:rPr>
                <w:rFonts w:hint="eastAsia" w:ascii="宋体" w:hAnsi="宋体" w:eastAsia="宋体" w:cs="宋体"/>
                <w:sz w:val="24"/>
                <w:szCs w:val="24"/>
                <w:lang w:val="en-US" w:eastAsia="zh-CN"/>
              </w:rPr>
              <w:t>等证明材料附于</w:t>
            </w:r>
            <w:r>
              <w:rPr>
                <w:rFonts w:hint="eastAsia" w:ascii="宋体" w:hAnsi="宋体" w:cs="宋体"/>
                <w:sz w:val="24"/>
                <w:szCs w:val="24"/>
                <w:lang w:val="en-US" w:eastAsia="zh-CN"/>
              </w:rPr>
              <w:t>响应</w:t>
            </w:r>
            <w:r>
              <w:rPr>
                <w:rFonts w:hint="eastAsia" w:ascii="宋体" w:hAnsi="宋体" w:eastAsia="宋体" w:cs="宋体"/>
                <w:sz w:val="24"/>
                <w:szCs w:val="24"/>
                <w:lang w:val="en-US" w:eastAsia="zh-CN"/>
              </w:rPr>
              <w:t>文件中）</w:t>
            </w:r>
          </w:p>
        </w:tc>
      </w:tr>
      <w:tr w14:paraId="656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73BCB2D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noWrap/>
            <w:vAlign w:val="center"/>
          </w:tcPr>
          <w:p w14:paraId="235D6124">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both"/>
              <w:textAlignment w:val="auto"/>
              <w:rPr>
                <w:rFonts w:hint="eastAsia" w:ascii="宋体" w:hAnsi="宋体" w:eastAsia="宋体" w:cs="宋体"/>
                <w:color w:val="auto"/>
                <w:kern w:val="1"/>
                <w:sz w:val="24"/>
                <w:szCs w:val="24"/>
                <w:lang w:val="en-US" w:eastAsia="zh-CN"/>
              </w:rPr>
            </w:pPr>
            <w:r>
              <w:rPr>
                <w:rFonts w:hint="eastAsia" w:ascii="宋体" w:hAnsi="宋体" w:eastAsia="宋体" w:cs="宋体"/>
                <w:color w:val="auto"/>
                <w:kern w:val="0"/>
                <w:sz w:val="24"/>
                <w:szCs w:val="24"/>
                <w:highlight w:val="none"/>
              </w:rPr>
              <w:t>企业工程监理业绩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0-</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p>
        </w:tc>
        <w:tc>
          <w:tcPr>
            <w:tcW w:w="7117" w:type="dxa"/>
            <w:noWrap/>
            <w:vAlign w:val="top"/>
          </w:tcPr>
          <w:p w14:paraId="5472981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sz w:val="24"/>
                <w:szCs w:val="24"/>
                <w:lang w:val="en-US" w:eastAsia="zh-CN"/>
              </w:rPr>
            </w:pPr>
            <w:r>
              <w:rPr>
                <w:rFonts w:hint="eastAsia" w:ascii="宋体" w:hAnsi="宋体" w:cs="宋体"/>
                <w:color w:val="auto"/>
                <w:kern w:val="0"/>
                <w:sz w:val="24"/>
                <w:szCs w:val="24"/>
                <w:highlight w:val="none"/>
                <w:lang w:val="en-US" w:eastAsia="zh-CN"/>
              </w:rPr>
              <w:t>响应</w:t>
            </w:r>
            <w:r>
              <w:rPr>
                <w:rFonts w:hint="eastAsia" w:ascii="宋体" w:hAnsi="宋体" w:eastAsia="宋体" w:cs="宋体"/>
                <w:color w:val="auto"/>
                <w:kern w:val="0"/>
                <w:sz w:val="24"/>
                <w:szCs w:val="24"/>
                <w:highlight w:val="none"/>
                <w:lang w:val="zh-CN"/>
              </w:rPr>
              <w:t>人</w:t>
            </w:r>
            <w:r>
              <w:rPr>
                <w:rFonts w:hint="eastAsia" w:ascii="宋体" w:hAnsi="宋体" w:cs="宋体"/>
                <w:color w:val="auto"/>
                <w:kern w:val="0"/>
                <w:sz w:val="24"/>
                <w:szCs w:val="24"/>
                <w:highlight w:val="none"/>
                <w:lang w:val="en-US" w:eastAsia="zh-CN"/>
              </w:rPr>
              <w:t>2023</w:t>
            </w:r>
            <w:r>
              <w:rPr>
                <w:rFonts w:hint="eastAsia" w:ascii="宋体" w:hAnsi="宋体" w:eastAsia="宋体" w:cs="宋体"/>
                <w:color w:val="auto"/>
                <w:kern w:val="0"/>
                <w:sz w:val="24"/>
                <w:szCs w:val="24"/>
                <w:highlight w:val="none"/>
                <w:lang w:val="zh-CN"/>
              </w:rPr>
              <w:t>年1月1日以来有类似项目监理业绩，每项得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zh-CN"/>
              </w:rPr>
              <w:t>分；最多得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zh-CN"/>
              </w:rPr>
              <w:t>分。（以合同签订日期为准，提供中标通知书</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zh-CN"/>
              </w:rPr>
              <w:t>合同</w:t>
            </w:r>
            <w:r>
              <w:rPr>
                <w:rFonts w:hint="eastAsia" w:ascii="宋体" w:hAnsi="宋体" w:eastAsia="宋体" w:cs="宋体"/>
                <w:color w:val="auto"/>
                <w:kern w:val="0"/>
                <w:sz w:val="24"/>
                <w:szCs w:val="24"/>
                <w:highlight w:val="none"/>
                <w:lang w:val="en-US" w:eastAsia="zh-CN"/>
              </w:rPr>
              <w:t>扫描</w:t>
            </w:r>
            <w:r>
              <w:rPr>
                <w:rFonts w:hint="eastAsia" w:ascii="宋体" w:hAnsi="宋体" w:eastAsia="宋体" w:cs="宋体"/>
                <w:color w:val="auto"/>
                <w:kern w:val="0"/>
                <w:sz w:val="24"/>
                <w:szCs w:val="24"/>
                <w:highlight w:val="none"/>
                <w:lang w:val="zh-CN"/>
              </w:rPr>
              <w:t>件）。</w:t>
            </w:r>
          </w:p>
        </w:tc>
      </w:tr>
      <w:tr w14:paraId="7D31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5EEA53C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tcBorders>
              <w:top w:val="single" w:color="auto" w:sz="4" w:space="0"/>
              <w:left w:val="single" w:color="auto" w:sz="4" w:space="0"/>
              <w:bottom w:val="single" w:color="auto" w:sz="4" w:space="0"/>
              <w:right w:val="single" w:color="auto" w:sz="4" w:space="0"/>
            </w:tcBorders>
            <w:noWrap/>
            <w:vAlign w:val="center"/>
          </w:tcPr>
          <w:p w14:paraId="78E5E60E">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both"/>
              <w:textAlignment w:val="auto"/>
              <w:rPr>
                <w:rFonts w:hint="eastAsia" w:ascii="宋体" w:hAnsi="宋体" w:eastAsia="宋体" w:cs="宋体"/>
                <w:color w:val="auto"/>
                <w:kern w:val="1"/>
                <w:sz w:val="24"/>
                <w:szCs w:val="24"/>
                <w:lang w:val="en-US" w:eastAsia="zh-CN"/>
              </w:rPr>
            </w:pPr>
            <w:r>
              <w:rPr>
                <w:rFonts w:hint="eastAsia" w:ascii="宋体" w:hAnsi="宋体" w:eastAsia="宋体" w:cs="宋体"/>
                <w:color w:val="auto"/>
                <w:kern w:val="0"/>
                <w:sz w:val="24"/>
                <w:szCs w:val="24"/>
                <w:highlight w:val="none"/>
              </w:rPr>
              <w:t>总监理工程师业绩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0-</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tc>
        <w:tc>
          <w:tcPr>
            <w:tcW w:w="7117" w:type="dxa"/>
            <w:tcBorders>
              <w:top w:val="single" w:color="auto" w:sz="4" w:space="0"/>
              <w:left w:val="single" w:color="auto" w:sz="4" w:space="0"/>
              <w:bottom w:val="single" w:color="auto" w:sz="4" w:space="0"/>
              <w:right w:val="single" w:color="auto" w:sz="4" w:space="0"/>
            </w:tcBorders>
            <w:noWrap/>
            <w:vAlign w:val="center"/>
          </w:tcPr>
          <w:p w14:paraId="02E4483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202</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zh-CN"/>
              </w:rPr>
              <w:t>年1月1日以来总监理工程师有类似项目总监理业绩，每项得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zh-CN"/>
              </w:rPr>
              <w:t>分；最多得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zh-CN"/>
              </w:rPr>
              <w:t>分。（以合同签订日期为准，提供中标通知书</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扫描</w:t>
            </w:r>
            <w:r>
              <w:rPr>
                <w:rFonts w:hint="eastAsia" w:ascii="宋体" w:hAnsi="宋体" w:eastAsia="宋体" w:cs="宋体"/>
                <w:color w:val="auto"/>
                <w:kern w:val="0"/>
                <w:sz w:val="24"/>
                <w:szCs w:val="24"/>
                <w:highlight w:val="none"/>
                <w:lang w:val="zh-CN"/>
              </w:rPr>
              <w:t>复印件）。</w:t>
            </w:r>
          </w:p>
          <w:p w14:paraId="0D0C5E3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sz w:val="24"/>
                <w:szCs w:val="24"/>
                <w:lang w:val="en-US" w:eastAsia="zh-CN"/>
              </w:rPr>
            </w:pPr>
            <w:r>
              <w:rPr>
                <w:rFonts w:hint="eastAsia" w:ascii="宋体" w:hAnsi="宋体" w:eastAsia="宋体" w:cs="宋体"/>
                <w:b/>
                <w:bCs/>
                <w:color w:val="auto"/>
                <w:kern w:val="0"/>
                <w:sz w:val="24"/>
                <w:szCs w:val="24"/>
                <w:highlight w:val="none"/>
              </w:rPr>
              <w:t>备注：企业业绩与项目总监业绩不可重复计取。</w:t>
            </w:r>
          </w:p>
        </w:tc>
      </w:tr>
      <w:tr w14:paraId="5509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79CE4C9C">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1443" w:type="dxa"/>
            <w:vMerge w:val="restart"/>
            <w:tcBorders>
              <w:top w:val="single" w:color="auto" w:sz="4" w:space="0"/>
              <w:left w:val="single" w:color="auto" w:sz="4" w:space="0"/>
              <w:right w:val="single" w:color="auto" w:sz="4" w:space="0"/>
            </w:tcBorders>
            <w:noWrap/>
            <w:vAlign w:val="center"/>
          </w:tcPr>
          <w:p w14:paraId="59B97D0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highlight w:val="none"/>
              </w:rPr>
              <w:t>服务承诺（</w:t>
            </w:r>
            <w:r>
              <w:rPr>
                <w:rFonts w:hint="eastAsia" w:ascii="宋体" w:hAnsi="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rPr>
              <w:t>分）</w:t>
            </w:r>
          </w:p>
        </w:tc>
        <w:tc>
          <w:tcPr>
            <w:tcW w:w="7117" w:type="dxa"/>
            <w:tcBorders>
              <w:top w:val="single" w:color="auto" w:sz="4" w:space="0"/>
              <w:left w:val="single" w:color="auto" w:sz="4" w:space="0"/>
              <w:bottom w:val="single" w:color="auto" w:sz="4" w:space="0"/>
              <w:right w:val="single" w:color="auto" w:sz="4" w:space="0"/>
            </w:tcBorders>
            <w:noWrap/>
            <w:vAlign w:val="center"/>
          </w:tcPr>
          <w:p w14:paraId="66BF5A6B">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一、提供①现场监理人员到位及不准兼职的承诺及措施；②监理单位未经建设单位同意，不得更换项目总监的承诺及措施：</w:t>
            </w:r>
          </w:p>
          <w:p w14:paraId="725AA13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1、以上要点承诺内容齐全且包含完善详细的保障措施，完全符合要求得</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分；</w:t>
            </w:r>
          </w:p>
          <w:p w14:paraId="3F794E39">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2、以上要点承诺内容基本齐全，包含较为完善、基本详细的保障措施，大体符合要求得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p w14:paraId="50166F9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3、以上要点承诺内容不够齐全，包含的保障措施不完善、简略，不够符合要求得1分；</w:t>
            </w:r>
          </w:p>
          <w:p w14:paraId="13424EB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4、不提供则不得分。</w:t>
            </w:r>
          </w:p>
        </w:tc>
      </w:tr>
      <w:tr w14:paraId="0907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6D60C9C7">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sz w:val="24"/>
                <w:szCs w:val="24"/>
              </w:rPr>
            </w:pPr>
          </w:p>
        </w:tc>
        <w:tc>
          <w:tcPr>
            <w:tcW w:w="1443" w:type="dxa"/>
            <w:vMerge w:val="continue"/>
            <w:tcBorders>
              <w:left w:val="single" w:color="auto" w:sz="4" w:space="0"/>
              <w:bottom w:val="single" w:color="auto" w:sz="4" w:space="0"/>
              <w:right w:val="single" w:color="auto" w:sz="4" w:space="0"/>
            </w:tcBorders>
            <w:noWrap/>
            <w:vAlign w:val="center"/>
          </w:tcPr>
          <w:p w14:paraId="1789D856">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left"/>
              <w:textAlignment w:val="auto"/>
              <w:rPr>
                <w:rFonts w:hint="eastAsia" w:ascii="宋体" w:hAnsi="宋体" w:eastAsia="宋体" w:cs="宋体"/>
                <w:sz w:val="24"/>
                <w:szCs w:val="24"/>
              </w:rPr>
            </w:pPr>
          </w:p>
        </w:tc>
        <w:tc>
          <w:tcPr>
            <w:tcW w:w="7117" w:type="dxa"/>
            <w:tcBorders>
              <w:top w:val="single" w:color="auto" w:sz="4" w:space="0"/>
              <w:left w:val="single" w:color="auto" w:sz="4" w:space="0"/>
              <w:bottom w:val="single" w:color="auto" w:sz="4" w:space="0"/>
              <w:right w:val="single" w:color="auto" w:sz="4" w:space="0"/>
            </w:tcBorders>
            <w:noWrap/>
            <w:vAlign w:val="center"/>
          </w:tcPr>
          <w:p w14:paraId="351F3BCA">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二、施工期、保修期及缺陷责任期的服务承诺：</w:t>
            </w:r>
          </w:p>
          <w:p w14:paraId="01706DD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1、承诺内容完善齐全、保障性强得</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分；</w:t>
            </w:r>
          </w:p>
          <w:p w14:paraId="0169022D">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2、承诺内容基本完善、较为齐全、具有基本的保障性得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p w14:paraId="5386B082">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3、承诺内容不够完善有欠缺、保障性较差得1分；</w:t>
            </w:r>
          </w:p>
          <w:p w14:paraId="095589F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4、不提供则不得分。</w:t>
            </w:r>
          </w:p>
        </w:tc>
      </w:tr>
      <w:tr w14:paraId="5389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noWrap/>
            <w:vAlign w:val="center"/>
          </w:tcPr>
          <w:p w14:paraId="0C6D5DE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1"/>
                <w:sz w:val="24"/>
                <w:szCs w:val="24"/>
              </w:rPr>
            </w:pPr>
          </w:p>
        </w:tc>
        <w:tc>
          <w:tcPr>
            <w:tcW w:w="8560" w:type="dxa"/>
            <w:gridSpan w:val="2"/>
            <w:tcBorders>
              <w:top w:val="single" w:color="auto" w:sz="4" w:space="0"/>
              <w:left w:val="single" w:color="auto" w:sz="4" w:space="0"/>
              <w:bottom w:val="single" w:color="auto" w:sz="4" w:space="0"/>
              <w:right w:val="single" w:color="auto" w:sz="4" w:space="0"/>
            </w:tcBorders>
            <w:noWrap/>
            <w:vAlign w:val="center"/>
          </w:tcPr>
          <w:p w14:paraId="7F405055">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kern w:val="1"/>
                <w:sz w:val="24"/>
                <w:szCs w:val="24"/>
                <w:lang w:val="en-US"/>
              </w:rPr>
            </w:pPr>
            <w:r>
              <w:rPr>
                <w:rFonts w:hint="eastAsia" w:ascii="宋体" w:hAnsi="宋体" w:eastAsia="宋体" w:cs="宋体"/>
                <w:color w:val="auto"/>
                <w:sz w:val="24"/>
                <w:szCs w:val="24"/>
                <w:lang w:val="en-US" w:eastAsia="zh-CN"/>
              </w:rPr>
              <w:t>上述各项如有缺项，则该项为0分。</w:t>
            </w:r>
          </w:p>
        </w:tc>
      </w:tr>
      <w:tr w14:paraId="483B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8" w:type="dxa"/>
            <w:gridSpan w:val="3"/>
            <w:tcBorders>
              <w:right w:val="single" w:color="auto" w:sz="4" w:space="0"/>
            </w:tcBorders>
            <w:noWrap/>
            <w:vAlign w:val="center"/>
          </w:tcPr>
          <w:p w14:paraId="6B71CE2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响应人</w:t>
            </w:r>
            <w:r>
              <w:rPr>
                <w:rFonts w:hint="eastAsia" w:ascii="宋体" w:hAnsi="宋体" w:eastAsia="宋体" w:cs="宋体"/>
                <w:color w:val="auto"/>
                <w:sz w:val="24"/>
                <w:szCs w:val="24"/>
                <w:lang w:val="en-US"/>
              </w:rPr>
              <w:t>综合得分﹦报价得分+技术标＋</w:t>
            </w:r>
            <w:r>
              <w:rPr>
                <w:rFonts w:hint="eastAsia" w:ascii="宋体" w:hAnsi="宋体" w:eastAsia="宋体" w:cs="宋体"/>
                <w:color w:val="auto"/>
                <w:sz w:val="24"/>
                <w:szCs w:val="24"/>
                <w:lang w:val="en-US" w:eastAsia="zh-CN"/>
              </w:rPr>
              <w:t>商务</w:t>
            </w:r>
            <w:r>
              <w:rPr>
                <w:rFonts w:hint="eastAsia" w:ascii="宋体" w:hAnsi="宋体" w:eastAsia="宋体" w:cs="宋体"/>
                <w:color w:val="auto"/>
                <w:sz w:val="24"/>
                <w:szCs w:val="24"/>
                <w:lang w:val="en-US"/>
              </w:rPr>
              <w:t>标</w:t>
            </w:r>
          </w:p>
          <w:p w14:paraId="304FE8E0">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1．</w:t>
            </w:r>
            <w:r>
              <w:rPr>
                <w:rFonts w:hint="eastAsia" w:ascii="宋体" w:hAnsi="宋体" w:eastAsia="宋体" w:cs="宋体"/>
                <w:color w:val="auto"/>
                <w:sz w:val="24"/>
                <w:szCs w:val="24"/>
                <w:lang w:val="en-US" w:eastAsia="zh-CN"/>
              </w:rPr>
              <w:t>磋商小组</w:t>
            </w:r>
            <w:r>
              <w:rPr>
                <w:rFonts w:hint="eastAsia" w:ascii="宋体" w:hAnsi="宋体" w:eastAsia="宋体" w:cs="宋体"/>
                <w:color w:val="auto"/>
                <w:sz w:val="24"/>
                <w:szCs w:val="24"/>
                <w:lang w:val="en-US"/>
              </w:rPr>
              <w:t>对所有评审项得分的算术平均值，作为该</w:t>
            </w:r>
            <w:r>
              <w:rPr>
                <w:rFonts w:hint="eastAsia" w:ascii="宋体" w:hAnsi="宋体" w:eastAsia="宋体" w:cs="宋体"/>
                <w:color w:val="auto"/>
                <w:sz w:val="24"/>
                <w:szCs w:val="24"/>
                <w:lang w:val="en-US" w:eastAsia="zh-CN"/>
              </w:rPr>
              <w:t>响应人</w:t>
            </w:r>
            <w:r>
              <w:rPr>
                <w:rFonts w:hint="eastAsia" w:ascii="宋体" w:hAnsi="宋体" w:eastAsia="宋体" w:cs="宋体"/>
                <w:color w:val="auto"/>
                <w:sz w:val="24"/>
                <w:szCs w:val="24"/>
                <w:lang w:val="en-US"/>
              </w:rPr>
              <w:t>的最终得分。</w:t>
            </w:r>
          </w:p>
          <w:p w14:paraId="0810D8A3">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2．计分过程中按四舍五入的法则，取至小数点后3位，最终结果取至小数点后2位，</w:t>
            </w:r>
            <w:r>
              <w:rPr>
                <w:rFonts w:hint="eastAsia" w:ascii="宋体" w:hAnsi="宋体" w:eastAsia="宋体" w:cs="宋体"/>
                <w:color w:val="auto"/>
                <w:sz w:val="24"/>
                <w:szCs w:val="24"/>
                <w:lang w:val="en-US" w:eastAsia="zh-CN"/>
              </w:rPr>
              <w:t>磋商小组</w:t>
            </w:r>
            <w:r>
              <w:rPr>
                <w:rFonts w:hint="eastAsia" w:ascii="宋体" w:hAnsi="宋体" w:eastAsia="宋体" w:cs="宋体"/>
                <w:color w:val="auto"/>
                <w:sz w:val="24"/>
                <w:szCs w:val="24"/>
                <w:lang w:val="en-US"/>
              </w:rPr>
              <w:t>将按</w:t>
            </w:r>
            <w:r>
              <w:rPr>
                <w:rFonts w:hint="eastAsia" w:ascii="宋体" w:hAnsi="宋体" w:eastAsia="宋体" w:cs="宋体"/>
                <w:color w:val="auto"/>
                <w:sz w:val="24"/>
                <w:szCs w:val="24"/>
                <w:lang w:val="en-US" w:eastAsia="zh-CN"/>
              </w:rPr>
              <w:t>响应人</w:t>
            </w:r>
            <w:r>
              <w:rPr>
                <w:rFonts w:hint="eastAsia" w:ascii="宋体" w:hAnsi="宋体" w:eastAsia="宋体" w:cs="宋体"/>
                <w:color w:val="auto"/>
                <w:sz w:val="24"/>
                <w:szCs w:val="24"/>
                <w:lang w:val="en-US"/>
              </w:rPr>
              <w:t>得分高低排序向招标人推荐3名成交候选人。</w:t>
            </w:r>
          </w:p>
          <w:p w14:paraId="14156E48">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、以上评分项若缺项的，该项为 0 分。</w:t>
            </w:r>
          </w:p>
        </w:tc>
      </w:tr>
    </w:tbl>
    <w:p w14:paraId="76D62879">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270" w:name="_Toc5051"/>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评标原则</w:t>
      </w:r>
      <w:bookmarkEnd w:id="270"/>
    </w:p>
    <w:p w14:paraId="4FC0A6AB">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评标活动遵循公平、公正、科学和择优的原则。</w:t>
      </w:r>
    </w:p>
    <w:p w14:paraId="511FE71F">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271" w:name="_Toc32746"/>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评标</w:t>
      </w:r>
      <w:bookmarkEnd w:id="271"/>
    </w:p>
    <w:p w14:paraId="3B3D08A9">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1.评分方法</w:t>
      </w:r>
    </w:p>
    <w:p w14:paraId="2FB0B5AE">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本次采用</w:t>
      </w:r>
      <w:r>
        <w:rPr>
          <w:rFonts w:hint="eastAsia" w:ascii="宋体" w:hAnsi="宋体" w:eastAsia="宋体" w:cs="宋体"/>
          <w:sz w:val="24"/>
          <w:szCs w:val="24"/>
          <w:lang w:val="en-US" w:eastAsia="zh-CN"/>
        </w:rPr>
        <w:t>综合评标法，报价部分采用低价优先法计算</w:t>
      </w:r>
      <w:r>
        <w:rPr>
          <w:rFonts w:hint="eastAsia" w:ascii="宋体" w:hAnsi="宋体" w:eastAsia="宋体" w:cs="宋体"/>
          <w:sz w:val="24"/>
          <w:szCs w:val="24"/>
          <w:lang w:eastAsia="zh-CN"/>
        </w:rPr>
        <w:t>。磋商小组对满足磋商文件实质性要求的响应文件，按照本章规定的评分标准进行打分，按最终得分由高到低顺序推荐候选成交响应人。得分相同的，按照最后报价由低到高的顺序推荐。评审得分且最后报价相同的，按照技术指标优劣顺序推荐。</w:t>
      </w:r>
    </w:p>
    <w:p w14:paraId="6399845F">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评分分值计算保留小数点后两位，小数点后第三位“四舍五入”。</w:t>
      </w:r>
    </w:p>
    <w:p w14:paraId="061256A0">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 xml:space="preserve">在评标过程中，凡遇到磋商文件中无界定或界定不清、前后不一致使评委会成员意见有分歧且又难以协商一致的问题，均由评委会成员投票予以表决，少数服从多数原则确定。 </w:t>
      </w:r>
    </w:p>
    <w:p w14:paraId="5CA0C164">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磋商小组完成评审后，向采购人出具书面评审报告。</w:t>
      </w:r>
    </w:p>
    <w:p w14:paraId="65B5787B">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272" w:name="_Toc20584"/>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定标方式</w:t>
      </w:r>
      <w:bookmarkEnd w:id="272"/>
    </w:p>
    <w:p w14:paraId="3DD75C4E">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采购人</w:t>
      </w:r>
      <w:r>
        <w:rPr>
          <w:rFonts w:hint="eastAsia" w:ascii="宋体" w:hAnsi="宋体" w:eastAsia="宋体" w:cs="宋体"/>
          <w:sz w:val="24"/>
          <w:szCs w:val="24"/>
        </w:rPr>
        <w:t>应当确定排名第一的成交候选人为成交人。当排名第一的成交候选人放弃中标、因不可抗力提出不能履行合同或存在法律法规规定的中标无效情形的，</w:t>
      </w:r>
      <w:r>
        <w:rPr>
          <w:rFonts w:hint="eastAsia" w:ascii="宋体" w:hAnsi="宋体" w:eastAsia="宋体" w:cs="宋体"/>
          <w:sz w:val="24"/>
          <w:szCs w:val="24"/>
          <w:lang w:eastAsia="zh-CN"/>
        </w:rPr>
        <w:t>采购人</w:t>
      </w:r>
      <w:r>
        <w:rPr>
          <w:rFonts w:hint="eastAsia" w:ascii="宋体" w:hAnsi="宋体" w:eastAsia="宋体" w:cs="宋体"/>
          <w:sz w:val="24"/>
          <w:szCs w:val="24"/>
        </w:rPr>
        <w:t>可以重新招标也可以确定排名第二的成交候选人为成交人。当排名第二的成交候选人因上述同样原因不能签订合同的，</w:t>
      </w:r>
      <w:r>
        <w:rPr>
          <w:rFonts w:hint="eastAsia" w:ascii="宋体" w:hAnsi="宋体" w:eastAsia="宋体" w:cs="宋体"/>
          <w:sz w:val="24"/>
          <w:szCs w:val="24"/>
          <w:lang w:eastAsia="zh-CN"/>
        </w:rPr>
        <w:t>采购人</w:t>
      </w:r>
      <w:r>
        <w:rPr>
          <w:rFonts w:hint="eastAsia" w:ascii="宋体" w:hAnsi="宋体" w:eastAsia="宋体" w:cs="宋体"/>
          <w:sz w:val="24"/>
          <w:szCs w:val="24"/>
        </w:rPr>
        <w:t>可以重新招标也可以确定排名第三的成交候选人为成交人。当排名第三的成交候选人因上述同样原因不能签订合同的，</w:t>
      </w:r>
      <w:r>
        <w:rPr>
          <w:rFonts w:hint="eastAsia" w:ascii="宋体" w:hAnsi="宋体" w:eastAsia="宋体" w:cs="宋体"/>
          <w:sz w:val="24"/>
          <w:szCs w:val="24"/>
          <w:lang w:eastAsia="zh-CN"/>
        </w:rPr>
        <w:t>采购人</w:t>
      </w:r>
      <w:r>
        <w:rPr>
          <w:rFonts w:hint="eastAsia" w:ascii="宋体" w:hAnsi="宋体" w:eastAsia="宋体" w:cs="宋体"/>
          <w:sz w:val="24"/>
          <w:szCs w:val="24"/>
        </w:rPr>
        <w:t>应依法重新招标。</w:t>
      </w:r>
    </w:p>
    <w:p w14:paraId="60733AC7">
      <w:pPr>
        <w:rPr>
          <w:rFonts w:ascii="宋体" w:hAnsi="宋体" w:eastAsia="宋体" w:cs="宋体"/>
          <w:color w:val="auto"/>
        </w:rPr>
      </w:pPr>
    </w:p>
    <w:p w14:paraId="600E160F">
      <w:pPr>
        <w:jc w:val="center"/>
        <w:outlineLvl w:val="0"/>
        <w:rPr>
          <w:rFonts w:hint="eastAsia" w:ascii="Calibri" w:hAnsi="Calibri" w:eastAsia="宋体" w:cs="Times New Roman"/>
          <w:b/>
          <w:bCs/>
          <w:kern w:val="44"/>
          <w:sz w:val="36"/>
          <w:szCs w:val="36"/>
          <w:lang w:val="en-US" w:eastAsia="zh-CN" w:bidi="ar-SA"/>
        </w:rPr>
      </w:pPr>
      <w:r>
        <w:rPr>
          <w:rStyle w:val="23"/>
          <w:rFonts w:hint="eastAsia"/>
          <w:lang w:val="en-US" w:eastAsia="zh-CN"/>
        </w:rPr>
        <w:br w:type="page"/>
      </w:r>
      <w:bookmarkStart w:id="273" w:name="_Toc23612"/>
      <w:bookmarkStart w:id="274" w:name="_Toc22660"/>
      <w:bookmarkStart w:id="275" w:name="_Toc16438"/>
      <w:r>
        <w:rPr>
          <w:rStyle w:val="23"/>
          <w:rFonts w:hint="eastAsia"/>
          <w:lang w:val="en-US" w:eastAsia="zh-CN"/>
        </w:rPr>
        <w:t>第四章 合同条款及格式</w:t>
      </w:r>
      <w:bookmarkEnd w:id="59"/>
      <w:bookmarkEnd w:id="60"/>
      <w:bookmarkEnd w:id="61"/>
      <w:bookmarkEnd w:id="62"/>
      <w:bookmarkEnd w:id="63"/>
      <w:bookmarkEnd w:id="64"/>
      <w:bookmarkEnd w:id="65"/>
      <w:bookmarkEnd w:id="66"/>
      <w:bookmarkEnd w:id="67"/>
      <w:bookmarkEnd w:id="273"/>
      <w:bookmarkEnd w:id="274"/>
      <w:bookmarkEnd w:id="275"/>
    </w:p>
    <w:p w14:paraId="67C9160B">
      <w:pPr>
        <w:snapToGrid w:val="0"/>
        <w:spacing w:line="500" w:lineRule="exact"/>
        <w:ind w:right="-1" w:firstLine="241" w:firstLineChars="100"/>
        <w:jc w:val="center"/>
        <w:rPr>
          <w:rFonts w:hint="eastAsia" w:ascii="宋体" w:hAnsi="宋体" w:eastAsia="宋体" w:cs="Times New Roman"/>
          <w:b/>
          <w:sz w:val="24"/>
          <w:szCs w:val="24"/>
        </w:rPr>
      </w:pPr>
      <w:bookmarkStart w:id="276" w:name="_Toc152045772"/>
      <w:bookmarkStart w:id="277" w:name="_Toc22186"/>
      <w:bookmarkStart w:id="278" w:name="_Toc144974834"/>
      <w:bookmarkStart w:id="279" w:name="_Toc246997083"/>
      <w:bookmarkStart w:id="280" w:name="_Toc246996340"/>
      <w:bookmarkStart w:id="281" w:name="_Toc179632789"/>
      <w:bookmarkStart w:id="282" w:name="_Toc296602587"/>
      <w:bookmarkStart w:id="283" w:name="_Toc152042554"/>
      <w:bookmarkStart w:id="284" w:name="_Toc247085855"/>
      <w:r>
        <w:rPr>
          <w:rFonts w:hint="eastAsia" w:ascii="宋体" w:hAnsi="宋体" w:eastAsia="宋体" w:cs="Times New Roman"/>
          <w:b/>
          <w:sz w:val="24"/>
          <w:szCs w:val="24"/>
        </w:rPr>
        <w:t>（此格式仅供参考，以双方最终签订合同为准）</w:t>
      </w:r>
    </w:p>
    <w:p w14:paraId="6916926E">
      <w:pPr>
        <w:pStyle w:val="5"/>
      </w:pPr>
    </w:p>
    <w:bookmarkEnd w:id="276"/>
    <w:bookmarkEnd w:id="277"/>
    <w:bookmarkEnd w:id="278"/>
    <w:bookmarkEnd w:id="279"/>
    <w:bookmarkEnd w:id="280"/>
    <w:bookmarkEnd w:id="281"/>
    <w:bookmarkEnd w:id="282"/>
    <w:bookmarkEnd w:id="283"/>
    <w:bookmarkEnd w:id="284"/>
    <w:p w14:paraId="62BCC7EE">
      <w:pPr>
        <w:autoSpaceDE w:val="0"/>
        <w:autoSpaceDN w:val="0"/>
        <w:spacing w:line="603" w:lineRule="exact"/>
        <w:ind w:right="527"/>
        <w:jc w:val="both"/>
        <w:rPr>
          <w:rFonts w:hint="eastAsia" w:ascii="宋体" w:hAnsi="宋体"/>
          <w:sz w:val="30"/>
          <w:szCs w:val="30"/>
          <w:lang w:eastAsia="zh-CN"/>
        </w:rPr>
      </w:pPr>
    </w:p>
    <w:p w14:paraId="1D001828">
      <w:pPr>
        <w:autoSpaceDE w:val="0"/>
        <w:autoSpaceDN w:val="0"/>
        <w:spacing w:line="603" w:lineRule="exact"/>
        <w:ind w:left="526" w:right="527"/>
        <w:jc w:val="center"/>
        <w:rPr>
          <w:rFonts w:hint="eastAsia" w:ascii="宋体" w:hAnsi="宋体"/>
          <w:sz w:val="30"/>
          <w:szCs w:val="30"/>
          <w:lang w:eastAsia="zh-CN"/>
        </w:rPr>
      </w:pPr>
    </w:p>
    <w:p w14:paraId="0A13EF50">
      <w:pPr>
        <w:autoSpaceDE w:val="0"/>
        <w:autoSpaceDN w:val="0"/>
        <w:spacing w:line="603" w:lineRule="exact"/>
        <w:ind w:left="526" w:right="527"/>
        <w:jc w:val="center"/>
        <w:rPr>
          <w:rFonts w:hint="eastAsia" w:ascii="宋体" w:hAnsi="宋体"/>
          <w:sz w:val="30"/>
          <w:szCs w:val="30"/>
          <w:lang w:eastAsia="zh-CN"/>
        </w:rPr>
      </w:pPr>
    </w:p>
    <w:p w14:paraId="140581D1">
      <w:pPr>
        <w:autoSpaceDE w:val="0"/>
        <w:autoSpaceDN w:val="0"/>
        <w:spacing w:line="603" w:lineRule="exact"/>
        <w:ind w:left="526" w:right="527"/>
        <w:jc w:val="center"/>
        <w:rPr>
          <w:rFonts w:hint="eastAsia" w:ascii="宋体" w:hAnsi="宋体"/>
          <w:sz w:val="30"/>
          <w:szCs w:val="30"/>
          <w:lang w:eastAsia="zh-CN"/>
        </w:rPr>
      </w:pPr>
    </w:p>
    <w:p w14:paraId="5A697043">
      <w:pPr>
        <w:jc w:val="center"/>
        <w:rPr>
          <w:rFonts w:hint="eastAsia" w:ascii="宋体" w:hAnsi="宋体"/>
          <w:sz w:val="30"/>
          <w:szCs w:val="30"/>
          <w:lang w:eastAsia="zh-CN"/>
        </w:rPr>
      </w:pPr>
      <w:r>
        <w:rPr>
          <w:rFonts w:hint="eastAsia" w:ascii="宋体" w:hAnsi="宋体" w:eastAsia="宋体" w:cs="宋体"/>
          <w:color w:val="000000"/>
          <w:kern w:val="0"/>
          <w:sz w:val="32"/>
        </w:rPr>
        <w:t>（ＧＦ－2012－0202）</w:t>
      </w:r>
    </w:p>
    <w:p w14:paraId="38835CF5">
      <w:pPr>
        <w:autoSpaceDE w:val="0"/>
        <w:autoSpaceDN w:val="0"/>
        <w:spacing w:line="603" w:lineRule="exact"/>
        <w:ind w:left="526" w:right="527"/>
        <w:jc w:val="center"/>
        <w:rPr>
          <w:rFonts w:hint="eastAsia" w:ascii="宋体" w:hAnsi="宋体"/>
          <w:sz w:val="30"/>
          <w:szCs w:val="30"/>
          <w:lang w:eastAsia="zh-CN"/>
        </w:rPr>
      </w:pPr>
    </w:p>
    <w:p w14:paraId="0EAEA5F5">
      <w:pPr>
        <w:autoSpaceDE w:val="0"/>
        <w:autoSpaceDN w:val="0"/>
        <w:spacing w:line="603" w:lineRule="exact"/>
        <w:ind w:left="526" w:right="527"/>
        <w:jc w:val="center"/>
        <w:rPr>
          <w:rFonts w:ascii="宋体" w:hAnsi="宋体" w:eastAsia="宋体" w:cs="宋体"/>
          <w:b/>
          <w:color w:val="000000"/>
          <w:kern w:val="0"/>
          <w:sz w:val="52"/>
        </w:rPr>
      </w:pPr>
      <w:r>
        <w:rPr>
          <w:rFonts w:hint="eastAsia" w:ascii="宋体" w:hAnsi="宋体" w:eastAsia="宋体" w:cs="宋体"/>
          <w:b/>
          <w:color w:val="000000"/>
          <w:kern w:val="0"/>
          <w:sz w:val="52"/>
        </w:rPr>
        <w:t>建设工程监理合同</w:t>
      </w:r>
    </w:p>
    <w:p w14:paraId="7ED86B0E">
      <w:pPr>
        <w:autoSpaceDE w:val="0"/>
        <w:autoSpaceDN w:val="0"/>
        <w:spacing w:line="603" w:lineRule="exact"/>
        <w:ind w:left="526" w:right="527"/>
        <w:jc w:val="center"/>
        <w:rPr>
          <w:rFonts w:ascii="宋体" w:hAnsi="宋体" w:eastAsia="宋体" w:cs="宋体"/>
          <w:b/>
          <w:color w:val="000000"/>
          <w:kern w:val="0"/>
          <w:sz w:val="52"/>
        </w:rPr>
      </w:pPr>
      <w:r>
        <w:rPr>
          <w:rFonts w:hint="eastAsia" w:ascii="宋体" w:hAnsi="宋体" w:eastAsia="宋体" w:cs="宋体"/>
          <w:b/>
          <w:color w:val="000000"/>
          <w:kern w:val="0"/>
          <w:sz w:val="52"/>
        </w:rPr>
        <w:t>（示范文本）</w:t>
      </w:r>
    </w:p>
    <w:p w14:paraId="0D33FFCE">
      <w:pPr>
        <w:autoSpaceDE w:val="0"/>
        <w:autoSpaceDN w:val="0"/>
        <w:jc w:val="left"/>
        <w:rPr>
          <w:rFonts w:ascii="宋体" w:hAnsi="宋体" w:eastAsia="宋体" w:cs="宋体"/>
          <w:b/>
          <w:color w:val="000000"/>
          <w:kern w:val="0"/>
          <w:sz w:val="20"/>
          <w:szCs w:val="21"/>
        </w:rPr>
      </w:pPr>
    </w:p>
    <w:p w14:paraId="27D11173">
      <w:pPr>
        <w:autoSpaceDE w:val="0"/>
        <w:autoSpaceDN w:val="0"/>
        <w:jc w:val="left"/>
        <w:rPr>
          <w:rFonts w:ascii="宋体" w:hAnsi="宋体" w:eastAsia="宋体" w:cs="宋体"/>
          <w:b/>
          <w:color w:val="000000"/>
          <w:kern w:val="0"/>
          <w:sz w:val="20"/>
          <w:szCs w:val="21"/>
        </w:rPr>
      </w:pPr>
    </w:p>
    <w:p w14:paraId="362F9B0A">
      <w:pPr>
        <w:autoSpaceDE w:val="0"/>
        <w:autoSpaceDN w:val="0"/>
        <w:jc w:val="left"/>
        <w:rPr>
          <w:rFonts w:ascii="宋体" w:hAnsi="宋体" w:eastAsia="宋体" w:cs="宋体"/>
          <w:b/>
          <w:color w:val="000000"/>
          <w:kern w:val="0"/>
          <w:sz w:val="20"/>
          <w:szCs w:val="21"/>
        </w:rPr>
      </w:pPr>
    </w:p>
    <w:p w14:paraId="40C7C41C">
      <w:pPr>
        <w:autoSpaceDE w:val="0"/>
        <w:autoSpaceDN w:val="0"/>
        <w:jc w:val="left"/>
        <w:rPr>
          <w:rFonts w:ascii="宋体" w:hAnsi="宋体" w:eastAsia="宋体" w:cs="宋体"/>
          <w:b/>
          <w:color w:val="000000"/>
          <w:kern w:val="0"/>
          <w:sz w:val="20"/>
          <w:szCs w:val="21"/>
        </w:rPr>
      </w:pPr>
    </w:p>
    <w:p w14:paraId="27F222C7">
      <w:pPr>
        <w:autoSpaceDE w:val="0"/>
        <w:autoSpaceDN w:val="0"/>
        <w:jc w:val="left"/>
        <w:rPr>
          <w:rFonts w:ascii="宋体" w:hAnsi="宋体" w:eastAsia="宋体" w:cs="宋体"/>
          <w:b/>
          <w:color w:val="000000"/>
          <w:kern w:val="0"/>
          <w:sz w:val="20"/>
          <w:szCs w:val="21"/>
        </w:rPr>
      </w:pPr>
    </w:p>
    <w:p w14:paraId="746F131C">
      <w:pPr>
        <w:autoSpaceDE w:val="0"/>
        <w:autoSpaceDN w:val="0"/>
        <w:jc w:val="left"/>
        <w:rPr>
          <w:rFonts w:ascii="宋体" w:hAnsi="宋体" w:eastAsia="宋体" w:cs="宋体"/>
          <w:b/>
          <w:color w:val="000000"/>
          <w:kern w:val="0"/>
          <w:sz w:val="20"/>
          <w:szCs w:val="21"/>
        </w:rPr>
      </w:pPr>
    </w:p>
    <w:p w14:paraId="73D07371">
      <w:pPr>
        <w:autoSpaceDE w:val="0"/>
        <w:autoSpaceDN w:val="0"/>
        <w:jc w:val="left"/>
        <w:rPr>
          <w:rFonts w:ascii="宋体" w:hAnsi="宋体" w:eastAsia="宋体" w:cs="宋体"/>
          <w:b/>
          <w:color w:val="000000"/>
          <w:kern w:val="0"/>
          <w:sz w:val="20"/>
          <w:szCs w:val="21"/>
        </w:rPr>
      </w:pPr>
    </w:p>
    <w:p w14:paraId="10C07ECC">
      <w:pPr>
        <w:autoSpaceDE w:val="0"/>
        <w:autoSpaceDN w:val="0"/>
        <w:ind w:left="0" w:leftChars="0" w:firstLine="0" w:firstLineChars="0"/>
        <w:jc w:val="left"/>
        <w:rPr>
          <w:rFonts w:ascii="宋体" w:hAnsi="宋体" w:eastAsia="宋体" w:cs="宋体"/>
          <w:b/>
          <w:color w:val="000000"/>
          <w:kern w:val="0"/>
          <w:sz w:val="20"/>
          <w:szCs w:val="21"/>
        </w:rPr>
      </w:pPr>
    </w:p>
    <w:p w14:paraId="06823058">
      <w:pPr>
        <w:autoSpaceDE w:val="0"/>
        <w:autoSpaceDN w:val="0"/>
        <w:ind w:left="0" w:leftChars="0" w:firstLine="0" w:firstLineChars="0"/>
        <w:jc w:val="left"/>
        <w:rPr>
          <w:rFonts w:ascii="宋体" w:hAnsi="宋体" w:eastAsia="宋体" w:cs="宋体"/>
          <w:b/>
          <w:color w:val="000000"/>
          <w:kern w:val="0"/>
          <w:sz w:val="20"/>
          <w:szCs w:val="21"/>
        </w:rPr>
      </w:pPr>
    </w:p>
    <w:p w14:paraId="1B9B41FE">
      <w:pPr>
        <w:autoSpaceDE w:val="0"/>
        <w:autoSpaceDN w:val="0"/>
        <w:jc w:val="left"/>
        <w:rPr>
          <w:rFonts w:ascii="宋体" w:hAnsi="宋体" w:eastAsia="宋体" w:cs="宋体"/>
          <w:b/>
          <w:color w:val="000000"/>
          <w:kern w:val="0"/>
          <w:sz w:val="20"/>
          <w:szCs w:val="21"/>
        </w:rPr>
      </w:pPr>
    </w:p>
    <w:p w14:paraId="3DCA52AC">
      <w:pPr>
        <w:autoSpaceDE w:val="0"/>
        <w:autoSpaceDN w:val="0"/>
        <w:spacing w:before="2"/>
        <w:jc w:val="left"/>
        <w:rPr>
          <w:rFonts w:ascii="宋体" w:hAnsi="宋体" w:eastAsia="宋体" w:cs="宋体"/>
          <w:b/>
          <w:color w:val="000000"/>
          <w:kern w:val="0"/>
          <w:sz w:val="25"/>
          <w:szCs w:val="21"/>
        </w:rPr>
      </w:pPr>
    </w:p>
    <w:p w14:paraId="54698C7B">
      <w:pPr>
        <w:autoSpaceDE w:val="0"/>
        <w:autoSpaceDN w:val="0"/>
        <w:spacing w:before="54"/>
        <w:ind w:right="209" w:firstLine="3213" w:firstLineChars="1000"/>
        <w:jc w:val="both"/>
        <w:rPr>
          <w:rFonts w:ascii="宋体" w:hAnsi="宋体" w:eastAsia="宋体" w:cs="宋体"/>
          <w:b/>
          <w:color w:val="000000"/>
          <w:kern w:val="0"/>
          <w:sz w:val="32"/>
        </w:rPr>
      </w:pPr>
      <w:r>
        <w:rPr>
          <w:rFonts w:hint="eastAsia" w:ascii="宋体" w:hAnsi="宋体" w:eastAsia="宋体" w:cs="宋体"/>
          <w:b/>
          <w:color w:val="000000"/>
          <w:kern w:val="0"/>
          <w:sz w:val="32"/>
        </w:rPr>
        <w:t>住房和城乡建设部</w:t>
      </w:r>
    </w:p>
    <w:p w14:paraId="4A2E6527">
      <w:pPr>
        <w:autoSpaceDE w:val="0"/>
        <w:autoSpaceDN w:val="0"/>
        <w:spacing w:before="130"/>
        <w:ind w:left="6829" w:right="697"/>
        <w:jc w:val="both"/>
        <w:rPr>
          <w:rFonts w:ascii="宋体" w:hAnsi="宋体" w:eastAsia="宋体" w:cs="宋体"/>
          <w:b/>
          <w:color w:val="000000"/>
          <w:kern w:val="0"/>
          <w:sz w:val="32"/>
        </w:rPr>
      </w:pPr>
      <w:r>
        <w:rPr>
          <w:rFonts w:hint="eastAsia" w:ascii="宋体" w:hAnsi="宋体" w:eastAsia="宋体" w:cs="宋体"/>
          <w:b/>
          <w:color w:val="000000"/>
          <w:kern w:val="0"/>
          <w:sz w:val="32"/>
        </w:rPr>
        <w:t>制定</w:t>
      </w:r>
    </w:p>
    <w:p w14:paraId="71C82831">
      <w:pPr>
        <w:autoSpaceDE w:val="0"/>
        <w:autoSpaceDN w:val="0"/>
        <w:spacing w:before="130"/>
        <w:ind w:right="46" w:firstLine="3213" w:firstLineChars="1000"/>
        <w:jc w:val="both"/>
        <w:rPr>
          <w:rFonts w:ascii="宋体" w:hAnsi="宋体" w:eastAsia="宋体" w:cs="宋体"/>
          <w:b/>
          <w:color w:val="000000"/>
          <w:kern w:val="0"/>
          <w:sz w:val="32"/>
        </w:rPr>
      </w:pPr>
      <w:r>
        <w:rPr>
          <w:rFonts w:hint="eastAsia" w:ascii="宋体" w:hAnsi="宋体" w:eastAsia="宋体" w:cs="宋体"/>
          <w:b/>
          <w:color w:val="000000"/>
          <w:kern w:val="0"/>
          <w:sz w:val="32"/>
        </w:rPr>
        <w:t>国家工商行政管理总局</w:t>
      </w:r>
    </w:p>
    <w:p w14:paraId="672EAACC">
      <w:pPr>
        <w:autoSpaceDE w:val="0"/>
        <w:autoSpaceDN w:val="0"/>
        <w:jc w:val="center"/>
        <w:rPr>
          <w:rFonts w:ascii="宋体" w:hAnsi="宋体" w:eastAsia="宋体" w:cs="宋体"/>
          <w:color w:val="000000"/>
          <w:kern w:val="0"/>
          <w:sz w:val="32"/>
        </w:rPr>
        <w:sectPr>
          <w:footerReference r:id="rId9" w:type="default"/>
          <w:pgSz w:w="11910" w:h="16840"/>
          <w:pgMar w:top="964" w:right="1247" w:bottom="964" w:left="1247" w:header="0" w:footer="769" w:gutter="0"/>
          <w:pgNumType w:fmt="decimal" w:start="1"/>
          <w:cols w:space="720" w:num="1"/>
        </w:sectPr>
      </w:pPr>
    </w:p>
    <w:p w14:paraId="7A436657">
      <w:pPr>
        <w:tabs>
          <w:tab w:val="left" w:pos="1605"/>
        </w:tabs>
        <w:autoSpaceDE w:val="0"/>
        <w:autoSpaceDN w:val="0"/>
        <w:spacing w:before="101"/>
        <w:ind w:right="1" w:rightChars="0"/>
        <w:jc w:val="center"/>
        <w:outlineLvl w:val="0"/>
        <w:rPr>
          <w:rFonts w:ascii="宋体" w:hAnsi="宋体" w:eastAsia="宋体" w:cs="宋体"/>
          <w:b/>
          <w:color w:val="000000"/>
          <w:kern w:val="0"/>
          <w:sz w:val="32"/>
        </w:rPr>
      </w:pPr>
      <w:bookmarkStart w:id="285" w:name="_Toc11173"/>
      <w:r>
        <w:rPr>
          <w:rFonts w:hint="eastAsia" w:ascii="宋体" w:hAnsi="宋体" w:eastAsia="宋体" w:cs="宋体"/>
          <w:b/>
          <w:color w:val="000000"/>
          <w:kern w:val="0"/>
          <w:sz w:val="32"/>
        </w:rPr>
        <w:t>第一部分</w:t>
      </w:r>
      <w:r>
        <w:rPr>
          <w:rFonts w:hint="eastAsia" w:ascii="宋体" w:hAnsi="宋体" w:eastAsia="宋体" w:cs="宋体"/>
          <w:b/>
          <w:color w:val="000000"/>
          <w:kern w:val="0"/>
          <w:sz w:val="32"/>
        </w:rPr>
        <w:tab/>
      </w:r>
      <w:r>
        <w:rPr>
          <w:rFonts w:hint="eastAsia" w:ascii="宋体" w:hAnsi="宋体" w:eastAsia="宋体" w:cs="宋体"/>
          <w:b/>
          <w:color w:val="000000"/>
          <w:w w:val="95"/>
          <w:kern w:val="0"/>
          <w:sz w:val="32"/>
        </w:rPr>
        <w:t>协议书</w:t>
      </w:r>
      <w:bookmarkEnd w:id="285"/>
    </w:p>
    <w:p w14:paraId="79EA1933">
      <w:pPr>
        <w:autoSpaceDE w:val="0"/>
        <w:autoSpaceDN w:val="0"/>
        <w:jc w:val="left"/>
        <w:rPr>
          <w:rFonts w:ascii="宋体" w:hAnsi="宋体" w:eastAsia="宋体" w:cs="宋体"/>
          <w:b/>
          <w:color w:val="000000"/>
          <w:kern w:val="0"/>
          <w:sz w:val="32"/>
          <w:szCs w:val="21"/>
        </w:rPr>
      </w:pPr>
    </w:p>
    <w:p w14:paraId="6D208BBD">
      <w:pPr>
        <w:autoSpaceDE w:val="0"/>
        <w:autoSpaceDN w:val="0"/>
        <w:spacing w:before="11"/>
        <w:jc w:val="left"/>
        <w:rPr>
          <w:rFonts w:ascii="宋体" w:hAnsi="宋体" w:eastAsia="宋体" w:cs="宋体"/>
          <w:b/>
          <w:color w:val="000000"/>
          <w:kern w:val="0"/>
          <w:sz w:val="28"/>
          <w:szCs w:val="21"/>
        </w:rPr>
      </w:pPr>
    </w:p>
    <w:p w14:paraId="6CD7181D">
      <w:pPr>
        <w:pStyle w:val="5"/>
        <w:keepNext w:val="0"/>
        <w:keepLines w:val="0"/>
        <w:pageBreakBefore w:val="0"/>
        <w:kinsoku/>
        <w:wordWrap/>
        <w:overflowPunct/>
        <w:topLinePunct w:val="0"/>
        <w:bidi w:val="0"/>
        <w:adjustRightInd/>
        <w:snapToGrid/>
        <w:spacing w:before="107" w:line="360" w:lineRule="auto"/>
        <w:ind w:left="0" w:leftChars="0" w:right="211" w:firstLine="458" w:firstLineChars="200"/>
        <w:jc w:val="both"/>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w w:val="95"/>
          <w:kern w:val="0"/>
          <w:sz w:val="24"/>
          <w:szCs w:val="24"/>
        </w:rPr>
        <w:t>委托人（全称）：</w:t>
      </w:r>
      <w:r>
        <w:rPr>
          <w:rFonts w:hint="eastAsia" w:ascii="宋体" w:hAnsi="宋体" w:eastAsia="宋体" w:cs="宋体"/>
          <w:b/>
          <w:bCs/>
          <w:color w:val="000000"/>
          <w:w w:val="95"/>
          <w:kern w:val="0"/>
          <w:sz w:val="24"/>
          <w:szCs w:val="24"/>
          <w:u w:val="single"/>
          <w:lang w:val="en-US" w:eastAsia="zh-CN"/>
        </w:rPr>
        <w:t xml:space="preserve">           </w:t>
      </w:r>
      <w:r>
        <w:rPr>
          <w:rFonts w:hint="eastAsia" w:ascii="宋体" w:hAnsi="宋体" w:eastAsia="宋体" w:cs="宋体"/>
          <w:b/>
          <w:bCs/>
          <w:color w:val="000000"/>
          <w:kern w:val="0"/>
          <w:sz w:val="24"/>
          <w:szCs w:val="24"/>
          <w:u w:val="single"/>
        </w:rPr>
        <w:tab/>
      </w:r>
    </w:p>
    <w:p w14:paraId="3B22A074">
      <w:pPr>
        <w:keepNext w:val="0"/>
        <w:keepLines w:val="0"/>
        <w:pageBreakBefore w:val="0"/>
        <w:tabs>
          <w:tab w:val="left" w:pos="6491"/>
        </w:tabs>
        <w:kinsoku/>
        <w:wordWrap/>
        <w:overflowPunct/>
        <w:topLinePunct w:val="0"/>
        <w:autoSpaceDE w:val="0"/>
        <w:autoSpaceDN w:val="0"/>
        <w:bidi w:val="0"/>
        <w:adjustRightInd/>
        <w:snapToGrid/>
        <w:spacing w:before="76" w:line="360" w:lineRule="auto"/>
        <w:ind w:left="0" w:leftChars="0" w:firstLine="458" w:firstLineChars="200"/>
        <w:jc w:val="left"/>
        <w:textAlignment w:val="auto"/>
        <w:outlineLvl w:val="9"/>
        <w:rPr>
          <w:rFonts w:hint="default" w:ascii="宋体" w:hAnsi="宋体" w:eastAsia="宋体" w:cs="宋体"/>
          <w:b/>
          <w:bCs/>
          <w:color w:val="000000"/>
          <w:kern w:val="0"/>
          <w:sz w:val="24"/>
          <w:szCs w:val="24"/>
          <w:u w:val="single"/>
          <w:lang w:val="en-US" w:eastAsia="zh-CN"/>
        </w:rPr>
      </w:pPr>
      <w:r>
        <w:rPr>
          <w:rFonts w:hint="eastAsia" w:ascii="宋体" w:hAnsi="宋体" w:eastAsia="宋体" w:cs="宋体"/>
          <w:b/>
          <w:bCs/>
          <w:color w:val="000000"/>
          <w:w w:val="95"/>
          <w:kern w:val="0"/>
          <w:sz w:val="24"/>
          <w:szCs w:val="24"/>
        </w:rPr>
        <w:t>监理人（全称）：</w:t>
      </w:r>
      <w:r>
        <w:rPr>
          <w:rFonts w:hint="eastAsia" w:ascii="宋体" w:hAnsi="宋体" w:eastAsia="宋体" w:cs="宋体"/>
          <w:b/>
          <w:bCs/>
          <w:color w:val="000000"/>
          <w:w w:val="95"/>
          <w:kern w:val="0"/>
          <w:sz w:val="24"/>
          <w:szCs w:val="24"/>
          <w:u w:val="single"/>
          <w:lang w:val="en-US" w:eastAsia="zh-CN"/>
        </w:rPr>
        <w:t xml:space="preserve">             </w:t>
      </w:r>
    </w:p>
    <w:p w14:paraId="340AF259">
      <w:pPr>
        <w:keepNext w:val="0"/>
        <w:keepLines w:val="0"/>
        <w:pageBreakBefore w:val="0"/>
        <w:kinsoku/>
        <w:wordWrap/>
        <w:overflowPunct/>
        <w:topLinePunct w:val="0"/>
        <w:autoSpaceDE w:val="0"/>
        <w:autoSpaceDN w:val="0"/>
        <w:bidi w:val="0"/>
        <w:adjustRightInd/>
        <w:snapToGrid/>
        <w:spacing w:before="6" w:line="360" w:lineRule="auto"/>
        <w:jc w:val="left"/>
        <w:textAlignment w:val="auto"/>
        <w:rPr>
          <w:rFonts w:hint="eastAsia" w:ascii="宋体" w:hAnsi="宋体" w:eastAsia="宋体" w:cs="宋体"/>
          <w:b/>
          <w:color w:val="000000"/>
          <w:kern w:val="0"/>
          <w:sz w:val="24"/>
          <w:szCs w:val="24"/>
        </w:rPr>
      </w:pPr>
    </w:p>
    <w:p w14:paraId="7C5BF11B">
      <w:pPr>
        <w:keepNext w:val="0"/>
        <w:keepLines w:val="0"/>
        <w:pageBreakBefore w:val="0"/>
        <w:kinsoku/>
        <w:wordWrap/>
        <w:overflowPunct/>
        <w:topLinePunct w:val="0"/>
        <w:autoSpaceDE w:val="0"/>
        <w:autoSpaceDN w:val="0"/>
        <w:bidi w:val="0"/>
        <w:adjustRightInd/>
        <w:snapToGrid/>
        <w:spacing w:before="70" w:line="360" w:lineRule="auto"/>
        <w:ind w:left="438" w:right="437" w:firstLine="312"/>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9"/>
          <w:kern w:val="0"/>
          <w:sz w:val="24"/>
          <w:szCs w:val="24"/>
        </w:rPr>
        <w:t>根据《中华人民共和国民法典》、《中华人民共和国建筑法》及其他有关法律、法规，遵循平等、自愿、公平和诚信的原则，双方就下述工程委托监理与相关服务事项协商一致，订立本合同。</w:t>
      </w:r>
    </w:p>
    <w:p w14:paraId="6EE988BA">
      <w:pPr>
        <w:keepNext w:val="0"/>
        <w:keepLines w:val="0"/>
        <w:pageBreakBefore w:val="0"/>
        <w:kinsoku/>
        <w:wordWrap/>
        <w:overflowPunct/>
        <w:topLinePunct w:val="0"/>
        <w:autoSpaceDE w:val="0"/>
        <w:autoSpaceDN w:val="0"/>
        <w:bidi w:val="0"/>
        <w:adjustRightInd/>
        <w:snapToGrid/>
        <w:spacing w:line="360" w:lineRule="auto"/>
        <w:jc w:val="left"/>
        <w:textAlignment w:val="auto"/>
        <w:outlineLvl w:val="0"/>
        <w:rPr>
          <w:rFonts w:hint="eastAsia" w:ascii="宋体" w:hAnsi="宋体" w:eastAsia="宋体" w:cs="宋体"/>
          <w:b/>
          <w:color w:val="000000"/>
          <w:kern w:val="0"/>
          <w:sz w:val="24"/>
          <w:szCs w:val="24"/>
          <w:lang w:eastAsia="en-US"/>
        </w:rPr>
      </w:pPr>
      <w:bookmarkStart w:id="286" w:name="_Toc23745"/>
      <w:r>
        <w:rPr>
          <w:rFonts w:hint="eastAsia" w:ascii="宋体" w:hAnsi="宋体" w:eastAsia="宋体" w:cs="宋体"/>
          <w:b/>
          <w:bCs/>
          <w:color w:val="000000"/>
          <w:kern w:val="0"/>
          <w:sz w:val="24"/>
          <w:szCs w:val="24"/>
          <w:lang w:eastAsia="en-US"/>
        </w:rPr>
        <w:t>一、工程概况</w:t>
      </w:r>
      <w:bookmarkEnd w:id="286"/>
    </w:p>
    <w:p w14:paraId="4F7D4B2E">
      <w:pPr>
        <w:pStyle w:val="5"/>
        <w:keepNext w:val="0"/>
        <w:keepLines w:val="0"/>
        <w:pageBreakBefore w:val="0"/>
        <w:kinsoku/>
        <w:wordWrap/>
        <w:overflowPunct/>
        <w:topLinePunct w:val="0"/>
        <w:bidi w:val="0"/>
        <w:adjustRightInd/>
        <w:snapToGrid/>
        <w:spacing w:before="107" w:line="360" w:lineRule="auto"/>
        <w:ind w:left="0" w:leftChars="0" w:right="211" w:firstLine="480" w:firstLineChars="200"/>
        <w:jc w:val="both"/>
        <w:textAlignment w:val="auto"/>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en-US"/>
        </w:rPr>
        <w:t>工程名称：</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en-US"/>
        </w:rPr>
        <w:tab/>
      </w:r>
      <w:r>
        <w:rPr>
          <w:rFonts w:hint="eastAsia" w:ascii="宋体" w:hAnsi="宋体" w:eastAsia="宋体" w:cs="宋体"/>
          <w:sz w:val="24"/>
          <w:szCs w:val="24"/>
          <w:highlight w:val="none"/>
          <w:lang w:eastAsia="zh-CN"/>
        </w:rPr>
        <w:t>。</w:t>
      </w:r>
    </w:p>
    <w:p w14:paraId="61827B59">
      <w:pPr>
        <w:pStyle w:val="5"/>
        <w:keepNext w:val="0"/>
        <w:keepLines w:val="0"/>
        <w:pageBreakBefore w:val="0"/>
        <w:kinsoku/>
        <w:wordWrap/>
        <w:overflowPunct/>
        <w:topLinePunct w:val="0"/>
        <w:bidi w:val="0"/>
        <w:adjustRightInd/>
        <w:snapToGrid/>
        <w:spacing w:before="107" w:line="360" w:lineRule="auto"/>
        <w:ind w:left="0" w:leftChars="0" w:right="211" w:firstLine="480" w:firstLineChars="200"/>
        <w:jc w:val="both"/>
        <w:textAlignment w:val="auto"/>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en-US"/>
        </w:rPr>
        <w:t>工程地点：</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en-US"/>
        </w:rPr>
        <w:tab/>
      </w:r>
      <w:r>
        <w:rPr>
          <w:rFonts w:hint="eastAsia" w:ascii="宋体" w:hAnsi="宋体" w:eastAsia="宋体" w:cs="宋体"/>
          <w:sz w:val="24"/>
          <w:szCs w:val="24"/>
          <w:highlight w:val="none"/>
          <w:lang w:eastAsia="zh-CN"/>
        </w:rPr>
        <w:t>。</w:t>
      </w:r>
    </w:p>
    <w:p w14:paraId="481FA0B9">
      <w:pPr>
        <w:pStyle w:val="5"/>
        <w:keepNext w:val="0"/>
        <w:keepLines w:val="0"/>
        <w:pageBreakBefore w:val="0"/>
        <w:kinsoku/>
        <w:wordWrap/>
        <w:overflowPunct/>
        <w:topLinePunct w:val="0"/>
        <w:bidi w:val="0"/>
        <w:adjustRightInd/>
        <w:snapToGrid/>
        <w:spacing w:before="107" w:line="360" w:lineRule="auto"/>
        <w:ind w:left="0" w:leftChars="0" w:right="211" w:firstLine="480" w:firstLineChars="200"/>
        <w:jc w:val="both"/>
        <w:textAlignment w:val="auto"/>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en-US"/>
        </w:rPr>
        <w:t>工程规模：</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en-US"/>
        </w:rPr>
        <w:tab/>
      </w:r>
      <w:r>
        <w:rPr>
          <w:rFonts w:hint="eastAsia" w:ascii="宋体" w:hAnsi="宋体" w:eastAsia="宋体" w:cs="宋体"/>
          <w:sz w:val="24"/>
          <w:szCs w:val="24"/>
          <w:highlight w:val="none"/>
          <w:lang w:eastAsia="zh-CN"/>
        </w:rPr>
        <w:t>。</w:t>
      </w:r>
    </w:p>
    <w:p w14:paraId="7A1F158D">
      <w:pPr>
        <w:pStyle w:val="5"/>
        <w:keepNext w:val="0"/>
        <w:keepLines w:val="0"/>
        <w:pageBreakBefore w:val="0"/>
        <w:kinsoku/>
        <w:wordWrap/>
        <w:overflowPunct/>
        <w:topLinePunct w:val="0"/>
        <w:bidi w:val="0"/>
        <w:adjustRightInd/>
        <w:snapToGrid/>
        <w:spacing w:before="107" w:line="360" w:lineRule="auto"/>
        <w:ind w:left="0" w:leftChars="0" w:right="211"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工程概算投资额或建筑安装工程费：</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w:t>
      </w:r>
    </w:p>
    <w:p w14:paraId="574EA1FC">
      <w:pPr>
        <w:pStyle w:val="5"/>
        <w:keepNext w:val="0"/>
        <w:keepLines w:val="0"/>
        <w:pageBreakBefore w:val="0"/>
        <w:kinsoku/>
        <w:wordWrap/>
        <w:overflowPunct/>
        <w:topLinePunct w:val="0"/>
        <w:bidi w:val="0"/>
        <w:adjustRightInd/>
        <w:snapToGrid/>
        <w:spacing w:before="107" w:line="360" w:lineRule="auto"/>
        <w:ind w:left="63" w:leftChars="30" w:right="63" w:rightChars="30"/>
        <w:jc w:val="both"/>
        <w:textAlignment w:val="auto"/>
        <w:outlineLvl w:val="0"/>
        <w:rPr>
          <w:rFonts w:hint="eastAsia" w:ascii="宋体" w:hAnsi="宋体" w:eastAsia="宋体" w:cs="宋体"/>
          <w:b/>
          <w:color w:val="000000"/>
          <w:kern w:val="0"/>
          <w:sz w:val="24"/>
          <w:szCs w:val="24"/>
          <w:lang w:eastAsia="en-US"/>
        </w:rPr>
      </w:pPr>
      <w:bookmarkStart w:id="287" w:name="_Toc17254"/>
      <w:r>
        <w:rPr>
          <w:rFonts w:hint="eastAsia" w:ascii="宋体" w:hAnsi="宋体" w:eastAsia="宋体" w:cs="宋体"/>
          <w:b/>
          <w:color w:val="000000"/>
          <w:kern w:val="0"/>
          <w:sz w:val="24"/>
          <w:szCs w:val="24"/>
          <w:lang w:eastAsia="en-US"/>
        </w:rPr>
        <w:t>二、词语限定</w:t>
      </w:r>
      <w:bookmarkEnd w:id="287"/>
    </w:p>
    <w:p w14:paraId="59EB04AC">
      <w:pPr>
        <w:keepNext w:val="0"/>
        <w:keepLines w:val="0"/>
        <w:pageBreakBefore w:val="0"/>
        <w:kinsoku/>
        <w:wordWrap/>
        <w:overflowPunct/>
        <w:topLinePunct w:val="0"/>
        <w:autoSpaceDE w:val="0"/>
        <w:autoSpaceDN w:val="0"/>
        <w:bidi w:val="0"/>
        <w:adjustRightInd/>
        <w:snapToGrid/>
        <w:spacing w:before="70" w:line="360" w:lineRule="auto"/>
        <w:ind w:left="438" w:right="437" w:firstLine="312"/>
        <w:jc w:val="left"/>
        <w:textAlignment w:val="auto"/>
        <w:rPr>
          <w:rFonts w:hint="eastAsia" w:ascii="宋体" w:hAnsi="宋体" w:eastAsia="宋体" w:cs="宋体"/>
          <w:color w:val="000000"/>
          <w:spacing w:val="-9"/>
          <w:kern w:val="0"/>
          <w:sz w:val="24"/>
          <w:szCs w:val="24"/>
        </w:rPr>
      </w:pPr>
      <w:r>
        <w:rPr>
          <w:rFonts w:hint="eastAsia" w:ascii="宋体" w:hAnsi="宋体" w:eastAsia="宋体" w:cs="宋体"/>
          <w:color w:val="000000"/>
          <w:spacing w:val="-9"/>
          <w:kern w:val="0"/>
          <w:sz w:val="24"/>
          <w:szCs w:val="24"/>
        </w:rPr>
        <w:t>协议书中相关词语的含义与通用条件中的定义与解释相同。</w:t>
      </w:r>
    </w:p>
    <w:p w14:paraId="51FE26B9">
      <w:pPr>
        <w:keepNext w:val="0"/>
        <w:keepLines w:val="0"/>
        <w:pageBreakBefore w:val="0"/>
        <w:kinsoku/>
        <w:wordWrap/>
        <w:overflowPunct/>
        <w:topLinePunct w:val="0"/>
        <w:autoSpaceDE w:val="0"/>
        <w:autoSpaceDN w:val="0"/>
        <w:bidi w:val="0"/>
        <w:adjustRightInd/>
        <w:snapToGrid/>
        <w:spacing w:line="360" w:lineRule="auto"/>
        <w:ind w:right="4135" w:rightChars="0"/>
        <w:jc w:val="left"/>
        <w:textAlignment w:val="auto"/>
        <w:outlineLvl w:val="0"/>
        <w:rPr>
          <w:rFonts w:hint="eastAsia" w:ascii="宋体" w:hAnsi="宋体" w:eastAsia="宋体" w:cs="宋体"/>
          <w:b/>
          <w:color w:val="000000"/>
          <w:kern w:val="0"/>
          <w:sz w:val="24"/>
          <w:szCs w:val="24"/>
          <w:lang w:eastAsia="en-US"/>
        </w:rPr>
      </w:pPr>
      <w:bookmarkStart w:id="288" w:name="_Toc25850"/>
      <w:r>
        <w:rPr>
          <w:rFonts w:hint="eastAsia" w:ascii="宋体" w:hAnsi="宋体" w:eastAsia="宋体" w:cs="宋体"/>
          <w:b/>
          <w:color w:val="000000"/>
          <w:kern w:val="0"/>
          <w:sz w:val="24"/>
          <w:szCs w:val="24"/>
          <w:lang w:eastAsia="en-US"/>
        </w:rPr>
        <w:t>三、组成本合同的文件</w:t>
      </w:r>
      <w:bookmarkEnd w:id="288"/>
    </w:p>
    <w:p w14:paraId="69A981AD">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left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en-US"/>
        </w:rPr>
        <w:t>协议书</w:t>
      </w:r>
      <w:r>
        <w:rPr>
          <w:rFonts w:hint="eastAsia" w:ascii="宋体" w:hAnsi="宋体" w:eastAsia="宋体" w:cs="宋体"/>
          <w:color w:val="000000"/>
          <w:kern w:val="0"/>
          <w:sz w:val="24"/>
          <w:szCs w:val="24"/>
        </w:rPr>
        <w:t>。</w:t>
      </w:r>
    </w:p>
    <w:p w14:paraId="73D24ADA">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中标通知书（适用于招标工程）或委托书（适用于非招标工程）。</w:t>
      </w:r>
    </w:p>
    <w:p w14:paraId="532D0723">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投标文件（适用于招标工程）或监理与相关服务建议书（适用于非招标工程）。</w:t>
      </w:r>
    </w:p>
    <w:p w14:paraId="437436A7">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专用条件。</w:t>
      </w:r>
    </w:p>
    <w:p w14:paraId="2B872E86">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通用条件。</w:t>
      </w:r>
    </w:p>
    <w:p w14:paraId="78292EE2">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附录，即：</w:t>
      </w:r>
    </w:p>
    <w:p w14:paraId="0F847702">
      <w:pPr>
        <w:keepNext w:val="0"/>
        <w:keepLines w:val="0"/>
        <w:pageBreakBefore w:val="0"/>
        <w:tabs>
          <w:tab w:val="left" w:pos="1537"/>
        </w:tabs>
        <w:kinsoku/>
        <w:wordWrap/>
        <w:overflowPunct/>
        <w:topLinePunct w:val="0"/>
        <w:autoSpaceDE w:val="0"/>
        <w:autoSpaceDN w:val="0"/>
        <w:bidi w:val="0"/>
        <w:adjustRightInd/>
        <w:snapToGrid/>
        <w:spacing w:line="360" w:lineRule="auto"/>
        <w:ind w:left="0" w:leftChars="0" w:firstLine="480" w:firstLineChars="200"/>
        <w:jc w:val="left"/>
        <w:textAlignment w:val="auto"/>
        <w:outlineLvl w:val="0"/>
        <w:rPr>
          <w:rFonts w:hint="eastAsia" w:ascii="宋体" w:hAnsi="宋体" w:eastAsia="宋体" w:cs="宋体"/>
          <w:color w:val="000000"/>
          <w:kern w:val="0"/>
          <w:sz w:val="24"/>
          <w:szCs w:val="24"/>
        </w:rPr>
      </w:pPr>
      <w:bookmarkStart w:id="289" w:name="_Toc30055"/>
      <w:r>
        <w:rPr>
          <w:rFonts w:hint="eastAsia" w:ascii="宋体" w:hAnsi="宋体" w:eastAsia="宋体" w:cs="宋体"/>
          <w:color w:val="000000"/>
          <w:kern w:val="0"/>
          <w:sz w:val="24"/>
          <w:szCs w:val="24"/>
        </w:rPr>
        <w:t>附录A</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相关服务的范围和内容</w:t>
      </w:r>
      <w:bookmarkEnd w:id="289"/>
    </w:p>
    <w:p w14:paraId="5A6470F8">
      <w:pPr>
        <w:keepNext w:val="0"/>
        <w:keepLines w:val="0"/>
        <w:pageBreakBefore w:val="0"/>
        <w:tabs>
          <w:tab w:val="left" w:pos="1537"/>
        </w:tabs>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附录B</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委托人派遣的人员和提供的房屋、资料、设备</w:t>
      </w:r>
    </w:p>
    <w:p w14:paraId="4E63101E">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本合同签订后，双方依法签订的补充协议也是本合同文件的组成部分。</w:t>
      </w:r>
    </w:p>
    <w:p w14:paraId="7A92ADE8">
      <w:pPr>
        <w:keepNext w:val="0"/>
        <w:keepLines w:val="0"/>
        <w:pageBreakBefore w:val="0"/>
        <w:kinsoku/>
        <w:wordWrap/>
        <w:overflowPunct/>
        <w:topLinePunct w:val="0"/>
        <w:autoSpaceDE w:val="0"/>
        <w:autoSpaceDN w:val="0"/>
        <w:bidi w:val="0"/>
        <w:adjustRightInd/>
        <w:snapToGrid/>
        <w:spacing w:before="1" w:line="360" w:lineRule="auto"/>
        <w:ind w:right="3084" w:rightChars="0"/>
        <w:jc w:val="left"/>
        <w:textAlignment w:val="auto"/>
        <w:outlineLvl w:val="0"/>
        <w:rPr>
          <w:rFonts w:hint="eastAsia" w:ascii="宋体" w:hAnsi="宋体" w:eastAsia="宋体" w:cs="宋体"/>
          <w:b/>
          <w:color w:val="000000"/>
          <w:kern w:val="0"/>
          <w:sz w:val="24"/>
          <w:szCs w:val="24"/>
        </w:rPr>
      </w:pPr>
      <w:bookmarkStart w:id="290" w:name="_Toc17297"/>
      <w:r>
        <w:rPr>
          <w:rFonts w:hint="eastAsia" w:ascii="宋体" w:hAnsi="宋体" w:eastAsia="宋体" w:cs="宋体"/>
          <w:b/>
          <w:color w:val="000000"/>
          <w:kern w:val="0"/>
          <w:sz w:val="24"/>
          <w:szCs w:val="24"/>
        </w:rPr>
        <w:t>四、总监理工程师</w:t>
      </w:r>
      <w:bookmarkEnd w:id="290"/>
    </w:p>
    <w:p w14:paraId="73C1BD9E">
      <w:pPr>
        <w:keepNext w:val="0"/>
        <w:keepLines w:val="0"/>
        <w:pageBreakBefore w:val="0"/>
        <w:tabs>
          <w:tab w:val="left" w:pos="3795"/>
          <w:tab w:val="left" w:pos="6524"/>
          <w:tab w:val="left" w:pos="9361"/>
        </w:tabs>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总监理工程师姓名：</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，身份证号码：</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，注册号：</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w:t>
      </w:r>
    </w:p>
    <w:p w14:paraId="7ED326DA">
      <w:pPr>
        <w:keepNext w:val="0"/>
        <w:keepLines w:val="0"/>
        <w:pageBreakBefore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000000"/>
          <w:kern w:val="0"/>
          <w:sz w:val="24"/>
          <w:szCs w:val="24"/>
        </w:rPr>
        <w:sectPr>
          <w:pgSz w:w="11910" w:h="16840"/>
          <w:pgMar w:top="964" w:right="1247" w:bottom="964" w:left="1247" w:header="0" w:footer="769" w:gutter="0"/>
          <w:pgNumType w:fmt="decimal"/>
          <w:cols w:space="720" w:num="1"/>
        </w:sectPr>
      </w:pPr>
    </w:p>
    <w:p w14:paraId="71888C57">
      <w:pPr>
        <w:keepNext w:val="0"/>
        <w:keepLines w:val="0"/>
        <w:pageBreakBefore w:val="0"/>
        <w:kinsoku/>
        <w:wordWrap/>
        <w:overflowPunct/>
        <w:topLinePunct w:val="0"/>
        <w:autoSpaceDE w:val="0"/>
        <w:autoSpaceDN w:val="0"/>
        <w:bidi w:val="0"/>
        <w:adjustRightInd/>
        <w:snapToGrid/>
        <w:spacing w:before="70" w:line="360" w:lineRule="auto"/>
        <w:ind w:left="0" w:leftChars="0" w:firstLine="482" w:firstLineChars="200"/>
        <w:jc w:val="left"/>
        <w:textAlignment w:val="auto"/>
        <w:outlineLvl w:val="0"/>
        <w:rPr>
          <w:rFonts w:hint="eastAsia" w:ascii="宋体" w:hAnsi="宋体" w:eastAsia="宋体" w:cs="宋体"/>
          <w:b/>
          <w:bCs/>
          <w:color w:val="000000"/>
          <w:kern w:val="0"/>
          <w:sz w:val="24"/>
          <w:szCs w:val="24"/>
        </w:rPr>
      </w:pPr>
      <w:bookmarkStart w:id="291" w:name="_Toc32244"/>
      <w:r>
        <w:rPr>
          <w:rFonts w:hint="eastAsia" w:ascii="宋体" w:hAnsi="宋体" w:eastAsia="宋体" w:cs="宋体"/>
          <w:b/>
          <w:bCs/>
          <w:color w:val="000000"/>
          <w:kern w:val="0"/>
          <w:sz w:val="24"/>
          <w:szCs w:val="24"/>
        </w:rPr>
        <w:t>五、签约酬金</w:t>
      </w:r>
      <w:bookmarkEnd w:id="291"/>
    </w:p>
    <w:p w14:paraId="14C23BFE">
      <w:pPr>
        <w:keepNext w:val="0"/>
        <w:keepLines w:val="0"/>
        <w:pageBreakBefore w:val="0"/>
        <w:tabs>
          <w:tab w:val="left" w:pos="5581"/>
          <w:tab w:val="left" w:pos="6735"/>
        </w:tabs>
        <w:kinsoku/>
        <w:wordWrap/>
        <w:overflowPunct/>
        <w:topLinePunct w:val="0"/>
        <w:autoSpaceDE w:val="0"/>
        <w:autoSpaceDN w:val="0"/>
        <w:bidi w:val="0"/>
        <w:adjustRightInd/>
        <w:snapToGrid/>
        <w:spacing w:line="360" w:lineRule="auto"/>
        <w:ind w:left="535" w:leftChars="255" w:right="3190" w:firstLine="0" w:firstLineChars="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rPr>
        <w:t>签约酬金（大写）：</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w:t>
      </w:r>
      <w:r>
        <w:rPr>
          <w:rFonts w:hint="eastAsia" w:ascii="宋体" w:hAnsi="宋体" w:eastAsia="宋体" w:cs="宋体"/>
          <w:color w:val="000000"/>
          <w:spacing w:val="-16"/>
          <w:kern w:val="0"/>
          <w:sz w:val="24"/>
          <w:szCs w:val="24"/>
        </w:rPr>
        <w:t>。</w:t>
      </w:r>
      <w:r>
        <w:rPr>
          <w:rFonts w:hint="eastAsia" w:ascii="宋体" w:hAnsi="宋体" w:eastAsia="宋体" w:cs="宋体"/>
          <w:color w:val="000000"/>
          <w:kern w:val="0"/>
          <w:sz w:val="24"/>
          <w:szCs w:val="24"/>
          <w:lang w:eastAsia="en-US"/>
        </w:rPr>
        <w:t>包括：</w:t>
      </w:r>
    </w:p>
    <w:p w14:paraId="016082B2">
      <w:pPr>
        <w:keepNext w:val="0"/>
        <w:keepLines w:val="0"/>
        <w:pageBreakBefore w:val="0"/>
        <w:numPr>
          <w:ilvl w:val="0"/>
          <w:numId w:val="0"/>
        </w:numPr>
        <w:tabs>
          <w:tab w:val="left" w:pos="1065"/>
          <w:tab w:val="left" w:pos="5581"/>
        </w:tabs>
        <w:kinsoku/>
        <w:wordWrap/>
        <w:overflowPunct/>
        <w:topLinePunct w:val="0"/>
        <w:autoSpaceDE w:val="0"/>
        <w:autoSpaceDN w:val="0"/>
        <w:bidi w:val="0"/>
        <w:adjustRightInd/>
        <w:snapToGrid/>
        <w:spacing w:line="360" w:lineRule="auto"/>
        <w:ind w:leftChars="200" w:firstLine="240" w:firstLineChars="1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en-US"/>
        </w:rPr>
        <w:t>监理酬金：</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w:t>
      </w:r>
    </w:p>
    <w:p w14:paraId="5040ACE2">
      <w:pPr>
        <w:keepNext w:val="0"/>
        <w:keepLines w:val="0"/>
        <w:pageBreakBefore w:val="0"/>
        <w:numPr>
          <w:ilvl w:val="0"/>
          <w:numId w:val="0"/>
        </w:numPr>
        <w:tabs>
          <w:tab w:val="left" w:pos="1065"/>
          <w:tab w:val="left" w:pos="5475"/>
        </w:tabs>
        <w:kinsoku/>
        <w:wordWrap/>
        <w:overflowPunct/>
        <w:topLinePunct w:val="0"/>
        <w:autoSpaceDE w:val="0"/>
        <w:autoSpaceDN w:val="0"/>
        <w:bidi w:val="0"/>
        <w:adjustRightInd/>
        <w:snapToGrid/>
        <w:spacing w:line="360" w:lineRule="auto"/>
        <w:ind w:left="535" w:leftChars="255" w:right="4660" w:rightChars="0" w:firstLine="0" w:firstLineChars="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相关服务酬金：</w:t>
      </w:r>
      <w:r>
        <w:rPr>
          <w:rFonts w:hint="eastAsia" w:ascii="宋体" w:hAnsi="宋体" w:eastAsia="宋体" w:cs="宋体"/>
          <w:color w:val="000000"/>
          <w:kern w:val="0"/>
          <w:sz w:val="24"/>
          <w:szCs w:val="24"/>
          <w:u w:val="single"/>
        </w:rPr>
        <w:tab/>
      </w:r>
      <w:r>
        <w:rPr>
          <w:rFonts w:hint="eastAsia" w:ascii="宋体" w:hAnsi="宋体" w:eastAsia="宋体" w:cs="宋体"/>
          <w:color w:val="000000"/>
          <w:spacing w:val="-18"/>
          <w:kern w:val="0"/>
          <w:sz w:val="24"/>
          <w:szCs w:val="24"/>
        </w:rPr>
        <w:t>。</w:t>
      </w:r>
      <w:r>
        <w:rPr>
          <w:rFonts w:hint="eastAsia" w:ascii="宋体" w:hAnsi="宋体" w:eastAsia="宋体" w:cs="宋体"/>
          <w:color w:val="000000"/>
          <w:kern w:val="0"/>
          <w:sz w:val="24"/>
          <w:szCs w:val="24"/>
        </w:rPr>
        <w:t>其中：</w:t>
      </w:r>
    </w:p>
    <w:p w14:paraId="20F141B7">
      <w:pPr>
        <w:keepNext w:val="0"/>
        <w:keepLines w:val="0"/>
        <w:pageBreakBefore w:val="0"/>
        <w:numPr>
          <w:ilvl w:val="0"/>
          <w:numId w:val="0"/>
        </w:numPr>
        <w:tabs>
          <w:tab w:val="left" w:pos="1275"/>
          <w:tab w:val="left" w:pos="6001"/>
        </w:tabs>
        <w:kinsoku/>
        <w:wordWrap/>
        <w:overflowPunct/>
        <w:topLinePunct w:val="0"/>
        <w:autoSpaceDE w:val="0"/>
        <w:autoSpaceDN w:val="0"/>
        <w:bidi w:val="0"/>
        <w:adjustRightInd/>
        <w:snapToGrid/>
        <w:spacing w:line="360" w:lineRule="auto"/>
        <w:ind w:left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eastAsia="en-US"/>
        </w:rPr>
        <w:t>勘察阶段服务酬金：</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w:t>
      </w:r>
    </w:p>
    <w:p w14:paraId="5478312C">
      <w:pPr>
        <w:keepNext w:val="0"/>
        <w:keepLines w:val="0"/>
        <w:pageBreakBefore w:val="0"/>
        <w:numPr>
          <w:ilvl w:val="0"/>
          <w:numId w:val="0"/>
        </w:numPr>
        <w:tabs>
          <w:tab w:val="left" w:pos="1275"/>
          <w:tab w:val="left" w:pos="6001"/>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eastAsia="en-US"/>
        </w:rPr>
        <w:t>设计阶段服务酬金：</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w:t>
      </w:r>
    </w:p>
    <w:p w14:paraId="7096E7CA">
      <w:pPr>
        <w:keepNext w:val="0"/>
        <w:keepLines w:val="0"/>
        <w:pageBreakBefore w:val="0"/>
        <w:numPr>
          <w:ilvl w:val="0"/>
          <w:numId w:val="0"/>
        </w:numPr>
        <w:tabs>
          <w:tab w:val="left" w:pos="1275"/>
          <w:tab w:val="left" w:pos="6001"/>
        </w:tabs>
        <w:kinsoku/>
        <w:wordWrap/>
        <w:overflowPunct/>
        <w:topLinePunct w:val="0"/>
        <w:autoSpaceDE w:val="0"/>
        <w:autoSpaceDN w:val="0"/>
        <w:bidi w:val="0"/>
        <w:adjustRightInd/>
        <w:snapToGrid/>
        <w:spacing w:before="1" w:line="360" w:lineRule="auto"/>
        <w:ind w:firstLine="480" w:firstLine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eastAsia="en-US"/>
        </w:rPr>
        <w:t>保修阶段服务酬金：</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w:t>
      </w:r>
    </w:p>
    <w:p w14:paraId="03563462">
      <w:pPr>
        <w:keepNext w:val="0"/>
        <w:keepLines w:val="0"/>
        <w:pageBreakBefore w:val="0"/>
        <w:numPr>
          <w:ilvl w:val="0"/>
          <w:numId w:val="0"/>
        </w:numPr>
        <w:tabs>
          <w:tab w:val="left" w:pos="1276"/>
          <w:tab w:val="left" w:pos="6001"/>
        </w:tabs>
        <w:kinsoku/>
        <w:wordWrap/>
        <w:overflowPunct/>
        <w:topLinePunct w:val="0"/>
        <w:autoSpaceDE w:val="0"/>
        <w:autoSpaceDN w:val="0"/>
        <w:bidi w:val="0"/>
        <w:adjustRightInd/>
        <w:snapToGrid/>
        <w:spacing w:before="1" w:line="360" w:lineRule="auto"/>
        <w:ind w:leftChars="200" w:right="4133" w:rightChars="0"/>
        <w:jc w:val="left"/>
        <w:textAlignment w:val="auto"/>
        <w:rPr>
          <w:rFonts w:hint="eastAsia" w:ascii="宋体" w:hAnsi="宋体" w:eastAsia="宋体" w:cs="宋体"/>
          <w:color w:val="000000"/>
          <w:spacing w:val="-17"/>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其他相关服务酬金：</w:t>
      </w:r>
      <w:r>
        <w:rPr>
          <w:rFonts w:hint="eastAsia" w:ascii="宋体" w:hAnsi="宋体" w:eastAsia="宋体" w:cs="宋体"/>
          <w:color w:val="000000"/>
          <w:kern w:val="0"/>
          <w:sz w:val="24"/>
          <w:szCs w:val="24"/>
          <w:u w:val="single"/>
        </w:rPr>
        <w:tab/>
      </w:r>
      <w:r>
        <w:rPr>
          <w:rFonts w:hint="eastAsia" w:ascii="宋体" w:hAnsi="宋体" w:eastAsia="宋体" w:cs="宋体"/>
          <w:color w:val="000000"/>
          <w:spacing w:val="-17"/>
          <w:kern w:val="0"/>
          <w:sz w:val="24"/>
          <w:szCs w:val="24"/>
        </w:rPr>
        <w:t>。</w:t>
      </w:r>
    </w:p>
    <w:p w14:paraId="5FE51C5E">
      <w:pPr>
        <w:keepNext w:val="0"/>
        <w:keepLines w:val="0"/>
        <w:pageBreakBefore w:val="0"/>
        <w:numPr>
          <w:ilvl w:val="0"/>
          <w:numId w:val="0"/>
        </w:numPr>
        <w:tabs>
          <w:tab w:val="left" w:pos="1276"/>
          <w:tab w:val="left" w:pos="6001"/>
        </w:tabs>
        <w:kinsoku/>
        <w:wordWrap/>
        <w:overflowPunct/>
        <w:topLinePunct w:val="0"/>
        <w:autoSpaceDE w:val="0"/>
        <w:autoSpaceDN w:val="0"/>
        <w:bidi w:val="0"/>
        <w:adjustRightInd/>
        <w:snapToGrid/>
        <w:spacing w:before="1" w:line="360" w:lineRule="auto"/>
        <w:ind w:left="420" w:leftChars="200" w:right="4133" w:rightChars="0" w:firstLine="0" w:firstLineChars="0"/>
        <w:jc w:val="left"/>
        <w:textAlignment w:val="auto"/>
        <w:outlineLvl w:val="0"/>
        <w:rPr>
          <w:rFonts w:hint="eastAsia" w:ascii="宋体" w:hAnsi="宋体" w:eastAsia="宋体" w:cs="宋体"/>
          <w:b/>
          <w:color w:val="000000"/>
          <w:kern w:val="0"/>
          <w:sz w:val="24"/>
          <w:szCs w:val="24"/>
        </w:rPr>
      </w:pPr>
      <w:bookmarkStart w:id="292" w:name="_Toc13972"/>
      <w:r>
        <w:rPr>
          <w:rFonts w:hint="eastAsia" w:ascii="宋体" w:hAnsi="宋体" w:eastAsia="宋体" w:cs="宋体"/>
          <w:b/>
          <w:color w:val="000000"/>
          <w:kern w:val="0"/>
          <w:sz w:val="24"/>
          <w:szCs w:val="24"/>
        </w:rPr>
        <w:t>六、期限</w:t>
      </w:r>
      <w:bookmarkEnd w:id="292"/>
    </w:p>
    <w:p w14:paraId="22E86141">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left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en-US"/>
        </w:rPr>
        <w:t>监理期限：自</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年</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月</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日始，至</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年</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月</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日止。</w:t>
      </w:r>
    </w:p>
    <w:p w14:paraId="0EBD70B1">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en-US"/>
        </w:rPr>
        <w:t>相关服务期限：</w:t>
      </w:r>
    </w:p>
    <w:p w14:paraId="4CB38C68">
      <w:pPr>
        <w:keepNext w:val="0"/>
        <w:keepLines w:val="0"/>
        <w:pageBreakBefore w:val="0"/>
        <w:numPr>
          <w:ilvl w:val="0"/>
          <w:numId w:val="0"/>
        </w:numPr>
        <w:tabs>
          <w:tab w:val="left" w:pos="1275"/>
          <w:tab w:val="left" w:pos="3690"/>
          <w:tab w:val="left" w:pos="4215"/>
          <w:tab w:val="left" w:pos="4741"/>
          <w:tab w:val="left" w:pos="6104"/>
          <w:tab w:val="left" w:pos="6630"/>
          <w:tab w:val="left" w:pos="715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勘察阶段服务期限自</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日始，至</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w w:val="95"/>
          <w:kern w:val="0"/>
          <w:sz w:val="24"/>
          <w:szCs w:val="24"/>
        </w:rPr>
        <w:t>日止。</w:t>
      </w:r>
    </w:p>
    <w:p w14:paraId="7748FBA7">
      <w:pPr>
        <w:keepNext w:val="0"/>
        <w:keepLines w:val="0"/>
        <w:pageBreakBefore w:val="0"/>
        <w:numPr>
          <w:ilvl w:val="0"/>
          <w:numId w:val="0"/>
        </w:numPr>
        <w:tabs>
          <w:tab w:val="left" w:pos="1275"/>
          <w:tab w:val="left" w:pos="3690"/>
          <w:tab w:val="left" w:pos="4215"/>
          <w:tab w:val="left" w:pos="4741"/>
          <w:tab w:val="left" w:pos="6104"/>
          <w:tab w:val="left" w:pos="6630"/>
          <w:tab w:val="left" w:pos="7155"/>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设计阶段服务期限自</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日始，至</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w w:val="95"/>
          <w:kern w:val="0"/>
          <w:sz w:val="24"/>
          <w:szCs w:val="24"/>
        </w:rPr>
        <w:t>日止。</w:t>
      </w:r>
    </w:p>
    <w:p w14:paraId="0479F046">
      <w:pPr>
        <w:keepNext w:val="0"/>
        <w:keepLines w:val="0"/>
        <w:pageBreakBefore w:val="0"/>
        <w:numPr>
          <w:ilvl w:val="0"/>
          <w:numId w:val="0"/>
        </w:numPr>
        <w:tabs>
          <w:tab w:val="left" w:pos="1275"/>
          <w:tab w:val="left" w:pos="3795"/>
          <w:tab w:val="left" w:pos="4321"/>
          <w:tab w:val="left" w:pos="4844"/>
          <w:tab w:val="left" w:pos="6315"/>
          <w:tab w:val="left" w:pos="6841"/>
          <w:tab w:val="left" w:pos="7364"/>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保修阶段服务期限自</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日始，至</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日止。</w:t>
      </w:r>
    </w:p>
    <w:p w14:paraId="4B2DE205">
      <w:pPr>
        <w:keepNext w:val="0"/>
        <w:keepLines w:val="0"/>
        <w:pageBreakBefore w:val="0"/>
        <w:numPr>
          <w:ilvl w:val="0"/>
          <w:numId w:val="0"/>
        </w:numPr>
        <w:tabs>
          <w:tab w:val="left" w:pos="1276"/>
          <w:tab w:val="left" w:pos="3795"/>
          <w:tab w:val="left" w:pos="4321"/>
          <w:tab w:val="left" w:pos="4844"/>
          <w:tab w:val="left" w:pos="6210"/>
          <w:tab w:val="left" w:pos="6735"/>
          <w:tab w:val="left" w:pos="7261"/>
        </w:tabs>
        <w:kinsoku/>
        <w:wordWrap/>
        <w:overflowPunct/>
        <w:topLinePunct w:val="0"/>
        <w:autoSpaceDE w:val="0"/>
        <w:autoSpaceDN w:val="0"/>
        <w:bidi w:val="0"/>
        <w:adjustRightInd/>
        <w:snapToGrid/>
        <w:spacing w:line="360" w:lineRule="auto"/>
        <w:ind w:right="2453" w:rightChars="0" w:firstLine="480" w:firstLineChars="200"/>
        <w:jc w:val="left"/>
        <w:textAlignment w:val="auto"/>
        <w:rPr>
          <w:rFonts w:hint="eastAsia" w:ascii="宋体" w:hAnsi="宋体" w:eastAsia="宋体" w:cs="宋体"/>
          <w:color w:val="000000"/>
          <w:spacing w:val="-16"/>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其他相关服务期限自</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日始，至</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日止</w:t>
      </w:r>
      <w:r>
        <w:rPr>
          <w:rFonts w:hint="eastAsia" w:ascii="宋体" w:hAnsi="宋体" w:eastAsia="宋体" w:cs="宋体"/>
          <w:color w:val="000000"/>
          <w:spacing w:val="-16"/>
          <w:kern w:val="0"/>
          <w:sz w:val="24"/>
          <w:szCs w:val="24"/>
        </w:rPr>
        <w:t>。</w:t>
      </w:r>
    </w:p>
    <w:p w14:paraId="5D8BD2C8">
      <w:pPr>
        <w:keepNext w:val="0"/>
        <w:keepLines w:val="0"/>
        <w:pageBreakBefore w:val="0"/>
        <w:numPr>
          <w:ilvl w:val="0"/>
          <w:numId w:val="0"/>
        </w:numPr>
        <w:tabs>
          <w:tab w:val="left" w:pos="1276"/>
          <w:tab w:val="left" w:pos="3795"/>
          <w:tab w:val="left" w:pos="4321"/>
          <w:tab w:val="left" w:pos="4844"/>
          <w:tab w:val="left" w:pos="6210"/>
          <w:tab w:val="left" w:pos="6735"/>
          <w:tab w:val="left" w:pos="7261"/>
        </w:tabs>
        <w:kinsoku/>
        <w:wordWrap/>
        <w:overflowPunct/>
        <w:topLinePunct w:val="0"/>
        <w:autoSpaceDE w:val="0"/>
        <w:autoSpaceDN w:val="0"/>
        <w:bidi w:val="0"/>
        <w:adjustRightInd/>
        <w:snapToGrid/>
        <w:spacing w:line="360" w:lineRule="auto"/>
        <w:ind w:left="0" w:leftChars="0" w:right="2453" w:rightChars="0" w:firstLine="482" w:firstLineChars="200"/>
        <w:jc w:val="left"/>
        <w:textAlignment w:val="auto"/>
        <w:outlineLvl w:val="0"/>
        <w:rPr>
          <w:rFonts w:hint="eastAsia" w:ascii="宋体" w:hAnsi="宋体" w:eastAsia="宋体" w:cs="宋体"/>
          <w:b/>
          <w:color w:val="000000"/>
          <w:kern w:val="0"/>
          <w:sz w:val="24"/>
          <w:szCs w:val="24"/>
          <w:lang w:eastAsia="en-US"/>
        </w:rPr>
      </w:pPr>
      <w:bookmarkStart w:id="293" w:name="_Toc4622"/>
      <w:r>
        <w:rPr>
          <w:rFonts w:hint="eastAsia" w:ascii="宋体" w:hAnsi="宋体" w:eastAsia="宋体" w:cs="宋体"/>
          <w:b/>
          <w:color w:val="000000"/>
          <w:kern w:val="0"/>
          <w:sz w:val="24"/>
          <w:szCs w:val="24"/>
          <w:lang w:eastAsia="en-US"/>
        </w:rPr>
        <w:t>七、双方承诺</w:t>
      </w:r>
      <w:bookmarkEnd w:id="293"/>
    </w:p>
    <w:p w14:paraId="4654A072">
      <w:pPr>
        <w:keepNext w:val="0"/>
        <w:keepLines w:val="0"/>
        <w:pageBreakBefore w:val="0"/>
        <w:numPr>
          <w:ilvl w:val="0"/>
          <w:numId w:val="0"/>
        </w:numPr>
        <w:tabs>
          <w:tab w:val="left" w:pos="1065"/>
        </w:tabs>
        <w:kinsoku/>
        <w:wordWrap/>
        <w:overflowPunct/>
        <w:topLinePunct w:val="0"/>
        <w:autoSpaceDE w:val="0"/>
        <w:autoSpaceDN w:val="0"/>
        <w:bidi w:val="0"/>
        <w:adjustRightInd/>
        <w:snapToGrid/>
        <w:spacing w:line="360" w:lineRule="auto"/>
        <w:ind w:left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监理人向委托人承诺，按照本合同约定提供监理与相关服务。</w:t>
      </w:r>
    </w:p>
    <w:p w14:paraId="6CF15935">
      <w:pPr>
        <w:keepNext w:val="0"/>
        <w:keepLines w:val="0"/>
        <w:pageBreakBefore w:val="0"/>
        <w:numPr>
          <w:ilvl w:val="0"/>
          <w:numId w:val="0"/>
        </w:numPr>
        <w:tabs>
          <w:tab w:val="left" w:pos="1065"/>
        </w:tabs>
        <w:kinsoku/>
        <w:wordWrap/>
        <w:overflowPunct/>
        <w:topLinePunct w:val="0"/>
        <w:autoSpaceDE w:val="0"/>
        <w:autoSpaceDN w:val="0"/>
        <w:bidi w:val="0"/>
        <w:adjustRightInd/>
        <w:snapToGrid/>
        <w:spacing w:before="1" w:line="360" w:lineRule="auto"/>
        <w:ind w:right="439" w:rightChars="0"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委托人向监理人承诺，按照本合同约定派遣相应的人员，提供房屋、资料、设备，并按本合同约定支付酬金。</w:t>
      </w:r>
    </w:p>
    <w:p w14:paraId="4C36E655">
      <w:pPr>
        <w:keepNext w:val="0"/>
        <w:keepLines w:val="0"/>
        <w:pageBreakBefore w:val="0"/>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eastAsia" w:ascii="宋体" w:hAnsi="宋体" w:eastAsia="宋体" w:cs="宋体"/>
          <w:b/>
          <w:bCs/>
          <w:color w:val="000000"/>
          <w:kern w:val="0"/>
          <w:sz w:val="24"/>
          <w:szCs w:val="24"/>
          <w:lang w:eastAsia="en-US"/>
        </w:rPr>
      </w:pPr>
      <w:bookmarkStart w:id="294" w:name="_Toc31105"/>
      <w:r>
        <w:rPr>
          <w:rFonts w:hint="eastAsia" w:ascii="宋体" w:hAnsi="宋体" w:eastAsia="宋体" w:cs="宋体"/>
          <w:b/>
          <w:bCs/>
          <w:color w:val="000000"/>
          <w:kern w:val="0"/>
          <w:sz w:val="24"/>
          <w:szCs w:val="24"/>
          <w:lang w:eastAsia="en-US"/>
        </w:rPr>
        <w:t>八、合同订立</w:t>
      </w:r>
      <w:bookmarkEnd w:id="294"/>
    </w:p>
    <w:p w14:paraId="1BACE154">
      <w:pPr>
        <w:keepNext w:val="0"/>
        <w:keepLines w:val="0"/>
        <w:pageBreakBefore w:val="0"/>
        <w:numPr>
          <w:ilvl w:val="0"/>
          <w:numId w:val="0"/>
        </w:numPr>
        <w:tabs>
          <w:tab w:val="left" w:pos="1065"/>
          <w:tab w:val="left" w:pos="3164"/>
          <w:tab w:val="left" w:pos="4110"/>
          <w:tab w:val="left" w:pos="4950"/>
        </w:tabs>
        <w:kinsoku/>
        <w:wordWrap/>
        <w:overflowPunct/>
        <w:topLinePunct w:val="0"/>
        <w:autoSpaceDE w:val="0"/>
        <w:autoSpaceDN w:val="0"/>
        <w:bidi w:val="0"/>
        <w:adjustRightInd/>
        <w:snapToGrid/>
        <w:spacing w:before="1" w:line="360" w:lineRule="auto"/>
        <w:ind w:firstLine="480" w:firstLineChars="200"/>
        <w:jc w:val="left"/>
        <w:textAlignment w:val="auto"/>
        <w:rPr>
          <w:rFonts w:hint="eastAsia" w:ascii="宋体" w:hAnsi="宋体" w:eastAsia="宋体" w:cs="宋体"/>
          <w:color w:val="000000"/>
          <w:kern w:val="0"/>
          <w:sz w:val="24"/>
          <w:szCs w:val="24"/>
          <w:lang w:eastAsia="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en-US"/>
        </w:rPr>
        <w:t>订立时间：</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年</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月</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lang w:eastAsia="en-US"/>
        </w:rPr>
        <w:t>日。</w:t>
      </w:r>
    </w:p>
    <w:p w14:paraId="3672DE56">
      <w:pPr>
        <w:keepNext w:val="0"/>
        <w:keepLines w:val="0"/>
        <w:pageBreakBefore w:val="0"/>
        <w:numPr>
          <w:ilvl w:val="0"/>
          <w:numId w:val="0"/>
        </w:numPr>
        <w:tabs>
          <w:tab w:val="left" w:pos="1065"/>
          <w:tab w:val="left" w:pos="5581"/>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sectPr>
          <w:pgSz w:w="11910" w:h="16840"/>
          <w:pgMar w:top="964" w:right="1247" w:bottom="964" w:left="1247" w:header="0" w:footer="769" w:gutter="0"/>
          <w:pgNumType w:fmt="decimal"/>
          <w:cols w:space="720" w:num="1"/>
        </w:sect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en-US"/>
        </w:rPr>
        <w:t>订立地点：</w:t>
      </w:r>
      <w:r>
        <w:rPr>
          <w:rFonts w:hint="eastAsia" w:ascii="宋体" w:hAnsi="宋体" w:eastAsia="宋体" w:cs="宋体"/>
          <w:color w:val="000000"/>
          <w:kern w:val="0"/>
          <w:sz w:val="24"/>
          <w:szCs w:val="24"/>
          <w:u w:val="single"/>
          <w:lang w:eastAsia="en-US"/>
        </w:rPr>
        <w:tab/>
      </w:r>
      <w:r>
        <w:rPr>
          <w:rFonts w:hint="eastAsia" w:ascii="宋体" w:hAnsi="宋体" w:eastAsia="宋体" w:cs="宋体"/>
          <w:color w:val="000000"/>
          <w:kern w:val="0"/>
          <w:sz w:val="24"/>
          <w:szCs w:val="24"/>
          <w:u w:val="single"/>
          <w:lang w:eastAsia="zh-CN"/>
        </w:rPr>
        <w:t>。</w:t>
      </w:r>
    </w:p>
    <w:p w14:paraId="63165125">
      <w:pPr>
        <w:keepNext w:val="0"/>
        <w:keepLines w:val="0"/>
        <w:pageBreakBefore w:val="0"/>
        <w:numPr>
          <w:ilvl w:val="0"/>
          <w:numId w:val="0"/>
        </w:numPr>
        <w:tabs>
          <w:tab w:val="left" w:pos="1065"/>
          <w:tab w:val="left" w:pos="2535"/>
          <w:tab w:val="left" w:pos="6210"/>
        </w:tabs>
        <w:kinsoku/>
        <w:wordWrap/>
        <w:overflowPunct/>
        <w:topLinePunct w:val="0"/>
        <w:autoSpaceDE w:val="0"/>
        <w:autoSpaceDN w:val="0"/>
        <w:bidi w:val="0"/>
        <w:adjustRightInd/>
        <w:snapToGrid/>
        <w:spacing w:before="76"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本合同一式</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份，具有同等法律效力，双方各执</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份。</w:t>
      </w:r>
    </w:p>
    <w:p w14:paraId="5BF90A46">
      <w:pPr>
        <w:keepNext w:val="0"/>
        <w:keepLines w:val="0"/>
        <w:pageBreakBefore w:val="0"/>
        <w:kinsoku/>
        <w:wordWrap/>
        <w:overflowPunct/>
        <w:topLinePunct w:val="0"/>
        <w:autoSpaceDE w:val="0"/>
        <w:autoSpaceDN w:val="0"/>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4"/>
          <w:szCs w:val="24"/>
        </w:rPr>
      </w:pPr>
    </w:p>
    <w:p w14:paraId="493214C8">
      <w:pPr>
        <w:keepNext w:val="0"/>
        <w:keepLines w:val="0"/>
        <w:pageBreakBefore w:val="0"/>
        <w:kinsoku/>
        <w:wordWrap/>
        <w:overflowPunct/>
        <w:topLinePunct w:val="0"/>
        <w:autoSpaceDE w:val="0"/>
        <w:autoSpaceDN w:val="0"/>
        <w:bidi w:val="0"/>
        <w:adjustRightInd/>
        <w:snapToGrid/>
        <w:spacing w:before="5" w:line="360" w:lineRule="auto"/>
        <w:jc w:val="left"/>
        <w:textAlignment w:val="auto"/>
        <w:rPr>
          <w:rFonts w:hint="eastAsia" w:ascii="宋体" w:hAnsi="宋体" w:eastAsia="宋体" w:cs="宋体"/>
          <w:color w:val="000000"/>
          <w:kern w:val="0"/>
          <w:sz w:val="24"/>
          <w:szCs w:val="24"/>
        </w:rPr>
      </w:pPr>
    </w:p>
    <w:p w14:paraId="69B5FE9F">
      <w:pPr>
        <w:keepNext w:val="0"/>
        <w:keepLines w:val="0"/>
        <w:pageBreakBefore w:val="0"/>
        <w:tabs>
          <w:tab w:val="left" w:pos="1904"/>
          <w:tab w:val="left" w:pos="3269"/>
          <w:tab w:val="left" w:pos="3584"/>
          <w:tab w:val="left" w:pos="4741"/>
          <w:tab w:val="left" w:pos="6000"/>
        </w:tabs>
        <w:kinsoku/>
        <w:wordWrap/>
        <w:overflowPunct/>
        <w:topLinePunct w:val="0"/>
        <w:autoSpaceDE w:val="0"/>
        <w:autoSpaceDN w:val="0"/>
        <w:bidi w:val="0"/>
        <w:adjustRightInd/>
        <w:snapToGrid/>
        <w:spacing w:before="1"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委托人：</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rPr>
        <w:t>（盖章）</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监理人：</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rPr>
        <w:t>（盖章）</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w w:val="95"/>
          <w:kern w:val="0"/>
          <w:sz w:val="24"/>
          <w:szCs w:val="24"/>
          <w:u w:val="single"/>
          <w:lang w:val="en-US" w:eastAsia="zh-CN"/>
        </w:rPr>
        <w:t xml:space="preserve">    </w:t>
      </w:r>
      <w:r>
        <w:rPr>
          <w:rFonts w:hint="eastAsia" w:ascii="宋体" w:hAnsi="宋体" w:eastAsia="宋体" w:cs="宋体"/>
          <w:color w:val="000000"/>
          <w:kern w:val="0"/>
          <w:sz w:val="24"/>
          <w:szCs w:val="24"/>
          <w:u w:val="single"/>
        </w:rPr>
        <w:tab/>
      </w:r>
    </w:p>
    <w:p w14:paraId="37CB71DF">
      <w:pPr>
        <w:keepNext w:val="0"/>
        <w:keepLines w:val="0"/>
        <w:pageBreakBefore w:val="0"/>
        <w:kinsoku/>
        <w:wordWrap/>
        <w:overflowPunct/>
        <w:topLinePunct w:val="0"/>
        <w:autoSpaceDE w:val="0"/>
        <w:autoSpaceDN w:val="0"/>
        <w:bidi w:val="0"/>
        <w:adjustRightInd/>
        <w:snapToGrid/>
        <w:spacing w:before="2" w:line="360" w:lineRule="auto"/>
        <w:jc w:val="left"/>
        <w:textAlignment w:val="auto"/>
        <w:rPr>
          <w:rFonts w:hint="eastAsia" w:ascii="宋体" w:hAnsi="宋体" w:eastAsia="宋体" w:cs="宋体"/>
          <w:color w:val="000000"/>
          <w:kern w:val="0"/>
          <w:sz w:val="24"/>
          <w:szCs w:val="24"/>
        </w:rPr>
      </w:pPr>
    </w:p>
    <w:p w14:paraId="07C1F434">
      <w:pPr>
        <w:keepNext w:val="0"/>
        <w:keepLines w:val="0"/>
        <w:pageBreakBefore w:val="0"/>
        <w:tabs>
          <w:tab w:val="left" w:pos="3741"/>
          <w:tab w:val="left" w:pos="4110"/>
          <w:tab w:val="left" w:pos="7207"/>
        </w:tabs>
        <w:kinsoku/>
        <w:wordWrap/>
        <w:overflowPunct/>
        <w:topLinePunct w:val="0"/>
        <w:autoSpaceDE w:val="0"/>
        <w:autoSpaceDN w:val="0"/>
        <w:bidi w:val="0"/>
        <w:adjustRightInd/>
        <w:snapToGrid/>
        <w:spacing w:before="76" w:line="360" w:lineRule="auto"/>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住所：</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住所：</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p>
    <w:p w14:paraId="3DCE4236">
      <w:pPr>
        <w:keepNext w:val="0"/>
        <w:keepLines w:val="0"/>
        <w:pageBreakBefore w:val="0"/>
        <w:tabs>
          <w:tab w:val="left" w:pos="3635"/>
          <w:tab w:val="left" w:pos="3901"/>
          <w:tab w:val="left" w:pos="6892"/>
        </w:tabs>
        <w:kinsoku/>
        <w:wordWrap/>
        <w:overflowPunct/>
        <w:topLinePunct w:val="0"/>
        <w:autoSpaceDE w:val="0"/>
        <w:autoSpaceDN w:val="0"/>
        <w:bidi w:val="0"/>
        <w:adjustRightInd/>
        <w:snapToGrid/>
        <w:spacing w:before="76" w:line="360" w:lineRule="auto"/>
        <w:ind w:left="0" w:leftChars="0" w:firstLine="0" w:firstLineChars="0"/>
        <w:jc w:val="left"/>
        <w:textAlignment w:val="auto"/>
        <w:rPr>
          <w:rFonts w:hint="eastAsia" w:ascii="宋体" w:hAnsi="宋体" w:eastAsia="宋体" w:cs="宋体"/>
          <w:color w:val="000000"/>
          <w:kern w:val="0"/>
          <w:sz w:val="24"/>
          <w:szCs w:val="24"/>
        </w:rPr>
      </w:pPr>
    </w:p>
    <w:p w14:paraId="43A3896C">
      <w:pPr>
        <w:keepNext w:val="0"/>
        <w:keepLines w:val="0"/>
        <w:pageBreakBefore w:val="0"/>
        <w:tabs>
          <w:tab w:val="left" w:pos="3635"/>
          <w:tab w:val="left" w:pos="3901"/>
          <w:tab w:val="left" w:pos="6892"/>
        </w:tabs>
        <w:kinsoku/>
        <w:wordWrap/>
        <w:overflowPunct/>
        <w:topLinePunct w:val="0"/>
        <w:autoSpaceDE w:val="0"/>
        <w:autoSpaceDN w:val="0"/>
        <w:bidi w:val="0"/>
        <w:adjustRightInd/>
        <w:snapToGrid/>
        <w:spacing w:before="76" w:line="360" w:lineRule="auto"/>
        <w:ind w:left="0" w:leftChars="0" w:firstLine="480" w:firstLineChars="200"/>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邮政编码：</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邮政编码：</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p>
    <w:p w14:paraId="079AE9BC">
      <w:pPr>
        <w:keepNext w:val="0"/>
        <w:keepLines w:val="0"/>
        <w:pageBreakBefore w:val="0"/>
        <w:kinsoku/>
        <w:wordWrap/>
        <w:overflowPunct/>
        <w:topLinePunct w:val="0"/>
        <w:autoSpaceDE w:val="0"/>
        <w:autoSpaceDN w:val="0"/>
        <w:bidi w:val="0"/>
        <w:adjustRightInd/>
        <w:snapToGrid/>
        <w:spacing w:before="6" w:line="360" w:lineRule="auto"/>
        <w:jc w:val="left"/>
        <w:textAlignment w:val="auto"/>
        <w:rPr>
          <w:rFonts w:hint="eastAsia" w:ascii="宋体" w:hAnsi="宋体" w:eastAsia="宋体" w:cs="宋体"/>
          <w:color w:val="000000"/>
          <w:kern w:val="0"/>
          <w:sz w:val="24"/>
          <w:szCs w:val="24"/>
        </w:rPr>
      </w:pPr>
    </w:p>
    <w:p w14:paraId="70E08089">
      <w:pPr>
        <w:keepNext w:val="0"/>
        <w:keepLines w:val="0"/>
        <w:pageBreakBefore w:val="0"/>
        <w:tabs>
          <w:tab w:val="left" w:pos="3375"/>
        </w:tabs>
        <w:kinsoku/>
        <w:wordWrap/>
        <w:overflowPunct/>
        <w:topLinePunct w:val="0"/>
        <w:autoSpaceDE w:val="0"/>
        <w:autoSpaceDN w:val="0"/>
        <w:bidi w:val="0"/>
        <w:adjustRightInd/>
        <w:snapToGrid/>
        <w:spacing w:before="70" w:line="360" w:lineRule="auto"/>
        <w:ind w:left="0" w:leftChars="0" w:firstLine="0" w:firstLineChars="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法定代表人或其授权的代理人：</w:t>
      </w:r>
      <w:r>
        <w:rPr>
          <w:rFonts w:hint="eastAsia" w:ascii="宋体" w:hAnsi="宋体" w:eastAsia="宋体" w:cs="宋体"/>
          <w:color w:val="000000"/>
          <w:kern w:val="0"/>
          <w:sz w:val="24"/>
          <w:szCs w:val="24"/>
          <w:u w:val="single"/>
        </w:rPr>
        <w:t>（签字）</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法定代表人或其授权的代理人</w:t>
      </w:r>
      <w:r>
        <w:rPr>
          <w:rFonts w:hint="eastAsia" w:ascii="宋体" w:hAnsi="宋体" w:eastAsia="宋体" w:cs="宋体"/>
          <w:color w:val="000000"/>
          <w:kern w:val="0"/>
          <w:sz w:val="24"/>
          <w:szCs w:val="24"/>
          <w:u w:val="single"/>
        </w:rPr>
        <w:t>（签字）</w:t>
      </w:r>
    </w:p>
    <w:p w14:paraId="7D3ACFB8">
      <w:pPr>
        <w:keepNext w:val="0"/>
        <w:keepLines w:val="0"/>
        <w:pageBreakBefore w:val="0"/>
        <w:tabs>
          <w:tab w:val="left" w:pos="3269"/>
          <w:tab w:val="left" w:pos="3481"/>
          <w:tab w:val="left" w:pos="6420"/>
        </w:tabs>
        <w:kinsoku/>
        <w:wordWrap/>
        <w:overflowPunct/>
        <w:topLinePunct w:val="0"/>
        <w:autoSpaceDE w:val="0"/>
        <w:autoSpaceDN w:val="0"/>
        <w:bidi w:val="0"/>
        <w:adjustRightInd/>
        <w:snapToGrid/>
        <w:spacing w:before="1" w:line="360" w:lineRule="auto"/>
        <w:ind w:left="0" w:leftChars="0" w:firstLine="0" w:firstLineChars="0"/>
        <w:jc w:val="left"/>
        <w:textAlignment w:val="auto"/>
        <w:rPr>
          <w:rFonts w:hint="eastAsia" w:ascii="宋体" w:hAnsi="宋体" w:eastAsia="宋体" w:cs="宋体"/>
          <w:color w:val="000000"/>
          <w:kern w:val="0"/>
          <w:sz w:val="24"/>
          <w:szCs w:val="24"/>
        </w:rPr>
      </w:pPr>
    </w:p>
    <w:p w14:paraId="10745221">
      <w:pPr>
        <w:keepNext w:val="0"/>
        <w:keepLines w:val="0"/>
        <w:pageBreakBefore w:val="0"/>
        <w:tabs>
          <w:tab w:val="left" w:pos="3635"/>
          <w:tab w:val="left" w:pos="3901"/>
          <w:tab w:val="left" w:pos="6892"/>
        </w:tabs>
        <w:kinsoku/>
        <w:wordWrap/>
        <w:overflowPunct/>
        <w:topLinePunct w:val="0"/>
        <w:autoSpaceDE w:val="0"/>
        <w:autoSpaceDN w:val="0"/>
        <w:bidi w:val="0"/>
        <w:adjustRightInd/>
        <w:snapToGrid/>
        <w:spacing w:before="76" w:line="360" w:lineRule="auto"/>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开户银行：</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开户银行：</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p>
    <w:p w14:paraId="7BD0631F">
      <w:pPr>
        <w:keepNext w:val="0"/>
        <w:keepLines w:val="0"/>
        <w:pageBreakBefore w:val="0"/>
        <w:kinsoku/>
        <w:wordWrap/>
        <w:overflowPunct/>
        <w:topLinePunct w:val="0"/>
        <w:autoSpaceDE w:val="0"/>
        <w:autoSpaceDN w:val="0"/>
        <w:bidi w:val="0"/>
        <w:adjustRightInd/>
        <w:snapToGrid/>
        <w:spacing w:before="11" w:line="360" w:lineRule="auto"/>
        <w:jc w:val="left"/>
        <w:textAlignment w:val="auto"/>
        <w:rPr>
          <w:rFonts w:hint="eastAsia" w:ascii="宋体" w:hAnsi="宋体" w:eastAsia="宋体" w:cs="宋体"/>
          <w:color w:val="000000"/>
          <w:kern w:val="0"/>
          <w:sz w:val="24"/>
          <w:szCs w:val="24"/>
        </w:rPr>
      </w:pPr>
    </w:p>
    <w:p w14:paraId="7E635130">
      <w:pPr>
        <w:keepNext w:val="0"/>
        <w:keepLines w:val="0"/>
        <w:pageBreakBefore w:val="0"/>
        <w:tabs>
          <w:tab w:val="left" w:pos="3741"/>
          <w:tab w:val="left" w:pos="4004"/>
          <w:tab w:val="left" w:pos="7101"/>
        </w:tabs>
        <w:kinsoku/>
        <w:wordWrap/>
        <w:overflowPunct/>
        <w:topLinePunct w:val="0"/>
        <w:autoSpaceDE w:val="0"/>
        <w:autoSpaceDN w:val="0"/>
        <w:bidi w:val="0"/>
        <w:adjustRightInd/>
        <w:snapToGrid/>
        <w:spacing w:before="76" w:line="360" w:lineRule="auto"/>
        <w:jc w:val="left"/>
        <w:textAlignment w:val="auto"/>
        <w:rPr>
          <w:rFonts w:hint="default" w:ascii="宋体" w:hAnsi="宋体" w:eastAsia="宋体" w:cs="宋体"/>
          <w:color w:val="000000"/>
          <w:kern w:val="0"/>
          <w:sz w:val="24"/>
          <w:szCs w:val="24"/>
          <w:u w:val="single"/>
          <w:lang w:val="en-US" w:eastAsia="zh-CN"/>
        </w:rPr>
      </w:pPr>
      <w:r>
        <w:rPr>
          <w:rFonts w:hint="eastAsia" w:ascii="宋体" w:hAnsi="宋体" w:eastAsia="宋体" w:cs="宋体"/>
          <w:color w:val="000000"/>
          <w:kern w:val="0"/>
          <w:sz w:val="24"/>
          <w:szCs w:val="24"/>
          <w:lang w:eastAsia="en-US"/>
        </w:rPr>
        <mc:AlternateContent>
          <mc:Choice Requires="wps">
            <w:drawing>
              <wp:anchor distT="0" distB="0" distL="114300" distR="114300" simplePos="0" relativeHeight="251659264" behindDoc="0" locked="0" layoutInCell="1" allowOverlap="1">
                <wp:simplePos x="0" y="0"/>
                <wp:positionH relativeFrom="page">
                  <wp:posOffset>5165725</wp:posOffset>
                </wp:positionH>
                <wp:positionV relativeFrom="paragraph">
                  <wp:posOffset>195580</wp:posOffset>
                </wp:positionV>
                <wp:extent cx="66040" cy="0"/>
                <wp:effectExtent l="0" t="4445" r="0" b="0"/>
                <wp:wrapNone/>
                <wp:docPr id="8" name="直接连接符 8"/>
                <wp:cNvGraphicFramePr/>
                <a:graphic xmlns:a="http://schemas.openxmlformats.org/drawingml/2006/main">
                  <a:graphicData uri="http://schemas.microsoft.com/office/word/2010/wordprocessingShape">
                    <wps:wsp>
                      <wps:cNvCnPr/>
                      <wps:spPr>
                        <a:xfrm>
                          <a:off x="0" y="0"/>
                          <a:ext cx="6604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6.75pt;margin-top:15.4pt;height:0pt;width:5.2pt;mso-position-horizontal-relative:page;z-index:251659264;mso-width-relative:page;mso-height-relative:page;" filled="f" stroked="t" coordsize="21600,21600" o:gfxdata="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IBr32AAAAAkBAAAPAAAAAAAAAAEAIAAAACIAAABkcnMvZG93bnJldi54bWxQSwECFAAU&#10;AAAACACHTuJA/c0+AvEBAADiAwAADgAAAAAAAAABACAAAAAnAQAAZHJzL2Uyb0RvYy54bWxQSwUG&#10;AAAAAAYABgBZAQAAigUAAAAA&#10;">
                <v:fill on="f" focussize="0,0"/>
                <v:stroke weight="0.48pt" color="#000000" joinstyle="round"/>
                <v:imagedata o:title=""/>
                <o:lock v:ext="edit" aspectratio="f"/>
              </v:line>
            </w:pict>
          </mc:Fallback>
        </mc:AlternateContent>
      </w:r>
      <w:r>
        <w:rPr>
          <w:rFonts w:hint="eastAsia" w:ascii="宋体" w:hAnsi="宋体" w:eastAsia="宋体" w:cs="宋体"/>
          <w:color w:val="000000"/>
          <w:kern w:val="0"/>
          <w:sz w:val="24"/>
          <w:szCs w:val="24"/>
        </w:rPr>
        <w:t>账号：</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账号：</w:t>
      </w:r>
      <w:r>
        <w:rPr>
          <w:rFonts w:hint="eastAsia" w:ascii="宋体" w:hAnsi="宋体" w:eastAsia="宋体" w:cs="宋体"/>
          <w:color w:val="000000"/>
          <w:kern w:val="0"/>
          <w:sz w:val="24"/>
          <w:szCs w:val="24"/>
          <w:u w:val="single"/>
          <w:lang w:val="en-US" w:eastAsia="zh-CN"/>
        </w:rPr>
        <w:t xml:space="preserve">                  </w:t>
      </w:r>
    </w:p>
    <w:p w14:paraId="0D4CE032">
      <w:pPr>
        <w:keepNext w:val="0"/>
        <w:keepLines w:val="0"/>
        <w:pageBreakBefore w:val="0"/>
        <w:kinsoku/>
        <w:wordWrap/>
        <w:overflowPunct/>
        <w:topLinePunct w:val="0"/>
        <w:autoSpaceDE w:val="0"/>
        <w:autoSpaceDN w:val="0"/>
        <w:bidi w:val="0"/>
        <w:adjustRightInd/>
        <w:snapToGrid/>
        <w:spacing w:before="11" w:line="360" w:lineRule="auto"/>
        <w:jc w:val="left"/>
        <w:textAlignment w:val="auto"/>
        <w:rPr>
          <w:rFonts w:hint="eastAsia" w:ascii="宋体" w:hAnsi="宋体" w:eastAsia="宋体" w:cs="宋体"/>
          <w:color w:val="000000"/>
          <w:kern w:val="0"/>
          <w:sz w:val="24"/>
          <w:szCs w:val="24"/>
        </w:rPr>
      </w:pPr>
    </w:p>
    <w:p w14:paraId="62434AF8">
      <w:pPr>
        <w:keepNext w:val="0"/>
        <w:keepLines w:val="0"/>
        <w:pageBreakBefore w:val="0"/>
        <w:tabs>
          <w:tab w:val="left" w:pos="3741"/>
          <w:tab w:val="left" w:pos="4004"/>
          <w:tab w:val="left" w:pos="7101"/>
        </w:tabs>
        <w:kinsoku/>
        <w:wordWrap/>
        <w:overflowPunct/>
        <w:topLinePunct w:val="0"/>
        <w:autoSpaceDE w:val="0"/>
        <w:autoSpaceDN w:val="0"/>
        <w:bidi w:val="0"/>
        <w:adjustRightInd/>
        <w:snapToGrid/>
        <w:spacing w:before="76" w:line="360" w:lineRule="auto"/>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电话：</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电话：</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p>
    <w:p w14:paraId="115DF90C">
      <w:pPr>
        <w:keepNext w:val="0"/>
        <w:keepLines w:val="0"/>
        <w:pageBreakBefore w:val="0"/>
        <w:kinsoku/>
        <w:wordWrap/>
        <w:overflowPunct/>
        <w:topLinePunct w:val="0"/>
        <w:autoSpaceDE w:val="0"/>
        <w:autoSpaceDN w:val="0"/>
        <w:bidi w:val="0"/>
        <w:adjustRightInd/>
        <w:snapToGrid/>
        <w:spacing w:before="11" w:line="360" w:lineRule="auto"/>
        <w:jc w:val="left"/>
        <w:textAlignment w:val="auto"/>
        <w:rPr>
          <w:rFonts w:hint="eastAsia" w:ascii="宋体" w:hAnsi="宋体" w:eastAsia="宋体" w:cs="宋体"/>
          <w:color w:val="000000"/>
          <w:kern w:val="0"/>
          <w:sz w:val="24"/>
          <w:szCs w:val="24"/>
        </w:rPr>
      </w:pPr>
    </w:p>
    <w:p w14:paraId="3C3FBAAD">
      <w:pPr>
        <w:keepNext w:val="0"/>
        <w:keepLines w:val="0"/>
        <w:pageBreakBefore w:val="0"/>
        <w:tabs>
          <w:tab w:val="left" w:pos="3741"/>
          <w:tab w:val="left" w:pos="4004"/>
          <w:tab w:val="left" w:pos="7101"/>
        </w:tabs>
        <w:kinsoku/>
        <w:wordWrap/>
        <w:overflowPunct/>
        <w:topLinePunct w:val="0"/>
        <w:autoSpaceDE w:val="0"/>
        <w:autoSpaceDN w:val="0"/>
        <w:bidi w:val="0"/>
        <w:adjustRightInd/>
        <w:snapToGrid/>
        <w:spacing w:before="76" w:line="360" w:lineRule="auto"/>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传真：</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传真：</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p>
    <w:p w14:paraId="62988F69">
      <w:pPr>
        <w:keepNext w:val="0"/>
        <w:keepLines w:val="0"/>
        <w:pageBreakBefore w:val="0"/>
        <w:kinsoku/>
        <w:wordWrap/>
        <w:overflowPunct/>
        <w:topLinePunct w:val="0"/>
        <w:autoSpaceDE w:val="0"/>
        <w:autoSpaceDN w:val="0"/>
        <w:bidi w:val="0"/>
        <w:adjustRightInd/>
        <w:snapToGrid/>
        <w:spacing w:before="6" w:line="360" w:lineRule="auto"/>
        <w:jc w:val="left"/>
        <w:textAlignment w:val="auto"/>
        <w:rPr>
          <w:rFonts w:hint="eastAsia" w:ascii="宋体" w:hAnsi="宋体" w:eastAsia="宋体" w:cs="宋体"/>
          <w:color w:val="000000"/>
          <w:kern w:val="0"/>
          <w:sz w:val="24"/>
          <w:szCs w:val="24"/>
        </w:rPr>
      </w:pPr>
    </w:p>
    <w:p w14:paraId="1B42944E">
      <w:pPr>
        <w:keepNext w:val="0"/>
        <w:keepLines w:val="0"/>
        <w:pageBreakBefore w:val="0"/>
        <w:widowControl/>
        <w:kinsoku/>
        <w:wordWrap/>
        <w:overflowPunct/>
        <w:topLinePunct w:val="0"/>
        <w:bidi w:val="0"/>
        <w:adjustRightInd/>
        <w:snapToGrid/>
        <w:spacing w:line="360" w:lineRule="auto"/>
        <w:jc w:val="both"/>
        <w:textAlignment w:val="auto"/>
        <w:rPr>
          <w:rFonts w:hint="default" w:ascii="宋体" w:hAnsi="宋体" w:eastAsia="宋体" w:cs="宋体"/>
          <w:color w:val="000000"/>
          <w:kern w:val="0"/>
          <w:sz w:val="24"/>
          <w:szCs w:val="24"/>
          <w:u w:val="single"/>
          <w:lang w:val="en-US" w:eastAsia="zh-CN"/>
        </w:rPr>
      </w:pPr>
      <w:r>
        <w:rPr>
          <w:rFonts w:hint="eastAsia" w:ascii="宋体" w:hAnsi="宋体" w:eastAsia="宋体" w:cs="宋体"/>
          <w:color w:val="000000"/>
          <w:kern w:val="0"/>
          <w:sz w:val="24"/>
          <w:szCs w:val="24"/>
        </w:rPr>
        <w:t>电子邮箱：</w:t>
      </w:r>
      <w:r>
        <w:rPr>
          <w:rFonts w:hint="eastAsia" w:ascii="宋体" w:hAnsi="宋体" w:eastAsia="宋体" w:cs="宋体"/>
          <w:color w:val="000000"/>
          <w:kern w:val="0"/>
          <w:sz w:val="24"/>
          <w:szCs w:val="24"/>
          <w:u w:val="single"/>
        </w:rPr>
        <w:tab/>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电子邮箱：</w:t>
      </w:r>
      <w:r>
        <w:rPr>
          <w:rFonts w:hint="eastAsia" w:ascii="宋体" w:hAnsi="宋体" w:eastAsia="宋体" w:cs="宋体"/>
          <w:color w:val="000000"/>
          <w:kern w:val="0"/>
          <w:sz w:val="24"/>
          <w:szCs w:val="24"/>
          <w:u w:val="single"/>
          <w:lang w:val="en-US" w:eastAsia="zh-CN"/>
        </w:rPr>
        <w:t xml:space="preserve">               </w:t>
      </w:r>
    </w:p>
    <w:p w14:paraId="06CE87D1">
      <w:pPr>
        <w:numPr>
          <w:ilvl w:val="0"/>
          <w:numId w:val="5"/>
        </w:numPr>
        <w:jc w:val="center"/>
        <w:outlineLvl w:val="0"/>
        <w:rPr>
          <w:rStyle w:val="23"/>
          <w:rFonts w:hint="eastAsia" w:ascii="Times New Roman" w:hAnsi="Times New Roman" w:eastAsia="宋体" w:cs="Times New Roman"/>
          <w:lang w:val="en-US" w:eastAsia="zh-CN"/>
        </w:rPr>
      </w:pPr>
      <w:r>
        <w:rPr>
          <w:rStyle w:val="23"/>
          <w:rFonts w:hint="eastAsia" w:ascii="Times New Roman" w:hAnsi="Times New Roman" w:eastAsia="宋体" w:cs="Times New Roman"/>
          <w:lang w:val="en-US" w:eastAsia="zh-CN"/>
        </w:rPr>
        <w:br w:type="page"/>
      </w:r>
      <w:bookmarkStart w:id="295" w:name="_Toc30640"/>
      <w:bookmarkStart w:id="296" w:name="_Toc12893"/>
      <w:bookmarkStart w:id="297" w:name="_Toc17537"/>
      <w:r>
        <w:rPr>
          <w:rStyle w:val="23"/>
          <w:rFonts w:hint="eastAsia" w:ascii="Times New Roman" w:hAnsi="Times New Roman" w:eastAsia="宋体" w:cs="Times New Roman"/>
          <w:lang w:val="en-US" w:eastAsia="zh-CN"/>
        </w:rPr>
        <w:t>服务内容及要求</w:t>
      </w:r>
      <w:bookmarkEnd w:id="295"/>
    </w:p>
    <w:bookmarkEnd w:id="296"/>
    <w:bookmarkEnd w:id="297"/>
    <w:p w14:paraId="7D1012AD">
      <w:pPr>
        <w:keepNext w:val="0"/>
        <w:keepLines w:val="0"/>
        <w:pageBreakBefore w:val="0"/>
        <w:widowControl w:val="0"/>
        <w:kinsoku/>
        <w:wordWrap/>
        <w:overflowPunct/>
        <w:bidi w:val="0"/>
        <w:spacing w:line="360" w:lineRule="auto"/>
        <w:textAlignment w:val="auto"/>
        <w:outlineLvl w:val="0"/>
        <w:rPr>
          <w:rFonts w:ascii="宋体" w:hAnsi="宋体" w:cs="宋体"/>
          <w:b/>
          <w:color w:val="000000"/>
          <w:sz w:val="24"/>
          <w:szCs w:val="24"/>
        </w:rPr>
      </w:pPr>
      <w:bookmarkStart w:id="298" w:name="_Toc14588"/>
      <w:bookmarkStart w:id="299" w:name="_Toc16320"/>
      <w:bookmarkStart w:id="300" w:name="_Toc296602600"/>
      <w:bookmarkStart w:id="301" w:name="_Toc152042575"/>
      <w:bookmarkStart w:id="302" w:name="_Toc179632806"/>
      <w:bookmarkStart w:id="303" w:name="_Toc152045786"/>
      <w:bookmarkStart w:id="304" w:name="_Toc246996354"/>
      <w:bookmarkStart w:id="305" w:name="_Toc247085872"/>
      <w:bookmarkStart w:id="306" w:name="_Toc246997097"/>
      <w:bookmarkStart w:id="307" w:name="_Toc144974855"/>
      <w:bookmarkStart w:id="308" w:name="_Toc152045794"/>
      <w:bookmarkStart w:id="309" w:name="_Toc296602607"/>
      <w:bookmarkStart w:id="310" w:name="_Toc246997105"/>
      <w:bookmarkStart w:id="311" w:name="_Toc152042583"/>
      <w:bookmarkStart w:id="312" w:name="_Toc246996362"/>
      <w:bookmarkStart w:id="313" w:name="_Toc179632814"/>
      <w:bookmarkStart w:id="314" w:name="_Toc144974862"/>
      <w:bookmarkStart w:id="315" w:name="_Toc247085880"/>
      <w:bookmarkStart w:id="316" w:name="_Toc31984"/>
      <w:r>
        <w:rPr>
          <w:rFonts w:hint="eastAsia" w:ascii="宋体" w:hAnsi="宋体" w:cs="宋体"/>
          <w:b/>
          <w:color w:val="000000"/>
          <w:sz w:val="24"/>
          <w:szCs w:val="24"/>
        </w:rPr>
        <w:t>1、委托监理的范围</w:t>
      </w:r>
      <w:bookmarkEnd w:id="298"/>
    </w:p>
    <w:p w14:paraId="612F5B61">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1.1 监理责任期：本工程监理责任期自双方签订监理合同之日起至工程</w:t>
      </w:r>
      <w:r>
        <w:rPr>
          <w:rFonts w:hint="eastAsia" w:ascii="宋体" w:hAnsi="宋体"/>
          <w:sz w:val="24"/>
          <w:szCs w:val="24"/>
        </w:rPr>
        <w:t>缺陷责任期</w:t>
      </w:r>
      <w:r>
        <w:rPr>
          <w:rFonts w:hint="eastAsia" w:ascii="宋体" w:hAnsi="宋体" w:cs="宋体"/>
          <w:sz w:val="24"/>
          <w:szCs w:val="24"/>
        </w:rPr>
        <w:t>满为止。</w:t>
      </w:r>
    </w:p>
    <w:p w14:paraId="61214AFA">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1.2监理服务期限：</w:t>
      </w:r>
      <w:r>
        <w:rPr>
          <w:rFonts w:hint="eastAsia" w:ascii="宋体" w:hAnsi="宋体"/>
          <w:sz w:val="24"/>
          <w:szCs w:val="24"/>
        </w:rPr>
        <w:t>施工及缺陷责任期全过程监理</w:t>
      </w:r>
      <w:r>
        <w:rPr>
          <w:rFonts w:hint="eastAsia" w:ascii="宋体" w:hAnsi="宋体" w:cs="宋体"/>
          <w:sz w:val="24"/>
          <w:szCs w:val="24"/>
        </w:rPr>
        <w:t>。</w:t>
      </w:r>
    </w:p>
    <w:p w14:paraId="1259A3D4">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1.3质量标准：合格</w:t>
      </w:r>
      <w:r>
        <w:rPr>
          <w:rFonts w:hint="eastAsia" w:ascii="宋体" w:hAnsi="宋体" w:cs="宋体"/>
          <w:color w:val="000000"/>
          <w:sz w:val="24"/>
          <w:szCs w:val="24"/>
        </w:rPr>
        <w:t>。</w:t>
      </w:r>
    </w:p>
    <w:p w14:paraId="29640B95">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1.4 监理范围和监理工作内容：</w:t>
      </w:r>
    </w:p>
    <w:p w14:paraId="01DAC6F2">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1）工程项目施工过程的质量、技术、进度、安全、协调、造价控制等监理工作；</w:t>
      </w:r>
    </w:p>
    <w:p w14:paraId="55028BEF">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2）工程项目竣工验收移交等相关手续的办结；</w:t>
      </w:r>
    </w:p>
    <w:p w14:paraId="3F9A53DF">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3）工程保修阶段的质量、技术、进度、安全、协调等监理工作。</w:t>
      </w:r>
    </w:p>
    <w:p w14:paraId="46549682">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1.5 监理工作时间</w:t>
      </w:r>
    </w:p>
    <w:p w14:paraId="5249FE78">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监理人应完成工作内容的监理时间为委托人书面通知中约定的时间至工程竣工验收备案移交手续完毕，以及工程</w:t>
      </w:r>
      <w:r>
        <w:rPr>
          <w:rFonts w:hint="eastAsia" w:ascii="宋体" w:hAnsi="宋体"/>
          <w:sz w:val="24"/>
          <w:szCs w:val="24"/>
        </w:rPr>
        <w:t>保修及缺陷责任期阶段</w:t>
      </w:r>
      <w:r>
        <w:rPr>
          <w:rFonts w:hint="eastAsia" w:ascii="宋体" w:hAnsi="宋体" w:cs="宋体"/>
          <w:sz w:val="24"/>
          <w:szCs w:val="24"/>
        </w:rPr>
        <w:t>所有监理工作内容的时间。</w:t>
      </w:r>
    </w:p>
    <w:p w14:paraId="076EA19F">
      <w:pPr>
        <w:keepNext w:val="0"/>
        <w:keepLines w:val="0"/>
        <w:pageBreakBefore w:val="0"/>
        <w:widowControl w:val="0"/>
        <w:kinsoku/>
        <w:wordWrap/>
        <w:overflowPunct/>
        <w:topLinePunct/>
        <w:autoSpaceDE w:val="0"/>
        <w:autoSpaceDN w:val="0"/>
        <w:bidi w:val="0"/>
        <w:adjustRightInd w:val="0"/>
        <w:snapToGrid w:val="0"/>
        <w:spacing w:line="360" w:lineRule="auto"/>
        <w:textAlignment w:val="auto"/>
        <w:rPr>
          <w:rFonts w:ascii="宋体" w:hAnsi="宋体" w:cs="宋体"/>
          <w:sz w:val="24"/>
          <w:szCs w:val="24"/>
        </w:rPr>
      </w:pPr>
      <w:r>
        <w:rPr>
          <w:rFonts w:hint="eastAsia" w:ascii="宋体" w:hAnsi="宋体" w:cs="宋体"/>
          <w:sz w:val="24"/>
          <w:szCs w:val="24"/>
        </w:rPr>
        <w:t>1.6监理服务质量</w:t>
      </w:r>
    </w:p>
    <w:p w14:paraId="287AE0A0">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（1）监理单位要在中华人民共和国目前所发行的法律、法规及地方政府规章许可的范围内进行监理工作，认真履行监理工作的责任和权力；</w:t>
      </w:r>
    </w:p>
    <w:p w14:paraId="5FB14C18">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（2）按照“三控、二管、一协调”的要求，认真对建设方的施工组织设计、技术方案等提出审核意见，并向建设单位书面报告；</w:t>
      </w:r>
    </w:p>
    <w:p w14:paraId="0FD6B159">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（3）做好二十四小时旁站监理，合理、公开、公正的行使权利，经招标人同意后，发布开工令、停工令、复工令等；</w:t>
      </w:r>
    </w:p>
    <w:p w14:paraId="7C4AD8C3">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4）行使对工程使用的材料和施工质量的检验权，对不符合设计要求及国家标准的材料、设备，有权通知承建方停止使用，对不符合规范和操作规程的工序、分项分部工程，有权通知承建方整改、返工、直至停工；</w:t>
      </w:r>
    </w:p>
    <w:p w14:paraId="5A583E18">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（5）中标人的监理部成员专业应齐全且具有较高的职业道德，尽职尽责，认真、勤奋工作；</w:t>
      </w:r>
    </w:p>
    <w:p w14:paraId="589F7A7A">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（6）监理部工作人员应出具全日制上岗保证书。</w:t>
      </w:r>
    </w:p>
    <w:p w14:paraId="6AF0E816">
      <w:pPr>
        <w:keepNext w:val="0"/>
        <w:keepLines w:val="0"/>
        <w:pageBreakBefore w:val="0"/>
        <w:widowControl w:val="0"/>
        <w:kinsoku/>
        <w:wordWrap/>
        <w:overflowPunct/>
        <w:bidi w:val="0"/>
        <w:spacing w:line="360" w:lineRule="auto"/>
        <w:textAlignment w:val="auto"/>
        <w:outlineLvl w:val="0"/>
        <w:rPr>
          <w:rFonts w:ascii="宋体" w:hAnsi="宋体" w:cs="宋体"/>
          <w:b/>
          <w:color w:val="000000"/>
          <w:sz w:val="24"/>
          <w:szCs w:val="24"/>
        </w:rPr>
      </w:pPr>
      <w:bookmarkStart w:id="317" w:name="_Toc30012"/>
      <w:r>
        <w:rPr>
          <w:rFonts w:hint="eastAsia" w:ascii="宋体" w:hAnsi="宋体" w:cs="宋体"/>
          <w:b/>
          <w:color w:val="000000"/>
          <w:sz w:val="24"/>
          <w:szCs w:val="24"/>
        </w:rPr>
        <w:t>2、监理工作主要内容</w:t>
      </w:r>
      <w:bookmarkEnd w:id="317"/>
    </w:p>
    <w:p w14:paraId="61229485">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18" w:name="_Toc25856"/>
      <w:r>
        <w:rPr>
          <w:rFonts w:hint="eastAsia" w:ascii="宋体" w:hAnsi="宋体" w:cs="宋体"/>
          <w:b/>
          <w:color w:val="000000"/>
          <w:sz w:val="24"/>
          <w:szCs w:val="24"/>
        </w:rPr>
        <w:t>2.1工程施工质量控制</w:t>
      </w:r>
      <w:bookmarkEnd w:id="318"/>
    </w:p>
    <w:p w14:paraId="0FE3C8B4">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2.1.1为确保工程项目质量目标的全面实现，提高工程项目投资效益、社会效益和环境效益，根据工程施工合同规定的质量目标，对施工全过程的质量实施监督管理；</w:t>
      </w:r>
    </w:p>
    <w:p w14:paraId="785DC7CB">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2.1.2建立本项目的质量控制体系；</w:t>
      </w:r>
    </w:p>
    <w:p w14:paraId="29DC01BA">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2.1.3定期组织工地例会或安全会议的；</w:t>
      </w:r>
    </w:p>
    <w:p w14:paraId="679E797C">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2.1.4督促承包人建立健全与完善质量保证体系；</w:t>
      </w:r>
    </w:p>
    <w:p w14:paraId="7825F50C">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2.1.5审查承包人提交的施工组织设计或施工方案；</w:t>
      </w:r>
    </w:p>
    <w:p w14:paraId="6B8788A5">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2.1.6严格控制原材料、半成品、构配件及设备的质量；</w:t>
      </w:r>
    </w:p>
    <w:p w14:paraId="20E169AA">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2.1.7施工工艺过程质量控制：现场检查、旁站、量测、试验；</w:t>
      </w:r>
    </w:p>
    <w:p w14:paraId="7C7FFC13">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2.1.8隐蔽工程检查验收；</w:t>
      </w:r>
    </w:p>
    <w:p w14:paraId="73DF0359">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2.1.9审核设计变更及技术核定并经委托人同意；</w:t>
      </w:r>
    </w:p>
    <w:p w14:paraId="2E9A6E70">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2.1.10进行质量技术鉴定；</w:t>
      </w:r>
    </w:p>
    <w:p w14:paraId="0E212142">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2.1.11组织分项工程、分部工程、单位工程及单项工程的质量评定；</w:t>
      </w:r>
    </w:p>
    <w:p w14:paraId="086BE0A3">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2.1.12定期向委托人报告有关工程质量的动态情况；</w:t>
      </w:r>
    </w:p>
    <w:p w14:paraId="2FF506FE">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2.1.13组织工程竣工验收；</w:t>
      </w:r>
    </w:p>
    <w:p w14:paraId="585D1E0A">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2.1.14经建设单位同意后发布开工令、停工令、复工令；</w:t>
      </w:r>
    </w:p>
    <w:p w14:paraId="09A53E48">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2.1.15监督施工单位按合同质量标准施工，达到合格工程标准，符合验收条件。</w:t>
      </w:r>
    </w:p>
    <w:p w14:paraId="0C6668DC">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19" w:name="_Toc31067"/>
      <w:r>
        <w:rPr>
          <w:rFonts w:hint="eastAsia" w:ascii="宋体" w:hAnsi="宋体" w:cs="宋体"/>
          <w:b/>
          <w:color w:val="000000"/>
          <w:sz w:val="24"/>
          <w:szCs w:val="24"/>
        </w:rPr>
        <w:t>2.2工程施工进度控制</w:t>
      </w:r>
      <w:bookmarkEnd w:id="319"/>
    </w:p>
    <w:p w14:paraId="1E6C5942">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2.2.1编制工程施工进度控制工作细则；</w:t>
      </w:r>
    </w:p>
    <w:p w14:paraId="36E693A0">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2.2.2审核承包人提交的施工进度网络计划或横道图计划；</w:t>
      </w:r>
    </w:p>
    <w:p w14:paraId="52BCBA07">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2.2.3审核承包人提交的季、月施工进度计划；</w:t>
      </w:r>
    </w:p>
    <w:p w14:paraId="5B8B99CC">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2.2.4对施工进度实施动态控制，定期检查施工进度计划执行情况，对施工实际进度与进度计划进行比较，分析产生偏差的原因，并采取有效措施加以控制，以保证工程项目按期竣工交付使用；</w:t>
      </w:r>
    </w:p>
    <w:p w14:paraId="118D6AD0">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2.2.5定期向委托人报告工程施工进度的动态情况。</w:t>
      </w:r>
    </w:p>
    <w:p w14:paraId="66E0C565">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0" w:name="_Toc24003"/>
      <w:r>
        <w:rPr>
          <w:rFonts w:hint="eastAsia" w:ascii="宋体" w:hAnsi="宋体" w:cs="宋体"/>
          <w:b/>
          <w:color w:val="000000"/>
          <w:sz w:val="24"/>
          <w:szCs w:val="24"/>
        </w:rPr>
        <w:t>2.3工程施工投资控制</w:t>
      </w:r>
      <w:bookmarkEnd w:id="320"/>
    </w:p>
    <w:p w14:paraId="27CFA913">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2.3.1编制工程施工季、月资金使用计划；</w:t>
      </w:r>
    </w:p>
    <w:p w14:paraId="6BD0A64D">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2.3.2严格控制工程施工各项变更；</w:t>
      </w:r>
    </w:p>
    <w:p w14:paraId="5BCADE07">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2.3.3对主要技术方案进行技术经济分析；</w:t>
      </w:r>
    </w:p>
    <w:p w14:paraId="5DC6446D">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2.3.4核实、确认承包人已完工程量；</w:t>
      </w:r>
    </w:p>
    <w:p w14:paraId="2DE3EF2E">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2.3.5对工程建设投资实施动态控制，对实际投资与合同价进行比较，分析产生偏差的原因，并采取有效措施加以控制，以保证工程建设投资控制目标的实现；</w:t>
      </w:r>
    </w:p>
    <w:p w14:paraId="6A191D67">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2.3.6以施工合同为依据，及时、合理地处理工程索赔。加强主动监理，减少工程索赔；</w:t>
      </w:r>
    </w:p>
    <w:p w14:paraId="14FB3366">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2.3.7定期向委托人报告有关工程建设投资的动态情况；</w:t>
      </w:r>
    </w:p>
    <w:p w14:paraId="555CC994">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2.3.8编制工程施工结算文件。</w:t>
      </w:r>
    </w:p>
    <w:p w14:paraId="41B2AF96">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1" w:name="_Toc9941"/>
      <w:r>
        <w:rPr>
          <w:rFonts w:hint="eastAsia" w:ascii="宋体" w:hAnsi="宋体" w:cs="宋体"/>
          <w:b/>
          <w:color w:val="000000"/>
          <w:sz w:val="24"/>
          <w:szCs w:val="24"/>
        </w:rPr>
        <w:t>2.4安全、文明施工控制</w:t>
      </w:r>
      <w:bookmarkEnd w:id="321"/>
    </w:p>
    <w:p w14:paraId="6BF172E2">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2.4.1审核承包人提交的安全施工措施；</w:t>
      </w:r>
    </w:p>
    <w:p w14:paraId="5EA2FEAC">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2.4.2督促承包人落实安全施工措施；</w:t>
      </w:r>
    </w:p>
    <w:p w14:paraId="46ACB338">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2.4.3定期进行安全、文明施工检查，杜绝安全事故的发生；</w:t>
      </w:r>
    </w:p>
    <w:p w14:paraId="07A410DB">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2.4.4监督施工承包单位按照工程建设强制性标准和专项安全施工方案组织施工制止违规施工作业；</w:t>
      </w:r>
    </w:p>
    <w:p w14:paraId="32BE3C62">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2.4.5督促施工承包单位定期组织施工现场安全生产自查工作。</w:t>
      </w:r>
    </w:p>
    <w:p w14:paraId="3C0E7FAC">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2" w:name="_Toc6316"/>
      <w:r>
        <w:rPr>
          <w:rFonts w:hint="eastAsia" w:ascii="宋体" w:hAnsi="宋体" w:cs="宋体"/>
          <w:b/>
          <w:color w:val="000000"/>
          <w:sz w:val="24"/>
          <w:szCs w:val="24"/>
        </w:rPr>
        <w:t>2.5工程建设合同管理</w:t>
      </w:r>
      <w:bookmarkEnd w:id="322"/>
    </w:p>
    <w:p w14:paraId="200CC1FB">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2.5.1协助委托人签订工程施工合同；</w:t>
      </w:r>
    </w:p>
    <w:p w14:paraId="617815F2">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2.5.2审核分包商及劳务队伍的资质情况，随时抽查上岗人员证书情况。</w:t>
      </w:r>
    </w:p>
    <w:p w14:paraId="677666A6">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2.5.3督促合同双方全面履行工程施工合同；</w:t>
      </w:r>
    </w:p>
    <w:p w14:paraId="18B2268B">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2.5.4公正、科学、合理地处理施工合同纠纷；</w:t>
      </w:r>
    </w:p>
    <w:p w14:paraId="304B80A5">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2.5.5定期向委托人报告施工合同的执行情况。</w:t>
      </w:r>
    </w:p>
    <w:p w14:paraId="353B366E">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3" w:name="_Toc3117"/>
      <w:r>
        <w:rPr>
          <w:rFonts w:hint="eastAsia" w:ascii="宋体" w:hAnsi="宋体" w:cs="宋体"/>
          <w:b/>
          <w:color w:val="000000"/>
          <w:sz w:val="24"/>
          <w:szCs w:val="24"/>
        </w:rPr>
        <w:t>2.6工程施工信息管理</w:t>
      </w:r>
      <w:bookmarkEnd w:id="323"/>
    </w:p>
    <w:p w14:paraId="673DD42D">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2.6.1及时收集、整理工程施工质量信息、进度信息、投资信息、合同管理信息，为各项决策提供服务；</w:t>
      </w:r>
    </w:p>
    <w:p w14:paraId="3364469F">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2.6.2利用计算机管理技术建立工程施工信息档案。</w:t>
      </w:r>
    </w:p>
    <w:p w14:paraId="67CC2325">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4" w:name="_Toc1548"/>
      <w:r>
        <w:rPr>
          <w:rFonts w:hint="eastAsia" w:ascii="宋体" w:hAnsi="宋体" w:cs="宋体"/>
          <w:b/>
          <w:color w:val="000000"/>
          <w:sz w:val="24"/>
          <w:szCs w:val="24"/>
        </w:rPr>
        <w:t>2.7协调工程施工各有关单位的工作关系</w:t>
      </w:r>
      <w:bookmarkEnd w:id="324"/>
    </w:p>
    <w:p w14:paraId="563748EF">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2.7.1协助委托人协调工程施工外部关系；</w:t>
      </w:r>
    </w:p>
    <w:p w14:paraId="25194240">
      <w:pPr>
        <w:keepNext w:val="0"/>
        <w:keepLines w:val="0"/>
        <w:pageBreakBefore w:val="0"/>
        <w:widowControl w:val="0"/>
        <w:kinsoku/>
        <w:wordWrap/>
        <w:overflowPunct/>
        <w:bidi w:val="0"/>
        <w:spacing w:line="360" w:lineRule="auto"/>
        <w:textAlignment w:val="auto"/>
        <w:rPr>
          <w:rFonts w:ascii="宋体" w:hAnsi="宋体" w:cs="宋体"/>
          <w:color w:val="000000"/>
          <w:sz w:val="24"/>
          <w:szCs w:val="24"/>
        </w:rPr>
      </w:pPr>
      <w:r>
        <w:rPr>
          <w:rFonts w:hint="eastAsia" w:ascii="宋体" w:hAnsi="宋体" w:cs="宋体"/>
          <w:color w:val="000000"/>
          <w:sz w:val="24"/>
          <w:szCs w:val="24"/>
        </w:rPr>
        <w:t>2.7.2协调工程施工中委托人、设计单位、承包人之间的关系。</w:t>
      </w:r>
    </w:p>
    <w:p w14:paraId="042FD729">
      <w:pPr>
        <w:keepNext w:val="0"/>
        <w:keepLines w:val="0"/>
        <w:pageBreakBefore w:val="0"/>
        <w:widowControl w:val="0"/>
        <w:kinsoku/>
        <w:wordWrap/>
        <w:overflowPunct/>
        <w:bidi w:val="0"/>
        <w:spacing w:line="360" w:lineRule="auto"/>
        <w:textAlignment w:val="auto"/>
        <w:outlineLvl w:val="1"/>
        <w:rPr>
          <w:rFonts w:ascii="宋体" w:hAnsi="宋体" w:cs="宋体"/>
          <w:b/>
          <w:color w:val="000000"/>
          <w:sz w:val="24"/>
          <w:szCs w:val="24"/>
        </w:rPr>
      </w:pPr>
      <w:bookmarkStart w:id="325" w:name="_Toc19708"/>
      <w:r>
        <w:rPr>
          <w:rFonts w:hint="eastAsia" w:ascii="宋体" w:hAnsi="宋体" w:cs="宋体"/>
          <w:b/>
          <w:color w:val="000000"/>
          <w:sz w:val="24"/>
          <w:szCs w:val="24"/>
        </w:rPr>
        <w:t>2.8工程竣工后，依据监理合同的要求，监理单位应向委托人提供监理合同规定套数的完整的监理数据。</w:t>
      </w:r>
      <w:bookmarkEnd w:id="325"/>
    </w:p>
    <w:p w14:paraId="336F4711">
      <w:pPr>
        <w:pStyle w:val="2"/>
        <w:numPr>
          <w:ilvl w:val="0"/>
          <w:numId w:val="0"/>
        </w:numPr>
        <w:spacing w:line="240" w:lineRule="auto"/>
        <w:jc w:val="center"/>
        <w:rPr>
          <w:color w:val="000000"/>
        </w:rPr>
      </w:pPr>
      <w:r>
        <w:rPr>
          <w:rStyle w:val="23"/>
          <w:rFonts w:hint="eastAsia" w:ascii="Times New Roman" w:hAnsi="Times New Roman" w:eastAsia="宋体" w:cs="Times New Roman"/>
          <w:b/>
          <w:bCs/>
          <w:lang w:val="en-US" w:eastAsia="zh-CN" w:bidi="ar-SA"/>
        </w:rPr>
        <w:br w:type="page"/>
      </w:r>
      <w:bookmarkStart w:id="326" w:name="_Toc3902"/>
      <w:bookmarkStart w:id="327" w:name="_Toc28610"/>
      <w:bookmarkStart w:id="328" w:name="_Toc1395"/>
      <w:r>
        <w:rPr>
          <w:rStyle w:val="23"/>
          <w:rFonts w:hint="eastAsia" w:ascii="Times New Roman" w:hAnsi="Times New Roman" w:eastAsia="宋体" w:cs="Times New Roman"/>
          <w:b/>
          <w:bCs/>
          <w:lang w:val="en-US" w:eastAsia="zh-CN" w:bidi="ar-SA"/>
        </w:rPr>
        <w:t>第六章 响应文件格式</w:t>
      </w:r>
      <w:bookmarkEnd w:id="299"/>
      <w:bookmarkEnd w:id="300"/>
      <w:bookmarkEnd w:id="301"/>
      <w:bookmarkEnd w:id="302"/>
      <w:bookmarkEnd w:id="303"/>
      <w:bookmarkEnd w:id="304"/>
      <w:bookmarkEnd w:id="305"/>
      <w:bookmarkEnd w:id="306"/>
      <w:bookmarkEnd w:id="307"/>
      <w:bookmarkEnd w:id="326"/>
      <w:bookmarkEnd w:id="327"/>
      <w:bookmarkEnd w:id="328"/>
    </w:p>
    <w:p w14:paraId="41C954C5">
      <w:pPr>
        <w:pStyle w:val="7"/>
        <w:rPr>
          <w:color w:val="000000"/>
        </w:rPr>
      </w:pPr>
    </w:p>
    <w:p w14:paraId="4CBD6D81">
      <w:pPr>
        <w:pStyle w:val="7"/>
        <w:rPr>
          <w:color w:val="000000"/>
        </w:rPr>
      </w:pPr>
    </w:p>
    <w:p w14:paraId="6F493C01">
      <w:pPr>
        <w:pStyle w:val="7"/>
        <w:rPr>
          <w:color w:val="000000"/>
        </w:rPr>
      </w:pPr>
    </w:p>
    <w:p w14:paraId="35C1804E">
      <w:pPr>
        <w:pStyle w:val="7"/>
        <w:rPr>
          <w:color w:val="000000"/>
        </w:rPr>
      </w:pPr>
    </w:p>
    <w:p w14:paraId="12BC0208">
      <w:pPr>
        <w:jc w:val="both"/>
        <w:rPr>
          <w:rFonts w:hint="eastAsia" w:ascii="宋体" w:hAnsi="宋体" w:cs="宋体"/>
          <w:color w:val="000000"/>
          <w:sz w:val="28"/>
          <w:szCs w:val="28"/>
          <w:u w:val="single"/>
        </w:rPr>
      </w:pPr>
    </w:p>
    <w:p w14:paraId="045A0356">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u w:val="single"/>
        </w:rPr>
        <w:t xml:space="preserve">                       </w:t>
      </w:r>
      <w:r>
        <w:rPr>
          <w:rFonts w:hint="eastAsia" w:ascii="宋体" w:hAnsi="宋体" w:cs="宋体"/>
          <w:color w:val="000000"/>
          <w:sz w:val="28"/>
          <w:szCs w:val="28"/>
        </w:rPr>
        <w:t>（项目名称）</w:t>
      </w:r>
    </w:p>
    <w:p w14:paraId="2236CBBA">
      <w:pPr>
        <w:ind w:firstLine="1960" w:firstLineChars="700"/>
        <w:rPr>
          <w:rFonts w:hint="eastAsia" w:ascii="宋体" w:hAnsi="宋体" w:cs="宋体"/>
          <w:color w:val="000000"/>
          <w:sz w:val="28"/>
          <w:szCs w:val="28"/>
        </w:rPr>
      </w:pPr>
    </w:p>
    <w:p w14:paraId="7CD15650">
      <w:pPr>
        <w:ind w:firstLine="1960" w:firstLineChars="700"/>
        <w:rPr>
          <w:rFonts w:hint="eastAsia" w:ascii="宋体" w:hAnsi="宋体" w:cs="宋体"/>
          <w:color w:val="000000"/>
          <w:sz w:val="28"/>
          <w:szCs w:val="28"/>
        </w:rPr>
      </w:pPr>
    </w:p>
    <w:p w14:paraId="1C9FEF80">
      <w:pPr>
        <w:ind w:firstLine="1960" w:firstLineChars="700"/>
        <w:rPr>
          <w:rFonts w:hint="eastAsia" w:ascii="宋体" w:hAnsi="宋体" w:cs="宋体"/>
          <w:color w:val="000000"/>
          <w:sz w:val="28"/>
          <w:szCs w:val="28"/>
          <w:u w:val="single"/>
        </w:rPr>
      </w:pPr>
      <w:r>
        <w:rPr>
          <w:rFonts w:hint="eastAsia" w:ascii="宋体" w:hAnsi="宋体" w:cs="宋体"/>
          <w:color w:val="000000"/>
          <w:sz w:val="28"/>
          <w:szCs w:val="28"/>
        </w:rPr>
        <w:t>项目编号：</w:t>
      </w:r>
      <w:r>
        <w:rPr>
          <w:rFonts w:hint="eastAsia" w:ascii="宋体" w:hAnsi="宋体" w:cs="宋体"/>
          <w:color w:val="000000"/>
          <w:sz w:val="28"/>
          <w:szCs w:val="28"/>
          <w:u w:val="single"/>
        </w:rPr>
        <w:t xml:space="preserve">              </w:t>
      </w:r>
    </w:p>
    <w:p w14:paraId="3414E795">
      <w:pPr>
        <w:rPr>
          <w:rFonts w:eastAsia="黑体"/>
          <w:color w:val="000000"/>
          <w:sz w:val="20"/>
          <w:szCs w:val="20"/>
        </w:rPr>
      </w:pPr>
    </w:p>
    <w:p w14:paraId="0B1ABC05">
      <w:pPr>
        <w:rPr>
          <w:rFonts w:eastAsia="黑体"/>
          <w:color w:val="000000"/>
          <w:sz w:val="20"/>
          <w:szCs w:val="20"/>
        </w:rPr>
      </w:pPr>
    </w:p>
    <w:p w14:paraId="575B1019">
      <w:pPr>
        <w:jc w:val="center"/>
        <w:rPr>
          <w:rFonts w:hint="eastAsia" w:ascii="宋体" w:hAnsi="宋体" w:cs="宋体"/>
          <w:b/>
          <w:bCs/>
          <w:color w:val="000000"/>
          <w:sz w:val="52"/>
          <w:szCs w:val="52"/>
        </w:rPr>
      </w:pPr>
      <w:r>
        <w:rPr>
          <w:rFonts w:hint="eastAsia" w:ascii="宋体" w:hAnsi="宋体" w:cs="宋体"/>
          <w:b/>
          <w:bCs/>
          <w:color w:val="000000"/>
          <w:sz w:val="52"/>
          <w:szCs w:val="52"/>
          <w:lang w:val="en-US" w:eastAsia="zh-CN"/>
        </w:rPr>
        <w:t>响  应</w:t>
      </w:r>
      <w:r>
        <w:rPr>
          <w:rFonts w:hint="eastAsia" w:ascii="宋体" w:hAnsi="宋体" w:cs="宋体"/>
          <w:b/>
          <w:bCs/>
          <w:color w:val="000000"/>
          <w:sz w:val="52"/>
          <w:szCs w:val="52"/>
        </w:rPr>
        <w:t xml:space="preserve">  文  件</w:t>
      </w:r>
    </w:p>
    <w:p w14:paraId="6963548F">
      <w:pPr>
        <w:rPr>
          <w:rFonts w:eastAsia="黑体"/>
          <w:color w:val="000000"/>
          <w:sz w:val="28"/>
          <w:szCs w:val="28"/>
        </w:rPr>
      </w:pPr>
    </w:p>
    <w:p w14:paraId="3581F923">
      <w:pPr>
        <w:jc w:val="left"/>
        <w:rPr>
          <w:rFonts w:eastAsia="黑体"/>
          <w:color w:val="000000"/>
          <w:sz w:val="28"/>
          <w:szCs w:val="28"/>
        </w:rPr>
      </w:pPr>
      <w:bookmarkStart w:id="329" w:name="_Toc246996355"/>
      <w:bookmarkStart w:id="330" w:name="_Toc247085873"/>
      <w:bookmarkStart w:id="331" w:name="_Toc144974856"/>
      <w:bookmarkStart w:id="332" w:name="_Toc12738"/>
      <w:bookmarkStart w:id="333" w:name="_Toc246997098"/>
      <w:bookmarkStart w:id="334" w:name="_Toc25569"/>
      <w:bookmarkStart w:id="335" w:name="_Toc152045787"/>
      <w:bookmarkStart w:id="336" w:name="_Toc179632807"/>
      <w:bookmarkStart w:id="337" w:name="_Toc296602601"/>
      <w:bookmarkStart w:id="338" w:name="_Toc152042576"/>
    </w:p>
    <w:p w14:paraId="202C0F31">
      <w:pPr>
        <w:jc w:val="left"/>
        <w:rPr>
          <w:rFonts w:eastAsia="黑体"/>
          <w:color w:val="000000"/>
          <w:sz w:val="28"/>
          <w:szCs w:val="28"/>
        </w:rPr>
      </w:pPr>
    </w:p>
    <w:p w14:paraId="1555C799">
      <w:pPr>
        <w:jc w:val="left"/>
        <w:rPr>
          <w:rFonts w:eastAsia="黑体"/>
          <w:color w:val="000000"/>
          <w:sz w:val="28"/>
          <w:szCs w:val="28"/>
        </w:rPr>
      </w:pPr>
    </w:p>
    <w:p w14:paraId="67154652">
      <w:pPr>
        <w:jc w:val="left"/>
        <w:rPr>
          <w:rFonts w:eastAsia="黑体"/>
          <w:color w:val="000000"/>
          <w:sz w:val="28"/>
          <w:szCs w:val="28"/>
        </w:rPr>
      </w:pPr>
    </w:p>
    <w:p w14:paraId="0D80E28A">
      <w:pPr>
        <w:jc w:val="left"/>
        <w:rPr>
          <w:rFonts w:eastAsia="黑体"/>
          <w:color w:val="000000"/>
          <w:sz w:val="28"/>
          <w:szCs w:val="28"/>
        </w:rPr>
      </w:pPr>
    </w:p>
    <w:p w14:paraId="565121AD">
      <w:pPr>
        <w:spacing w:line="360" w:lineRule="auto"/>
        <w:jc w:val="center"/>
        <w:rPr>
          <w:rFonts w:hint="eastAsia" w:ascii="宋体" w:hAnsi="宋体" w:cs="宋体"/>
          <w:color w:val="auto"/>
          <w:sz w:val="28"/>
          <w:szCs w:val="28"/>
          <w:highlight w:val="none"/>
        </w:rPr>
      </w:pPr>
      <w:r>
        <w:rPr>
          <w:rFonts w:hint="eastAsia" w:ascii="宋体" w:hAnsi="宋体" w:eastAsia="宋体" w:cs="宋体"/>
          <w:sz w:val="28"/>
          <w:szCs w:val="28"/>
          <w:highlight w:val="none"/>
        </w:rPr>
        <w:t>供应商：</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 xml:space="preserve"> （公章签章）</w:t>
      </w:r>
    </w:p>
    <w:p w14:paraId="00D8BF53">
      <w:pPr>
        <w:spacing w:line="360" w:lineRule="auto"/>
        <w:jc w:val="center"/>
        <w:rPr>
          <w:rFonts w:hint="eastAsia" w:ascii="宋体" w:hAnsi="宋体" w:cs="宋体"/>
          <w:color w:val="auto"/>
          <w:sz w:val="28"/>
          <w:szCs w:val="28"/>
          <w:highlight w:val="none"/>
        </w:rPr>
      </w:pPr>
      <w:r>
        <w:rPr>
          <w:rFonts w:hint="eastAsia" w:ascii="宋体" w:hAnsi="宋体" w:eastAsia="宋体" w:cs="宋体"/>
          <w:sz w:val="28"/>
          <w:szCs w:val="28"/>
          <w:highlight w:val="none"/>
        </w:rPr>
        <w:t>法定代表人：</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（电子签章）</w:t>
      </w:r>
    </w:p>
    <w:p w14:paraId="74E475E5">
      <w:pPr>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日期：</w:t>
      </w:r>
      <w:r>
        <w:rPr>
          <w:rFonts w:hint="eastAsia" w:ascii="宋体" w:hAnsi="宋体" w:eastAsia="宋体" w:cs="宋体"/>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eastAsia="宋体" w:cs="宋体"/>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eastAsia="宋体" w:cs="宋体"/>
          <w:sz w:val="28"/>
          <w:szCs w:val="28"/>
          <w:highlight w:val="none"/>
          <w:u w:val="single"/>
        </w:rPr>
        <w:t xml:space="preserve">      </w:t>
      </w:r>
      <w:r>
        <w:rPr>
          <w:rFonts w:hint="eastAsia" w:ascii="宋体" w:hAnsi="宋体" w:cs="宋体"/>
          <w:color w:val="auto"/>
          <w:sz w:val="28"/>
          <w:szCs w:val="28"/>
          <w:highlight w:val="none"/>
        </w:rPr>
        <w:t>日</w:t>
      </w:r>
    </w:p>
    <w:p w14:paraId="4DB68A80">
      <w:pPr>
        <w:spacing w:line="440" w:lineRule="exact"/>
        <w:jc w:val="both"/>
        <w:rPr>
          <w:rFonts w:hint="eastAsia"/>
          <w:b/>
          <w:bCs/>
          <w:color w:val="000000"/>
          <w:sz w:val="32"/>
          <w:szCs w:val="32"/>
        </w:rPr>
      </w:pPr>
    </w:p>
    <w:p w14:paraId="5E43C323">
      <w:pPr>
        <w:spacing w:line="440" w:lineRule="exact"/>
        <w:jc w:val="center"/>
        <w:rPr>
          <w:b/>
          <w:bCs/>
          <w:color w:val="000000"/>
          <w:sz w:val="36"/>
          <w:szCs w:val="36"/>
        </w:rPr>
      </w:pPr>
      <w:r>
        <w:rPr>
          <w:rFonts w:hint="eastAsia"/>
          <w:b/>
          <w:bCs/>
          <w:color w:val="000000"/>
          <w:sz w:val="36"/>
          <w:szCs w:val="36"/>
        </w:rPr>
        <w:br w:type="page"/>
      </w:r>
      <w:r>
        <w:rPr>
          <w:rFonts w:hint="eastAsia"/>
          <w:b/>
          <w:bCs/>
          <w:color w:val="000000"/>
          <w:sz w:val="36"/>
          <w:szCs w:val="36"/>
        </w:rPr>
        <w:t>目    录</w:t>
      </w:r>
      <w:bookmarkEnd w:id="329"/>
      <w:bookmarkEnd w:id="330"/>
      <w:bookmarkEnd w:id="331"/>
      <w:bookmarkEnd w:id="332"/>
      <w:bookmarkEnd w:id="333"/>
      <w:bookmarkEnd w:id="334"/>
      <w:bookmarkEnd w:id="335"/>
      <w:bookmarkEnd w:id="336"/>
      <w:bookmarkEnd w:id="337"/>
      <w:bookmarkEnd w:id="338"/>
    </w:p>
    <w:p w14:paraId="0DA070A3">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ascii="宋体" w:hAnsi="宋体" w:eastAsia="宋体" w:cs="宋体"/>
          <w:color w:val="000000"/>
          <w:sz w:val="32"/>
          <w:szCs w:val="32"/>
        </w:rPr>
      </w:pPr>
      <w:r>
        <w:rPr>
          <w:rFonts w:hint="eastAsia"/>
          <w:color w:val="000000"/>
          <w:lang w:eastAsia="zh-CN"/>
        </w:rPr>
        <w:t>（</w:t>
      </w:r>
      <w:r>
        <w:rPr>
          <w:rFonts w:hint="eastAsia"/>
          <w:color w:val="000000"/>
          <w:lang w:val="en-US" w:eastAsia="zh-CN"/>
        </w:rPr>
        <w:t>自拟）</w:t>
      </w:r>
      <w:r>
        <w:rPr>
          <w:color w:val="000000"/>
        </w:rPr>
        <w:br w:type="page"/>
      </w:r>
      <w:bookmarkEnd w:id="308"/>
      <w:bookmarkEnd w:id="309"/>
      <w:bookmarkEnd w:id="310"/>
      <w:bookmarkEnd w:id="311"/>
      <w:bookmarkEnd w:id="312"/>
      <w:bookmarkEnd w:id="313"/>
      <w:bookmarkEnd w:id="314"/>
      <w:bookmarkEnd w:id="315"/>
      <w:bookmarkEnd w:id="316"/>
      <w:bookmarkStart w:id="339" w:name="_Toc23154484"/>
      <w:bookmarkStart w:id="340" w:name="_Toc451956877"/>
      <w:r>
        <w:rPr>
          <w:rFonts w:hint="eastAsia" w:ascii="宋体" w:hAnsi="宋体" w:eastAsia="宋体" w:cs="宋体"/>
          <w:b/>
          <w:bCs/>
          <w:color w:val="000000"/>
          <w:sz w:val="32"/>
          <w:szCs w:val="32"/>
        </w:rPr>
        <w:t>一、磋商响应书及报价</w:t>
      </w:r>
      <w:bookmarkEnd w:id="339"/>
      <w:bookmarkEnd w:id="340"/>
      <w:r>
        <w:rPr>
          <w:rFonts w:hint="eastAsia" w:ascii="宋体" w:hAnsi="宋体" w:eastAsia="宋体" w:cs="宋体"/>
          <w:b/>
          <w:bCs/>
          <w:color w:val="000000"/>
          <w:sz w:val="32"/>
          <w:szCs w:val="32"/>
        </w:rPr>
        <w:t>函</w:t>
      </w:r>
    </w:p>
    <w:p w14:paraId="23BE11B2">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outlineLvl w:val="9"/>
        <w:rPr>
          <w:rFonts w:hint="eastAsia" w:ascii="宋体" w:hAnsi="宋体" w:eastAsia="宋体" w:cs="宋体"/>
          <w:b/>
          <w:bCs/>
          <w:sz w:val="18"/>
          <w:szCs w:val="18"/>
        </w:rPr>
      </w:pPr>
    </w:p>
    <w:p w14:paraId="5876D4C6">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outlineLvl w:val="9"/>
        <w:rPr>
          <w:rFonts w:hint="eastAsia" w:ascii="宋体" w:hAnsi="宋体" w:eastAsia="宋体" w:cs="宋体"/>
          <w:b/>
          <w:bCs/>
          <w:sz w:val="30"/>
          <w:szCs w:val="30"/>
        </w:rPr>
      </w:pPr>
      <w:r>
        <w:rPr>
          <w:rFonts w:hint="eastAsia" w:ascii="宋体" w:hAnsi="宋体" w:eastAsia="宋体" w:cs="宋体"/>
          <w:b/>
          <w:bCs/>
          <w:sz w:val="30"/>
          <w:szCs w:val="30"/>
        </w:rPr>
        <w:t>（一）、磋商响应书</w:t>
      </w:r>
    </w:p>
    <w:p w14:paraId="2080086C">
      <w:pPr>
        <w:snapToGrid w:val="0"/>
        <w:spacing w:before="156" w:beforeLines="50" w:after="156" w:afterLines="50" w:line="360" w:lineRule="auto"/>
        <w:outlineLvl w:val="9"/>
        <w:rPr>
          <w:rFonts w:hint="eastAsia" w:ascii="宋体" w:hAnsi="宋体" w:eastAsia="宋体" w:cs="宋体"/>
          <w:sz w:val="24"/>
        </w:rPr>
      </w:pPr>
      <w:bookmarkStart w:id="341" w:name="_Toc60537392"/>
      <w:r>
        <w:rPr>
          <w:rFonts w:hint="eastAsia" w:ascii="宋体" w:hAnsi="宋体" w:eastAsia="宋体" w:cs="宋体"/>
          <w:sz w:val="24"/>
        </w:rPr>
        <w:t>致</w:t>
      </w:r>
      <w:r>
        <w:rPr>
          <w:rFonts w:hint="eastAsia" w:ascii="宋体" w:hAnsi="宋体" w:eastAsia="宋体" w:cs="宋体"/>
          <w:sz w:val="24"/>
          <w:u w:val="single"/>
        </w:rPr>
        <w:t xml:space="preserve"> (采购人名称)            </w:t>
      </w:r>
      <w:r>
        <w:rPr>
          <w:rFonts w:hint="eastAsia" w:ascii="宋体" w:hAnsi="宋体" w:eastAsia="宋体" w:cs="宋体"/>
          <w:sz w:val="24"/>
        </w:rPr>
        <w:t>：</w:t>
      </w:r>
    </w:p>
    <w:p w14:paraId="7C2B057F">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根据贵方</w:t>
      </w:r>
      <w:r>
        <w:rPr>
          <w:rFonts w:hint="eastAsia" w:ascii="宋体" w:hAnsi="宋体" w:eastAsia="宋体" w:cs="宋体"/>
          <w:sz w:val="24"/>
          <w:u w:val="single"/>
        </w:rPr>
        <w:t xml:space="preserve">（项目名称） </w:t>
      </w:r>
      <w:r>
        <w:rPr>
          <w:rFonts w:hint="eastAsia" w:ascii="宋体" w:hAnsi="宋体" w:eastAsia="宋体" w:cs="宋体"/>
          <w:sz w:val="24"/>
        </w:rPr>
        <w:t>磋商文件，我方针对该项目的报价为（大写）：</w:t>
      </w:r>
      <w:r>
        <w:rPr>
          <w:rFonts w:hint="eastAsia" w:ascii="宋体" w:hAnsi="宋体" w:eastAsia="宋体" w:cs="宋体"/>
          <w:sz w:val="24"/>
          <w:u w:val="single"/>
        </w:rPr>
        <w:t xml:space="preserve">       </w:t>
      </w:r>
      <w:r>
        <w:rPr>
          <w:rFonts w:hint="eastAsia" w:ascii="宋体" w:hAnsi="宋体" w:eastAsia="宋体" w:cs="宋体"/>
          <w:sz w:val="24"/>
        </w:rPr>
        <w:t>，（小写）</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元</w:t>
      </w:r>
      <w:r>
        <w:rPr>
          <w:rFonts w:hint="eastAsia" w:ascii="宋体" w:hAnsi="宋体" w:eastAsia="宋体" w:cs="宋体"/>
          <w:sz w:val="24"/>
        </w:rPr>
        <w:t>，</w:t>
      </w:r>
      <w:r>
        <w:rPr>
          <w:rFonts w:hint="eastAsia" w:ascii="宋体" w:hAnsi="宋体" w:eastAsia="宋体" w:cs="宋体"/>
          <w:sz w:val="24"/>
          <w:lang w:eastAsia="zh-CN"/>
        </w:rPr>
        <w:t>监理服务期为：</w:t>
      </w:r>
      <w:r>
        <w:rPr>
          <w:rFonts w:hint="eastAsia" w:ascii="宋体" w:hAnsi="宋体" w:eastAsia="宋体" w:cs="宋体"/>
          <w:sz w:val="24"/>
          <w:u w:val="single"/>
          <w:lang w:val="en-US" w:eastAsia="zh-CN"/>
        </w:rPr>
        <w:t xml:space="preserve">      </w:t>
      </w:r>
      <w:r>
        <w:rPr>
          <w:rFonts w:hint="eastAsia" w:ascii="宋体" w:hAnsi="宋体" w:eastAsia="宋体" w:cs="宋体"/>
          <w:sz w:val="24"/>
        </w:rPr>
        <w:t>，按合同约定实施和完成</w:t>
      </w:r>
      <w:r>
        <w:rPr>
          <w:rFonts w:hint="eastAsia" w:ascii="宋体" w:hAnsi="宋体" w:eastAsia="宋体" w:cs="宋体"/>
          <w:sz w:val="24"/>
          <w:lang w:eastAsia="zh-CN"/>
        </w:rPr>
        <w:t>监理</w:t>
      </w:r>
      <w:r>
        <w:rPr>
          <w:rFonts w:hint="eastAsia" w:ascii="宋体" w:hAnsi="宋体" w:eastAsia="宋体" w:cs="宋体"/>
          <w:sz w:val="24"/>
        </w:rPr>
        <w:t>任务，质量要求达到</w:t>
      </w:r>
      <w:r>
        <w:rPr>
          <w:rFonts w:hint="eastAsia" w:ascii="宋体" w:hAnsi="宋体" w:eastAsia="宋体" w:cs="宋体"/>
          <w:sz w:val="24"/>
          <w:u w:val="single"/>
        </w:rPr>
        <w:t xml:space="preserve">             </w:t>
      </w:r>
      <w:r>
        <w:rPr>
          <w:rFonts w:hint="eastAsia" w:ascii="宋体" w:hAnsi="宋体" w:eastAsia="宋体" w:cs="宋体"/>
          <w:sz w:val="24"/>
        </w:rPr>
        <w:t>。</w:t>
      </w:r>
    </w:p>
    <w:p w14:paraId="2FAD3235">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据此函，我方宣布按如下条款执行：</w:t>
      </w:r>
    </w:p>
    <w:p w14:paraId="54AD2FDE">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1、我方承诺在</w:t>
      </w:r>
      <w:r>
        <w:rPr>
          <w:rFonts w:hint="eastAsia" w:ascii="宋体" w:hAnsi="宋体" w:eastAsia="宋体" w:cs="宋体"/>
          <w:color w:val="auto"/>
          <w:kern w:val="2"/>
          <w:sz w:val="24"/>
          <w:szCs w:val="24"/>
          <w:lang w:val="en-US" w:eastAsia="zh-CN" w:bidi="ar-SA"/>
        </w:rPr>
        <w:t>磋商</w:t>
      </w:r>
      <w:r>
        <w:rPr>
          <w:rFonts w:hint="eastAsia" w:ascii="宋体" w:hAnsi="宋体" w:eastAsia="宋体" w:cs="宋体"/>
          <w:sz w:val="24"/>
        </w:rPr>
        <w:t>有效期</w:t>
      </w:r>
      <w:r>
        <w:rPr>
          <w:rFonts w:hint="eastAsia" w:ascii="宋体" w:hAnsi="宋体" w:cs="宋体"/>
          <w:sz w:val="24"/>
          <w:u w:val="single"/>
          <w:lang w:val="en-US" w:eastAsia="zh-CN"/>
        </w:rPr>
        <w:t xml:space="preserve">   </w:t>
      </w:r>
      <w:r>
        <w:rPr>
          <w:rFonts w:hint="eastAsia" w:ascii="宋体" w:hAnsi="宋体" w:eastAsia="宋体" w:cs="宋体"/>
          <w:sz w:val="24"/>
        </w:rPr>
        <w:t>内不修改、撤销响应文件。</w:t>
      </w:r>
    </w:p>
    <w:p w14:paraId="143ACD8B">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 xml:space="preserve">2、 如我方成交： </w:t>
      </w:r>
    </w:p>
    <w:p w14:paraId="666342AF">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（1）我方承诺在收到成交通知书后，在成交通知书规定的期限内与你方签订合同。</w:t>
      </w:r>
    </w:p>
    <w:p w14:paraId="3A960C92">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 xml:space="preserve">（2）随同本磋商响应书递交的第一轮报价表属于合同文件的组成部分。 </w:t>
      </w:r>
    </w:p>
    <w:p w14:paraId="63C2F795">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 xml:space="preserve">（3）我方承诺在合同约定的期限内完成并移交全部工作内容。 </w:t>
      </w:r>
    </w:p>
    <w:p w14:paraId="130BB4C4">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3、我方明白采购人不一定接纳最低</w:t>
      </w:r>
      <w:r>
        <w:rPr>
          <w:rFonts w:hint="eastAsia" w:ascii="宋体" w:hAnsi="宋体" w:eastAsia="宋体" w:cs="宋体"/>
          <w:color w:val="auto"/>
          <w:kern w:val="2"/>
          <w:sz w:val="24"/>
          <w:szCs w:val="24"/>
          <w:lang w:val="en-US" w:eastAsia="zh-CN" w:bidi="ar-SA"/>
        </w:rPr>
        <w:t>磋商</w:t>
      </w:r>
      <w:r>
        <w:rPr>
          <w:rFonts w:hint="eastAsia" w:ascii="宋体" w:hAnsi="宋体" w:eastAsia="宋体" w:cs="宋体"/>
          <w:sz w:val="24"/>
        </w:rPr>
        <w:t>报价的投标，也不需要采购人解释选择或否决任何供应商的原因和理由。</w:t>
      </w:r>
    </w:p>
    <w:p w14:paraId="36E68434">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4、如果在开标后规定的</w:t>
      </w:r>
      <w:r>
        <w:rPr>
          <w:rFonts w:hint="eastAsia" w:ascii="宋体" w:hAnsi="宋体" w:eastAsia="宋体" w:cs="宋体"/>
          <w:color w:val="auto"/>
          <w:kern w:val="2"/>
          <w:sz w:val="24"/>
          <w:szCs w:val="24"/>
          <w:lang w:val="en-US" w:eastAsia="zh-CN" w:bidi="ar-SA"/>
        </w:rPr>
        <w:t>磋商</w:t>
      </w:r>
      <w:r>
        <w:rPr>
          <w:rFonts w:hint="eastAsia" w:ascii="宋体" w:hAnsi="宋体" w:eastAsia="宋体" w:cs="宋体"/>
          <w:sz w:val="24"/>
        </w:rPr>
        <w:t>有效期内撤回投标或者中标后不交纳招标代理费，我们的投标保证金可被贵方没收。</w:t>
      </w:r>
    </w:p>
    <w:p w14:paraId="02CB58EB">
      <w:pPr>
        <w:snapToGrid w:val="0"/>
        <w:spacing w:before="156" w:beforeLines="50" w:after="156" w:afterLines="50"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5、我方在此声明，所递交的响应文件及有关资料内容完整、真实和准确。</w:t>
      </w:r>
    </w:p>
    <w:p w14:paraId="05740033">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3A65E366">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41160EB1">
      <w:pPr>
        <w:spacing w:line="360" w:lineRule="auto"/>
        <w:ind w:firstLine="4200" w:firstLineChars="175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p>
    <w:p w14:paraId="692CB331">
      <w:pPr>
        <w:spacing w:line="360" w:lineRule="auto"/>
        <w:ind w:firstLine="4200" w:firstLineChars="175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p>
    <w:p w14:paraId="4E5C1760">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4ADE910E">
      <w:pPr>
        <w:pStyle w:val="4"/>
        <w:ind w:left="0" w:leftChars="0" w:firstLine="0" w:firstLineChars="0"/>
        <w:rPr>
          <w:rFonts w:hint="eastAsia"/>
        </w:rPr>
      </w:pPr>
    </w:p>
    <w:p w14:paraId="4E4A4B7A">
      <w:pPr>
        <w:snapToGrid w:val="0"/>
        <w:spacing w:line="360" w:lineRule="auto"/>
        <w:jc w:val="center"/>
        <w:outlineLvl w:val="9"/>
        <w:rPr>
          <w:rFonts w:hint="eastAsia" w:ascii="宋体" w:hAnsi="宋体" w:eastAsia="宋体" w:cs="宋体"/>
          <w:b/>
          <w:bCs/>
          <w:sz w:val="30"/>
          <w:szCs w:val="30"/>
        </w:rPr>
      </w:pPr>
      <w:r>
        <w:rPr>
          <w:rFonts w:hint="eastAsia" w:ascii="宋体" w:hAnsi="宋体" w:eastAsia="宋体" w:cs="宋体"/>
          <w:b/>
          <w:bCs/>
          <w:sz w:val="30"/>
          <w:szCs w:val="30"/>
        </w:rPr>
        <w:br w:type="page"/>
      </w:r>
      <w:r>
        <w:rPr>
          <w:rFonts w:hint="eastAsia" w:ascii="宋体" w:hAnsi="宋体" w:eastAsia="宋体" w:cs="宋体"/>
          <w:b/>
          <w:bCs/>
          <w:sz w:val="30"/>
          <w:szCs w:val="30"/>
        </w:rPr>
        <w:t>（二）</w:t>
      </w:r>
      <w:bookmarkEnd w:id="341"/>
      <w:r>
        <w:rPr>
          <w:rFonts w:hint="eastAsia" w:ascii="宋体" w:hAnsi="宋体" w:eastAsia="宋体" w:cs="宋体"/>
          <w:b/>
          <w:bCs/>
          <w:sz w:val="30"/>
          <w:szCs w:val="30"/>
        </w:rPr>
        <w:t>报价函附录</w:t>
      </w:r>
    </w:p>
    <w:tbl>
      <w:tblPr>
        <w:tblStyle w:val="16"/>
        <w:tblpPr w:leftFromText="180" w:rightFromText="180" w:vertAnchor="text" w:horzAnchor="page" w:tblpX="1273" w:tblpY="387"/>
        <w:tblOverlap w:val="never"/>
        <w:tblW w:w="9239" w:type="dxa"/>
        <w:tblInd w:w="0" w:type="dxa"/>
        <w:tblLayout w:type="fixed"/>
        <w:tblCellMar>
          <w:top w:w="0" w:type="dxa"/>
          <w:left w:w="108" w:type="dxa"/>
          <w:bottom w:w="0" w:type="dxa"/>
          <w:right w:w="108" w:type="dxa"/>
        </w:tblCellMar>
      </w:tblPr>
      <w:tblGrid>
        <w:gridCol w:w="1914"/>
        <w:gridCol w:w="705"/>
        <w:gridCol w:w="1772"/>
        <w:gridCol w:w="709"/>
        <w:gridCol w:w="1487"/>
        <w:gridCol w:w="743"/>
        <w:gridCol w:w="1909"/>
      </w:tblGrid>
      <w:tr w14:paraId="1FFBCF77">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3D4DBA3B">
            <w:pPr>
              <w:pStyle w:val="7"/>
              <w:ind w:left="0" w:leftChars="0" w:firstLine="0" w:firstLineChars="0"/>
              <w:jc w:val="center"/>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eastAsia="zh-CN"/>
              </w:rPr>
              <w:t>项目名称</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1E8E4AB7">
            <w:pPr>
              <w:pStyle w:val="7"/>
              <w:jc w:val="center"/>
              <w:outlineLvl w:val="9"/>
              <w:rPr>
                <w:rFonts w:hint="eastAsia" w:ascii="宋体" w:hAnsi="宋体" w:eastAsia="宋体" w:cs="宋体"/>
                <w:bCs/>
                <w:sz w:val="24"/>
                <w:szCs w:val="24"/>
              </w:rPr>
            </w:pPr>
          </w:p>
        </w:tc>
      </w:tr>
      <w:tr w14:paraId="21F5C171">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122321B5">
            <w:pPr>
              <w:pStyle w:val="7"/>
              <w:ind w:left="0" w:leftChars="0" w:firstLine="0" w:firstLineChars="0"/>
              <w:jc w:val="center"/>
              <w:outlineLvl w:val="9"/>
              <w:rPr>
                <w:rFonts w:hint="eastAsia" w:ascii="宋体" w:hAnsi="宋体" w:eastAsia="宋体" w:cs="宋体"/>
                <w:bCs/>
                <w:sz w:val="24"/>
                <w:szCs w:val="24"/>
                <w:lang w:eastAsia="zh-CN"/>
              </w:rPr>
            </w:pPr>
            <w:r>
              <w:rPr>
                <w:rFonts w:hint="eastAsia" w:ascii="宋体" w:hAnsi="宋体" w:eastAsia="宋体" w:cs="宋体"/>
                <w:bCs/>
                <w:sz w:val="24"/>
                <w:szCs w:val="24"/>
              </w:rPr>
              <w:t>供应商</w:t>
            </w:r>
            <w:r>
              <w:rPr>
                <w:rFonts w:hint="eastAsia" w:ascii="宋体" w:hAnsi="宋体" w:eastAsia="宋体" w:cs="宋体"/>
                <w:bCs/>
                <w:sz w:val="24"/>
                <w:szCs w:val="24"/>
                <w:lang w:eastAsia="zh-CN"/>
              </w:rPr>
              <w:t>名称</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7ACA8157">
            <w:pPr>
              <w:pStyle w:val="7"/>
              <w:jc w:val="center"/>
              <w:outlineLvl w:val="9"/>
              <w:rPr>
                <w:rFonts w:hint="eastAsia" w:ascii="宋体" w:hAnsi="宋体" w:eastAsia="宋体" w:cs="宋体"/>
                <w:bCs/>
                <w:sz w:val="24"/>
                <w:szCs w:val="24"/>
              </w:rPr>
            </w:pPr>
          </w:p>
        </w:tc>
      </w:tr>
      <w:tr w14:paraId="7595F526">
        <w:tblPrEx>
          <w:tblCellMar>
            <w:top w:w="0" w:type="dxa"/>
            <w:left w:w="108" w:type="dxa"/>
            <w:bottom w:w="0" w:type="dxa"/>
            <w:right w:w="108" w:type="dxa"/>
          </w:tblCellMar>
        </w:tblPrEx>
        <w:trPr>
          <w:trHeight w:val="1290"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1EB4656B">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报价</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44CD22C6">
            <w:pPr>
              <w:spacing w:line="480" w:lineRule="exact"/>
              <w:ind w:firstLine="240" w:firstLineChars="100"/>
              <w:jc w:val="both"/>
              <w:outlineLvl w:val="9"/>
              <w:rPr>
                <w:rFonts w:hint="eastAsia" w:ascii="宋体" w:hAnsi="宋体" w:eastAsia="宋体" w:cs="宋体"/>
                <w:bCs/>
                <w:sz w:val="24"/>
                <w:u w:val="single"/>
              </w:rPr>
            </w:pPr>
            <w:r>
              <w:rPr>
                <w:rFonts w:hint="eastAsia" w:ascii="宋体" w:hAnsi="宋体" w:eastAsia="宋体" w:cs="宋体"/>
                <w:bCs/>
                <w:sz w:val="24"/>
              </w:rPr>
              <w:t>大写：</w:t>
            </w:r>
          </w:p>
          <w:p w14:paraId="236C128E">
            <w:pPr>
              <w:spacing w:line="480" w:lineRule="exact"/>
              <w:ind w:firstLine="240" w:firstLineChars="100"/>
              <w:jc w:val="both"/>
              <w:outlineLvl w:val="9"/>
              <w:rPr>
                <w:rFonts w:hint="eastAsia" w:ascii="宋体" w:hAnsi="宋体" w:eastAsia="宋体" w:cs="宋体"/>
                <w:bCs/>
                <w:sz w:val="24"/>
                <w:szCs w:val="24"/>
                <w:u w:val="single"/>
              </w:rPr>
            </w:pPr>
            <w:r>
              <w:rPr>
                <w:rFonts w:hint="eastAsia" w:ascii="宋体" w:hAnsi="宋体" w:eastAsia="宋体" w:cs="宋体"/>
                <w:bCs/>
                <w:sz w:val="24"/>
              </w:rPr>
              <w:t>小写：</w:t>
            </w:r>
          </w:p>
        </w:tc>
      </w:tr>
      <w:tr w14:paraId="5A8D0AC1">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3EE497A7">
            <w:pPr>
              <w:pStyle w:val="7"/>
              <w:ind w:left="0" w:leftChars="0" w:firstLine="0" w:firstLineChars="0"/>
              <w:jc w:val="center"/>
              <w:outlineLvl w:val="9"/>
              <w:rPr>
                <w:rFonts w:hint="eastAsia" w:ascii="宋体" w:hAnsi="宋体" w:eastAsia="宋体" w:cs="宋体"/>
                <w:bCs/>
                <w:sz w:val="24"/>
                <w:szCs w:val="24"/>
                <w:lang w:eastAsia="zh-CN"/>
              </w:rPr>
            </w:pPr>
            <w:r>
              <w:rPr>
                <w:rFonts w:hint="eastAsia" w:ascii="宋体" w:hAnsi="宋体" w:eastAsia="宋体" w:cs="宋体"/>
                <w:bCs/>
                <w:sz w:val="24"/>
                <w:szCs w:val="24"/>
                <w:lang w:eastAsia="zh-CN"/>
              </w:rPr>
              <w:t>服务期</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548D5BCC">
            <w:pPr>
              <w:pStyle w:val="7"/>
              <w:jc w:val="center"/>
              <w:outlineLvl w:val="9"/>
              <w:rPr>
                <w:rFonts w:hint="eastAsia" w:ascii="宋体" w:hAnsi="宋体" w:eastAsia="宋体" w:cs="宋体"/>
                <w:bCs/>
                <w:sz w:val="24"/>
                <w:szCs w:val="24"/>
              </w:rPr>
            </w:pPr>
          </w:p>
        </w:tc>
      </w:tr>
      <w:tr w14:paraId="0CD1E2F1">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1394EF34">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质量要求</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099E4762">
            <w:pPr>
              <w:pStyle w:val="7"/>
              <w:jc w:val="center"/>
              <w:outlineLvl w:val="9"/>
              <w:rPr>
                <w:rFonts w:hint="eastAsia" w:ascii="宋体" w:hAnsi="宋体" w:eastAsia="宋体" w:cs="宋体"/>
                <w:bCs/>
                <w:sz w:val="24"/>
                <w:szCs w:val="24"/>
              </w:rPr>
            </w:pPr>
          </w:p>
          <w:p w14:paraId="4A2DF4F5">
            <w:pPr>
              <w:pStyle w:val="7"/>
              <w:jc w:val="center"/>
              <w:outlineLvl w:val="9"/>
              <w:rPr>
                <w:rFonts w:hint="eastAsia" w:ascii="宋体" w:hAnsi="宋体" w:eastAsia="宋体" w:cs="宋体"/>
                <w:bCs/>
                <w:sz w:val="24"/>
                <w:szCs w:val="24"/>
              </w:rPr>
            </w:pPr>
          </w:p>
        </w:tc>
      </w:tr>
      <w:tr w14:paraId="61F8B297">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752FFFDC">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磋商有效期</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291545EB">
            <w:pPr>
              <w:pStyle w:val="7"/>
              <w:jc w:val="center"/>
              <w:outlineLvl w:val="9"/>
              <w:rPr>
                <w:rFonts w:hint="eastAsia" w:ascii="宋体" w:hAnsi="宋体" w:eastAsia="宋体" w:cs="宋体"/>
                <w:bCs/>
                <w:sz w:val="24"/>
                <w:szCs w:val="24"/>
              </w:rPr>
            </w:pPr>
          </w:p>
        </w:tc>
      </w:tr>
      <w:tr w14:paraId="5805706B">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04F52AC8">
            <w:pPr>
              <w:pStyle w:val="7"/>
              <w:ind w:left="0" w:leftChars="0" w:firstLine="0" w:firstLineChars="0"/>
              <w:jc w:val="center"/>
              <w:outlineLvl w:val="9"/>
              <w:rPr>
                <w:rFonts w:hint="eastAsia" w:ascii="宋体" w:hAnsi="宋体" w:eastAsia="宋体" w:cs="宋体"/>
                <w:bCs/>
                <w:sz w:val="24"/>
                <w:szCs w:val="24"/>
              </w:rPr>
            </w:pPr>
            <w:r>
              <w:rPr>
                <w:rFonts w:hint="default" w:ascii="宋体" w:hAnsi="宋体" w:eastAsia="宋体" w:cs="宋体"/>
                <w:kern w:val="0"/>
                <w:sz w:val="24"/>
                <w:szCs w:val="24"/>
                <w:highlight w:val="none"/>
              </w:rPr>
              <w:t>安全目标</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4DF385A7">
            <w:pPr>
              <w:pStyle w:val="7"/>
              <w:jc w:val="center"/>
              <w:outlineLvl w:val="9"/>
              <w:rPr>
                <w:rFonts w:hint="eastAsia" w:ascii="宋体" w:hAnsi="宋体" w:eastAsia="宋体" w:cs="宋体"/>
                <w:bCs/>
                <w:sz w:val="24"/>
                <w:szCs w:val="24"/>
              </w:rPr>
            </w:pPr>
          </w:p>
        </w:tc>
      </w:tr>
      <w:tr w14:paraId="27181734">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03FABC19">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总监理工程师</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BC7621">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姓名</w:t>
            </w:r>
          </w:p>
        </w:tc>
        <w:tc>
          <w:tcPr>
            <w:tcW w:w="1772" w:type="dxa"/>
            <w:tcBorders>
              <w:top w:val="single" w:color="000000" w:sz="4" w:space="0"/>
              <w:left w:val="single" w:color="000000" w:sz="4" w:space="0"/>
              <w:bottom w:val="single" w:color="000000" w:sz="4" w:space="0"/>
              <w:right w:val="single" w:color="000000" w:sz="4" w:space="0"/>
            </w:tcBorders>
            <w:noWrap w:val="0"/>
            <w:vAlign w:val="center"/>
          </w:tcPr>
          <w:p w14:paraId="7137A8B4">
            <w:pPr>
              <w:pStyle w:val="7"/>
              <w:jc w:val="center"/>
              <w:outlineLvl w:val="9"/>
              <w:rPr>
                <w:rFonts w:hint="eastAsia" w:ascii="宋体" w:hAnsi="宋体" w:eastAsia="宋体" w:cs="宋体"/>
                <w:bCs/>
                <w:sz w:val="24"/>
                <w:szCs w:val="24"/>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D4B3A27">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级别</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515EF064">
            <w:pPr>
              <w:pStyle w:val="7"/>
              <w:jc w:val="center"/>
              <w:outlineLvl w:val="9"/>
              <w:rPr>
                <w:rFonts w:hint="eastAsia" w:ascii="宋体" w:hAnsi="宋体" w:eastAsia="宋体" w:cs="宋体"/>
                <w:bCs/>
                <w:sz w:val="24"/>
                <w:szCs w:val="24"/>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20CC88F">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bCs/>
                <w:sz w:val="24"/>
                <w:szCs w:val="24"/>
              </w:rPr>
              <w:t>编号</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5CA42411">
            <w:pPr>
              <w:pStyle w:val="7"/>
              <w:jc w:val="center"/>
              <w:outlineLvl w:val="9"/>
              <w:rPr>
                <w:rFonts w:hint="eastAsia" w:ascii="宋体" w:hAnsi="宋体" w:eastAsia="宋体" w:cs="宋体"/>
                <w:bCs/>
                <w:sz w:val="24"/>
                <w:szCs w:val="24"/>
              </w:rPr>
            </w:pPr>
          </w:p>
        </w:tc>
      </w:tr>
      <w:tr w14:paraId="012E2DE2">
        <w:tblPrEx>
          <w:tblCellMar>
            <w:top w:w="0" w:type="dxa"/>
            <w:left w:w="108" w:type="dxa"/>
            <w:bottom w:w="0" w:type="dxa"/>
            <w:right w:w="108" w:type="dxa"/>
          </w:tblCellMar>
        </w:tblPrEx>
        <w:trPr>
          <w:trHeight w:val="1144"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5B3A51DE">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color w:val="auto"/>
                <w:kern w:val="2"/>
                <w:sz w:val="24"/>
                <w:szCs w:val="24"/>
                <w:highlight w:val="none"/>
              </w:rPr>
              <w:t>项目负责人及联系电话</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31132D98">
            <w:pPr>
              <w:pStyle w:val="7"/>
              <w:jc w:val="center"/>
              <w:outlineLvl w:val="9"/>
              <w:rPr>
                <w:rFonts w:hint="eastAsia" w:ascii="宋体" w:hAnsi="宋体" w:eastAsia="宋体" w:cs="宋体"/>
                <w:bCs/>
                <w:sz w:val="24"/>
                <w:szCs w:val="24"/>
              </w:rPr>
            </w:pPr>
          </w:p>
        </w:tc>
      </w:tr>
      <w:tr w14:paraId="3A547AC5">
        <w:tblPrEx>
          <w:tblCellMar>
            <w:top w:w="0" w:type="dxa"/>
            <w:left w:w="108" w:type="dxa"/>
            <w:bottom w:w="0" w:type="dxa"/>
            <w:right w:w="108" w:type="dxa"/>
          </w:tblCellMar>
        </w:tblPrEx>
        <w:trPr>
          <w:trHeight w:val="1157" w:hRule="atLeast"/>
        </w:trPr>
        <w:tc>
          <w:tcPr>
            <w:tcW w:w="1914" w:type="dxa"/>
            <w:tcBorders>
              <w:top w:val="single" w:color="000000" w:sz="4" w:space="0"/>
              <w:left w:val="single" w:color="000000" w:sz="4" w:space="0"/>
              <w:bottom w:val="single" w:color="000000" w:sz="4" w:space="0"/>
              <w:right w:val="single" w:color="000000" w:sz="4" w:space="0"/>
            </w:tcBorders>
            <w:noWrap w:val="0"/>
            <w:vAlign w:val="center"/>
          </w:tcPr>
          <w:p w14:paraId="00F64C40">
            <w:pPr>
              <w:pStyle w:val="7"/>
              <w:ind w:left="0" w:leftChars="0" w:firstLine="0" w:firstLineChars="0"/>
              <w:jc w:val="center"/>
              <w:outlineLvl w:val="9"/>
              <w:rPr>
                <w:rFonts w:hint="eastAsia" w:ascii="宋体" w:hAnsi="宋体" w:eastAsia="宋体" w:cs="宋体"/>
                <w:bCs/>
                <w:sz w:val="24"/>
                <w:szCs w:val="24"/>
              </w:rPr>
            </w:pPr>
            <w:r>
              <w:rPr>
                <w:rFonts w:hint="eastAsia" w:ascii="宋体" w:hAnsi="宋体" w:eastAsia="宋体" w:cs="宋体"/>
                <w:color w:val="auto"/>
                <w:kern w:val="2"/>
                <w:sz w:val="24"/>
                <w:szCs w:val="24"/>
                <w:highlight w:val="none"/>
                <w:lang w:val="en-US" w:eastAsia="zh-CN"/>
              </w:rPr>
              <w:t>备注</w:t>
            </w:r>
            <w:r>
              <w:rPr>
                <w:rFonts w:hint="eastAsia" w:ascii="宋体" w:hAnsi="宋体" w:eastAsia="宋体" w:cs="宋体"/>
                <w:color w:val="auto"/>
                <w:kern w:val="2"/>
                <w:sz w:val="24"/>
                <w:szCs w:val="24"/>
                <w:highlight w:val="none"/>
              </w:rPr>
              <w:t>（如有）</w:t>
            </w:r>
          </w:p>
        </w:tc>
        <w:tc>
          <w:tcPr>
            <w:tcW w:w="7325" w:type="dxa"/>
            <w:gridSpan w:val="6"/>
            <w:tcBorders>
              <w:top w:val="single" w:color="000000" w:sz="4" w:space="0"/>
              <w:left w:val="single" w:color="000000" w:sz="4" w:space="0"/>
              <w:bottom w:val="single" w:color="000000" w:sz="4" w:space="0"/>
              <w:right w:val="single" w:color="000000" w:sz="4" w:space="0"/>
            </w:tcBorders>
            <w:noWrap w:val="0"/>
            <w:vAlign w:val="center"/>
          </w:tcPr>
          <w:p w14:paraId="053973E3">
            <w:pPr>
              <w:pStyle w:val="7"/>
              <w:jc w:val="center"/>
              <w:outlineLvl w:val="9"/>
              <w:rPr>
                <w:rFonts w:hint="eastAsia" w:ascii="宋体" w:hAnsi="宋体" w:eastAsia="宋体" w:cs="宋体"/>
                <w:bCs/>
                <w:sz w:val="24"/>
                <w:szCs w:val="24"/>
              </w:rPr>
            </w:pPr>
          </w:p>
        </w:tc>
      </w:tr>
    </w:tbl>
    <w:p w14:paraId="3109D806">
      <w:pPr>
        <w:spacing w:line="400" w:lineRule="atLeast"/>
        <w:ind w:firstLine="3600" w:firstLineChars="1500"/>
        <w:outlineLvl w:val="9"/>
        <w:rPr>
          <w:rFonts w:hint="eastAsia" w:ascii="宋体" w:hAnsi="宋体" w:eastAsia="宋体" w:cs="宋体"/>
          <w:sz w:val="24"/>
        </w:rPr>
      </w:pPr>
    </w:p>
    <w:p w14:paraId="5201ECFC">
      <w:pPr>
        <w:spacing w:line="360" w:lineRule="auto"/>
        <w:ind w:firstLine="4200" w:firstLineChars="1750"/>
        <w:rPr>
          <w:rFonts w:hint="eastAsia" w:ascii="宋体" w:hAnsi="宋体" w:cs="宋体"/>
          <w:color w:val="auto"/>
          <w:sz w:val="24"/>
          <w:szCs w:val="24"/>
          <w:highlight w:val="none"/>
        </w:rPr>
      </w:pPr>
      <w:bookmarkStart w:id="342" w:name="_Toc23154485"/>
      <w:bookmarkStart w:id="343" w:name="_Toc451956878"/>
      <w:bookmarkStart w:id="344" w:name="_Toc17216939"/>
      <w:bookmarkStart w:id="345" w:name="_Toc60537393"/>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042981C4">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225FDE4C">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7C663118">
      <w:pPr>
        <w:snapToGrid w:val="0"/>
        <w:spacing w:line="360" w:lineRule="auto"/>
        <w:ind w:firstLine="2240" w:firstLineChars="700"/>
        <w:outlineLvl w:val="9"/>
        <w:rPr>
          <w:rFonts w:hint="eastAsia" w:ascii="宋体" w:hAnsi="宋体" w:eastAsia="宋体" w:cs="宋体"/>
          <w:b/>
          <w:bCs/>
          <w:sz w:val="30"/>
          <w:szCs w:val="30"/>
        </w:rPr>
      </w:pPr>
      <w:r>
        <w:rPr>
          <w:rFonts w:hint="eastAsia" w:ascii="宋体" w:hAnsi="宋体" w:eastAsia="宋体" w:cs="宋体"/>
          <w:color w:val="000000"/>
          <w:sz w:val="32"/>
          <w:szCs w:val="32"/>
        </w:rPr>
        <w:br w:type="page"/>
      </w:r>
      <w:r>
        <w:rPr>
          <w:rFonts w:hint="eastAsia" w:ascii="宋体" w:hAnsi="宋体" w:eastAsia="宋体" w:cs="宋体"/>
          <w:b/>
          <w:bCs/>
          <w:color w:val="000000"/>
          <w:sz w:val="32"/>
          <w:szCs w:val="32"/>
        </w:rPr>
        <w:t>二、法定代表人身份证明</w:t>
      </w:r>
      <w:bookmarkEnd w:id="342"/>
      <w:bookmarkEnd w:id="343"/>
    </w:p>
    <w:p w14:paraId="1AF69FED">
      <w:pPr>
        <w:tabs>
          <w:tab w:val="left" w:pos="5970"/>
        </w:tabs>
        <w:snapToGrid w:val="0"/>
        <w:spacing w:line="480" w:lineRule="auto"/>
        <w:outlineLvl w:val="9"/>
        <w:rPr>
          <w:rFonts w:hint="eastAsia" w:ascii="宋体" w:hAnsi="宋体" w:eastAsia="宋体" w:cs="宋体"/>
          <w:sz w:val="24"/>
        </w:rPr>
      </w:pPr>
    </w:p>
    <w:p w14:paraId="7621E5E0">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u w:val="single"/>
        </w:rPr>
        <w:t xml:space="preserve">                             </w:t>
      </w:r>
    </w:p>
    <w:p w14:paraId="63C489CA">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单位性质：</w:t>
      </w:r>
      <w:r>
        <w:rPr>
          <w:rFonts w:hint="eastAsia" w:ascii="宋体" w:hAnsi="宋体" w:eastAsia="宋体" w:cs="宋体"/>
          <w:sz w:val="24"/>
          <w:u w:val="single"/>
        </w:rPr>
        <w:t xml:space="preserve">                                </w:t>
      </w:r>
    </w:p>
    <w:p w14:paraId="75A08B33">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single"/>
        </w:rPr>
        <w:t xml:space="preserve">                                  </w:t>
      </w:r>
    </w:p>
    <w:p w14:paraId="59F4A8B2">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21C272A">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经营期限</w:t>
      </w:r>
      <w:r>
        <w:rPr>
          <w:rFonts w:hint="eastAsia" w:ascii="宋体" w:hAnsi="宋体" w:eastAsia="宋体" w:cs="宋体"/>
          <w:sz w:val="24"/>
          <w:u w:val="single"/>
        </w:rPr>
        <w:t xml:space="preserve">：                               </w:t>
      </w:r>
    </w:p>
    <w:p w14:paraId="16D712B7">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6199A74A">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sz w:val="24"/>
          <w:u w:val="single"/>
        </w:rPr>
        <w:t xml:space="preserve">                              </w:t>
      </w:r>
      <w:r>
        <w:rPr>
          <w:rFonts w:hint="eastAsia" w:ascii="宋体" w:hAnsi="宋体" w:eastAsia="宋体" w:cs="宋体"/>
          <w:sz w:val="24"/>
        </w:rPr>
        <w:t>（供应商名称）的法定代表人。</w:t>
      </w:r>
    </w:p>
    <w:p w14:paraId="4A1B572C">
      <w:pPr>
        <w:tabs>
          <w:tab w:val="left" w:pos="5970"/>
        </w:tabs>
        <w:snapToGrid w:val="0"/>
        <w:spacing w:line="480" w:lineRule="auto"/>
        <w:outlineLvl w:val="9"/>
        <w:rPr>
          <w:rFonts w:hint="eastAsia" w:ascii="宋体" w:hAnsi="宋体" w:eastAsia="宋体" w:cs="宋体"/>
          <w:sz w:val="24"/>
        </w:rPr>
      </w:pPr>
      <w:r>
        <w:rPr>
          <w:rFonts w:hint="eastAsia" w:ascii="宋体" w:hAnsi="宋体" w:eastAsia="宋体" w:cs="宋体"/>
          <w:sz w:val="24"/>
        </w:rPr>
        <w:t>特此证明。</w:t>
      </w:r>
    </w:p>
    <w:p w14:paraId="6F0380D3">
      <w:pPr>
        <w:outlineLvl w:val="9"/>
        <w:rPr>
          <w:rFonts w:hint="eastAsia" w:ascii="宋体" w:hAnsi="宋体" w:eastAsia="宋体" w:cs="宋体"/>
          <w:sz w:val="24"/>
          <w:szCs w:val="24"/>
        </w:rPr>
      </w:pPr>
    </w:p>
    <w:p w14:paraId="1A5FEFA2">
      <w:pPr>
        <w:outlineLvl w:val="9"/>
        <w:rPr>
          <w:rFonts w:hint="eastAsia" w:ascii="宋体" w:hAnsi="宋体" w:eastAsia="宋体" w:cs="宋体"/>
          <w:sz w:val="24"/>
        </w:rPr>
      </w:pPr>
    </w:p>
    <w:p w14:paraId="59B5AB17">
      <w:pPr>
        <w:tabs>
          <w:tab w:val="left" w:pos="5970"/>
        </w:tabs>
        <w:ind w:firstLine="1928" w:firstLineChars="800"/>
        <w:outlineLvl w:val="9"/>
        <w:rPr>
          <w:rFonts w:hint="eastAsia" w:ascii="宋体" w:hAnsi="宋体" w:eastAsia="宋体" w:cs="宋体"/>
          <w:sz w:val="24"/>
        </w:rPr>
      </w:pPr>
      <w:r>
        <w:rPr>
          <w:rFonts w:hint="eastAsia" w:ascii="宋体" w:hAnsi="宋体" w:eastAsia="宋体" w:cs="宋体"/>
          <w:b/>
          <w:sz w:val="24"/>
        </w:rPr>
        <w:t>（后附法定代表人身份证正反面扫描件）</w:t>
      </w:r>
      <w:r>
        <w:rPr>
          <w:rFonts w:hint="eastAsia" w:ascii="宋体" w:hAnsi="宋体" w:eastAsia="宋体" w:cs="宋体"/>
          <w:sz w:val="24"/>
        </w:rPr>
        <w:t xml:space="preserve">                        </w:t>
      </w:r>
    </w:p>
    <w:p w14:paraId="001CF983">
      <w:pPr>
        <w:tabs>
          <w:tab w:val="left" w:pos="5970"/>
        </w:tabs>
        <w:outlineLvl w:val="9"/>
        <w:rPr>
          <w:rFonts w:hint="eastAsia" w:ascii="宋体" w:hAnsi="宋体" w:eastAsia="宋体" w:cs="宋体"/>
          <w:sz w:val="24"/>
        </w:rPr>
      </w:pPr>
    </w:p>
    <w:p w14:paraId="462A64E5">
      <w:pPr>
        <w:outlineLvl w:val="9"/>
        <w:rPr>
          <w:rFonts w:hint="eastAsia" w:ascii="宋体" w:hAnsi="宋体" w:eastAsia="宋体" w:cs="宋体"/>
          <w:sz w:val="24"/>
          <w:szCs w:val="24"/>
        </w:rPr>
      </w:pPr>
    </w:p>
    <w:p w14:paraId="300F5FAC">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rPr>
        <w:t xml:space="preserve"> </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0FC56AFB">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680040BD">
      <w:pPr>
        <w:tabs>
          <w:tab w:val="left" w:pos="5970"/>
        </w:tabs>
        <w:snapToGrid w:val="0"/>
        <w:spacing w:line="360" w:lineRule="auto"/>
        <w:outlineLvl w:val="9"/>
        <w:rPr>
          <w:rFonts w:hint="eastAsia" w:ascii="宋体" w:hAnsi="宋体" w:eastAsia="宋体" w:cs="宋体"/>
          <w:sz w:val="26"/>
          <w:u w:val="single"/>
        </w:rPr>
      </w:pPr>
    </w:p>
    <w:bookmarkEnd w:id="344"/>
    <w:bookmarkEnd w:id="345"/>
    <w:p w14:paraId="018A1D2E">
      <w:pPr>
        <w:snapToGrid w:val="0"/>
        <w:spacing w:line="360" w:lineRule="auto"/>
        <w:jc w:val="center"/>
        <w:outlineLvl w:val="9"/>
        <w:rPr>
          <w:rFonts w:hint="eastAsia" w:ascii="宋体" w:hAnsi="宋体" w:eastAsia="宋体" w:cs="宋体"/>
          <w:b/>
          <w:bCs/>
          <w:sz w:val="30"/>
          <w:szCs w:val="30"/>
        </w:rPr>
      </w:pPr>
      <w:bookmarkStart w:id="346" w:name="_Toc23154486"/>
      <w:bookmarkStart w:id="347" w:name="_Toc451956879"/>
      <w:r>
        <w:rPr>
          <w:rFonts w:hint="eastAsia" w:ascii="宋体" w:hAnsi="宋体" w:eastAsia="宋体" w:cs="宋体"/>
          <w:b/>
          <w:bCs/>
          <w:sz w:val="30"/>
          <w:szCs w:val="30"/>
        </w:rPr>
        <w:br w:type="page"/>
      </w:r>
      <w:r>
        <w:rPr>
          <w:rFonts w:hint="eastAsia" w:ascii="宋体" w:hAnsi="宋体" w:eastAsia="宋体" w:cs="宋体"/>
          <w:b/>
          <w:bCs/>
          <w:color w:val="000000"/>
          <w:sz w:val="32"/>
          <w:szCs w:val="32"/>
          <w:lang w:val="en-US" w:eastAsia="zh-CN"/>
        </w:rPr>
        <w:t>三、</w:t>
      </w:r>
      <w:r>
        <w:rPr>
          <w:rFonts w:hint="eastAsia" w:ascii="宋体" w:hAnsi="宋体" w:eastAsia="宋体" w:cs="宋体"/>
          <w:b/>
          <w:bCs/>
          <w:color w:val="000000"/>
          <w:sz w:val="32"/>
          <w:szCs w:val="32"/>
        </w:rPr>
        <w:t>授权委托书</w:t>
      </w:r>
      <w:bookmarkEnd w:id="346"/>
      <w:bookmarkEnd w:id="347"/>
    </w:p>
    <w:p w14:paraId="30BD9D1A">
      <w:pPr>
        <w:outlineLvl w:val="9"/>
        <w:rPr>
          <w:rFonts w:hint="eastAsia" w:ascii="宋体" w:hAnsi="宋体" w:eastAsia="宋体" w:cs="宋体"/>
          <w:b/>
        </w:rPr>
      </w:pPr>
    </w:p>
    <w:p w14:paraId="3C7AABD9">
      <w:pPr>
        <w:tabs>
          <w:tab w:val="left" w:pos="5970"/>
        </w:tabs>
        <w:snapToGrid w:val="0"/>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本人</w:t>
      </w:r>
      <w:r>
        <w:rPr>
          <w:rFonts w:hint="eastAsia" w:ascii="宋体" w:hAnsi="宋体" w:eastAsia="宋体" w:cs="宋体"/>
          <w:sz w:val="24"/>
          <w:u w:val="single"/>
        </w:rPr>
        <w:t xml:space="preserve">        </w:t>
      </w:r>
      <w:r>
        <w:rPr>
          <w:rFonts w:hint="eastAsia" w:ascii="宋体" w:hAnsi="宋体" w:eastAsia="宋体" w:cs="宋体"/>
          <w:sz w:val="24"/>
        </w:rPr>
        <w:t>（姓名）系</w:t>
      </w:r>
      <w:r>
        <w:rPr>
          <w:rFonts w:hint="eastAsia" w:ascii="宋体" w:hAnsi="宋体" w:eastAsia="宋体" w:cs="宋体"/>
          <w:sz w:val="24"/>
          <w:u w:val="single"/>
        </w:rPr>
        <w:t xml:space="preserve">        </w:t>
      </w:r>
      <w:r>
        <w:rPr>
          <w:rFonts w:hint="eastAsia" w:ascii="宋体" w:hAnsi="宋体" w:eastAsia="宋体" w:cs="宋体"/>
          <w:sz w:val="24"/>
        </w:rPr>
        <w:t>（供应商名称）的法定代表人，现委托</w:t>
      </w:r>
      <w:r>
        <w:rPr>
          <w:rFonts w:hint="eastAsia" w:ascii="宋体" w:hAnsi="宋体" w:eastAsia="宋体" w:cs="宋体"/>
          <w:sz w:val="24"/>
          <w:u w:val="single"/>
        </w:rPr>
        <w:t xml:space="preserve">        </w:t>
      </w:r>
      <w:r>
        <w:rPr>
          <w:rFonts w:hint="eastAsia" w:ascii="宋体" w:hAnsi="宋体" w:eastAsia="宋体" w:cs="宋体"/>
          <w:sz w:val="24"/>
        </w:rPr>
        <w:t>（姓名）为我方代理人。代理人根据授权，以我方名义签署、澄清、说明、补正、递交、撤回、修改</w:t>
      </w:r>
      <w:r>
        <w:rPr>
          <w:rFonts w:hint="eastAsia" w:ascii="宋体" w:hAnsi="宋体" w:eastAsia="宋体" w:cs="宋体"/>
          <w:sz w:val="24"/>
          <w:u w:val="single"/>
        </w:rPr>
        <w:t xml:space="preserve">                  </w:t>
      </w:r>
      <w:r>
        <w:rPr>
          <w:rFonts w:hint="eastAsia" w:ascii="宋体" w:hAnsi="宋体" w:eastAsia="宋体" w:cs="宋体"/>
          <w:sz w:val="24"/>
        </w:rPr>
        <w:t xml:space="preserve"> （ 项目名称）响应文件、签订合同和处理有关事宜，其法律后果由我方承担。</w:t>
      </w:r>
    </w:p>
    <w:p w14:paraId="34B43E0D">
      <w:pPr>
        <w:tabs>
          <w:tab w:val="left" w:pos="5970"/>
        </w:tabs>
        <w:snapToGrid w:val="0"/>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w:t>
      </w:r>
    </w:p>
    <w:p w14:paraId="0F069FEA">
      <w:pPr>
        <w:tabs>
          <w:tab w:val="left" w:pos="5970"/>
        </w:tabs>
        <w:snapToGrid w:val="0"/>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代理人无转委托权。</w:t>
      </w:r>
    </w:p>
    <w:p w14:paraId="747DF581">
      <w:pPr>
        <w:tabs>
          <w:tab w:val="left" w:pos="5970"/>
        </w:tabs>
        <w:snapToGrid w:val="0"/>
        <w:spacing w:line="360" w:lineRule="auto"/>
        <w:ind w:firstLine="482" w:firstLineChars="200"/>
        <w:outlineLvl w:val="9"/>
        <w:rPr>
          <w:rFonts w:hint="eastAsia" w:ascii="宋体" w:hAnsi="宋体" w:eastAsia="宋体" w:cs="宋体"/>
          <w:b/>
          <w:sz w:val="24"/>
        </w:rPr>
      </w:pPr>
    </w:p>
    <w:p w14:paraId="0B472537">
      <w:pPr>
        <w:tabs>
          <w:tab w:val="left" w:pos="5970"/>
        </w:tabs>
        <w:snapToGrid w:val="0"/>
        <w:spacing w:line="360" w:lineRule="auto"/>
        <w:ind w:firstLine="482" w:firstLineChars="200"/>
        <w:outlineLvl w:val="9"/>
        <w:rPr>
          <w:rFonts w:hint="eastAsia" w:ascii="宋体" w:hAnsi="宋体" w:eastAsia="宋体" w:cs="宋体"/>
          <w:b/>
          <w:sz w:val="24"/>
        </w:rPr>
      </w:pPr>
    </w:p>
    <w:p w14:paraId="2A2D36FB">
      <w:pPr>
        <w:tabs>
          <w:tab w:val="left" w:pos="5970"/>
        </w:tabs>
        <w:snapToGrid w:val="0"/>
        <w:spacing w:line="360" w:lineRule="auto"/>
        <w:ind w:firstLine="2650" w:firstLineChars="1100"/>
        <w:outlineLvl w:val="9"/>
        <w:rPr>
          <w:rFonts w:hint="eastAsia" w:ascii="宋体" w:hAnsi="宋体" w:eastAsia="宋体" w:cs="宋体"/>
          <w:sz w:val="24"/>
        </w:rPr>
      </w:pPr>
      <w:r>
        <w:rPr>
          <w:rFonts w:hint="eastAsia" w:ascii="宋体" w:hAnsi="宋体" w:eastAsia="宋体" w:cs="宋体"/>
          <w:b/>
          <w:sz w:val="24"/>
        </w:rPr>
        <w:t>（后附委托代理人身份证正反面扫描件）</w:t>
      </w:r>
    </w:p>
    <w:p w14:paraId="7365DEB7">
      <w:pPr>
        <w:tabs>
          <w:tab w:val="left" w:pos="5970"/>
        </w:tabs>
        <w:snapToGrid w:val="0"/>
        <w:spacing w:line="360" w:lineRule="auto"/>
        <w:outlineLvl w:val="9"/>
        <w:rPr>
          <w:rFonts w:hint="eastAsia" w:ascii="宋体" w:hAnsi="宋体" w:eastAsia="宋体" w:cs="宋体"/>
          <w:sz w:val="24"/>
        </w:rPr>
      </w:pPr>
    </w:p>
    <w:p w14:paraId="34DEC00B">
      <w:pPr>
        <w:outlineLvl w:val="9"/>
        <w:rPr>
          <w:rFonts w:hint="eastAsia" w:ascii="宋体" w:hAnsi="宋体" w:eastAsia="宋体" w:cs="宋体"/>
          <w:sz w:val="24"/>
          <w:szCs w:val="24"/>
        </w:rPr>
      </w:pPr>
    </w:p>
    <w:p w14:paraId="3AE10583">
      <w:pPr>
        <w:outlineLvl w:val="9"/>
        <w:rPr>
          <w:rFonts w:hint="eastAsia" w:ascii="宋体" w:hAnsi="宋体" w:eastAsia="宋体" w:cs="宋体"/>
          <w:sz w:val="24"/>
        </w:rPr>
      </w:pPr>
    </w:p>
    <w:p w14:paraId="2A3B6B7A">
      <w:pPr>
        <w:spacing w:line="360" w:lineRule="auto"/>
        <w:ind w:firstLine="5040" w:firstLineChars="2100"/>
        <w:jc w:val="left"/>
        <w:rPr>
          <w:rFonts w:hint="eastAsia" w:ascii="宋体" w:hAnsi="宋体" w:cs="宋体"/>
          <w:color w:val="auto"/>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6346AA03">
      <w:pPr>
        <w:spacing w:line="360" w:lineRule="auto"/>
        <w:ind w:firstLine="5040" w:firstLineChars="2100"/>
        <w:jc w:val="left"/>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62FBBF2C">
      <w:pPr>
        <w:tabs>
          <w:tab w:val="left" w:pos="5970"/>
        </w:tabs>
        <w:snapToGrid w:val="0"/>
        <w:spacing w:line="360" w:lineRule="auto"/>
        <w:ind w:firstLine="5040" w:firstLineChars="2100"/>
        <w:jc w:val="left"/>
        <w:outlineLvl w:val="9"/>
        <w:rPr>
          <w:rFonts w:hint="eastAsia" w:ascii="宋体" w:hAnsi="宋体" w:eastAsia="宋体" w:cs="宋体"/>
          <w:sz w:val="24"/>
        </w:rPr>
      </w:pPr>
      <w:r>
        <w:rPr>
          <w:rFonts w:hint="eastAsia" w:ascii="宋体" w:hAnsi="宋体" w:eastAsia="宋体" w:cs="宋体"/>
          <w:sz w:val="24"/>
        </w:rPr>
        <w:t>委托代理人</w:t>
      </w:r>
      <w:r>
        <w:rPr>
          <w:rFonts w:hint="eastAsia" w:ascii="宋体" w:hAnsi="宋体" w:cs="宋体"/>
          <w:sz w:val="24"/>
          <w:lang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lang w:eastAsia="zh-CN"/>
        </w:rPr>
        <w:t>（签字）</w:t>
      </w:r>
      <w:r>
        <w:rPr>
          <w:rFonts w:hint="eastAsia" w:ascii="宋体" w:hAnsi="宋体" w:eastAsia="宋体" w:cs="宋体"/>
          <w:sz w:val="24"/>
        </w:rPr>
        <w:t xml:space="preserve"> </w:t>
      </w:r>
    </w:p>
    <w:p w14:paraId="50BBA2C5">
      <w:pPr>
        <w:tabs>
          <w:tab w:val="left" w:pos="5970"/>
        </w:tabs>
        <w:snapToGrid w:val="0"/>
        <w:spacing w:line="360" w:lineRule="auto"/>
        <w:ind w:firstLine="5040" w:firstLineChars="2100"/>
        <w:jc w:val="left"/>
        <w:outlineLvl w:val="9"/>
        <w:rPr>
          <w:rFonts w:hint="eastAsia" w:ascii="宋体" w:hAnsi="宋体" w:eastAsia="宋体" w:cs="宋体"/>
          <w:sz w:val="24"/>
          <w:szCs w:val="24"/>
          <w:highlight w:val="none"/>
          <w:u w:val="single"/>
        </w:rPr>
      </w:pPr>
      <w:r>
        <w:rPr>
          <w:rFonts w:hint="eastAsia" w:ascii="宋体" w:hAnsi="宋体" w:eastAsia="宋体" w:cs="宋体"/>
          <w:sz w:val="24"/>
        </w:rPr>
        <w:t>联系电话</w:t>
      </w:r>
      <w:r>
        <w:rPr>
          <w:rFonts w:hint="eastAsia" w:ascii="宋体" w:hAnsi="宋体" w:eastAsia="宋体" w:cs="宋体"/>
          <w:sz w:val="24"/>
          <w:lang w:eastAsia="zh-CN"/>
        </w:rPr>
        <w:t>：</w:t>
      </w:r>
      <w:r>
        <w:rPr>
          <w:rFonts w:hint="eastAsia" w:ascii="宋体" w:hAnsi="宋体" w:eastAsia="宋体" w:cs="宋体"/>
          <w:sz w:val="24"/>
          <w:szCs w:val="24"/>
          <w:highlight w:val="none"/>
          <w:u w:val="single"/>
        </w:rPr>
        <w:t xml:space="preserve">            </w:t>
      </w:r>
    </w:p>
    <w:p w14:paraId="0ACA7B0F">
      <w:pPr>
        <w:tabs>
          <w:tab w:val="left" w:pos="5970"/>
        </w:tabs>
        <w:snapToGrid w:val="0"/>
        <w:spacing w:line="360" w:lineRule="auto"/>
        <w:ind w:firstLine="5040" w:firstLineChars="2100"/>
        <w:jc w:val="left"/>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69039443">
      <w:pPr>
        <w:tabs>
          <w:tab w:val="left" w:pos="5970"/>
        </w:tabs>
        <w:snapToGrid w:val="0"/>
        <w:spacing w:line="360" w:lineRule="auto"/>
        <w:outlineLvl w:val="9"/>
        <w:rPr>
          <w:rFonts w:hint="eastAsia" w:ascii="宋体" w:hAnsi="宋体" w:eastAsia="宋体" w:cs="宋体"/>
          <w:sz w:val="26"/>
        </w:rPr>
      </w:pPr>
    </w:p>
    <w:p w14:paraId="631810EE">
      <w:pPr>
        <w:spacing w:before="120" w:after="120" w:line="360" w:lineRule="auto"/>
        <w:jc w:val="center"/>
        <w:outlineLvl w:val="9"/>
        <w:rPr>
          <w:rFonts w:hint="eastAsia" w:ascii="宋体" w:hAnsi="宋体" w:eastAsia="宋体" w:cs="宋体"/>
          <w:color w:val="000000"/>
          <w:sz w:val="32"/>
          <w:szCs w:val="32"/>
        </w:rPr>
      </w:pPr>
      <w:bookmarkStart w:id="348" w:name="_Toc23154487"/>
    </w:p>
    <w:p w14:paraId="6C6BC3E1">
      <w:pPr>
        <w:spacing w:line="400" w:lineRule="exact"/>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因本项目为电子标，委托代理人无法手写签字，可以电脑打印字体为准或以法定代表人签章为准。</w:t>
      </w:r>
      <w:r>
        <w:rPr>
          <w:rFonts w:hint="eastAsia" w:ascii="宋体" w:hAnsi="宋体" w:eastAsia="宋体" w:cs="宋体"/>
          <w:b/>
          <w:bCs/>
          <w:sz w:val="24"/>
          <w:szCs w:val="24"/>
          <w:highlight w:val="none"/>
          <w:lang w:eastAsia="zh-CN"/>
        </w:rPr>
        <w:t>）</w:t>
      </w:r>
    </w:p>
    <w:p w14:paraId="7C3A8C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b/>
          <w:bCs/>
          <w:color w:val="000000"/>
          <w:sz w:val="32"/>
          <w:szCs w:val="32"/>
          <w:lang w:val="en-US" w:eastAsia="zh-CN"/>
        </w:rPr>
        <w:t>四、</w:t>
      </w:r>
      <w:bookmarkEnd w:id="348"/>
      <w:r>
        <w:rPr>
          <w:rFonts w:hint="eastAsia" w:ascii="宋体" w:hAnsi="宋体" w:eastAsia="宋体" w:cs="宋体"/>
          <w:b/>
          <w:bCs/>
          <w:color w:val="000000"/>
          <w:sz w:val="32"/>
          <w:szCs w:val="32"/>
          <w:lang w:val="en-US" w:eastAsia="zh-CN"/>
        </w:rPr>
        <w:t>磋商承诺函</w:t>
      </w:r>
    </w:p>
    <w:p w14:paraId="768D193D">
      <w:pPr>
        <w:spacing w:line="360" w:lineRule="auto"/>
        <w:outlineLvl w:val="9"/>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r>
        <w:rPr>
          <w:rFonts w:hint="eastAsia" w:ascii="宋体" w:hAnsi="宋体" w:eastAsia="宋体" w:cs="宋体"/>
          <w:sz w:val="24"/>
          <w:lang w:eastAsia="zh-CN"/>
        </w:rPr>
        <w:t>采购人</w:t>
      </w:r>
      <w:r>
        <w:rPr>
          <w:rFonts w:hint="eastAsia" w:ascii="宋体" w:hAnsi="宋体" w:eastAsia="宋体" w:cs="宋体"/>
          <w:sz w:val="24"/>
        </w:rPr>
        <w:t>及</w:t>
      </w:r>
      <w:r>
        <w:rPr>
          <w:rFonts w:hint="eastAsia" w:ascii="宋体" w:hAnsi="宋体" w:eastAsia="宋体" w:cs="宋体"/>
          <w:sz w:val="24"/>
          <w:lang w:eastAsia="zh-CN"/>
        </w:rPr>
        <w:t>采购代理机构</w:t>
      </w:r>
      <w:r>
        <w:rPr>
          <w:rFonts w:hint="eastAsia" w:ascii="宋体" w:hAnsi="宋体" w:eastAsia="宋体" w:cs="宋体"/>
          <w:sz w:val="24"/>
        </w:rPr>
        <w:t>）：</w:t>
      </w:r>
    </w:p>
    <w:p w14:paraId="2FEA4427">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我公司作为本次磋商</w:t>
      </w:r>
      <w:r>
        <w:rPr>
          <w:rFonts w:hint="eastAsia" w:ascii="宋体" w:hAnsi="宋体" w:eastAsia="宋体" w:cs="宋体"/>
          <w:sz w:val="24"/>
          <w:u w:val="single"/>
          <w:lang w:val="en-US" w:eastAsia="zh-CN"/>
        </w:rPr>
        <w:t xml:space="preserve">                      </w:t>
      </w:r>
      <w:r>
        <w:rPr>
          <w:rFonts w:hint="eastAsia" w:ascii="宋体" w:hAnsi="宋体" w:eastAsia="宋体" w:cs="宋体"/>
          <w:sz w:val="24"/>
        </w:rPr>
        <w:t>项目的响应人，根据竞争性磋商文件要求，现郑重承诺如下：</w:t>
      </w:r>
    </w:p>
    <w:p w14:paraId="6A08C037">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一、完全接受和满足本项目竞争性磋商文件中规定的实质性要求，如对竞争性磋商文件有异议，不存在对竞争性磋商文件有异议的同时又参加磋商以求侥幸中标或者为实现其他非法目的的行为。</w:t>
      </w:r>
    </w:p>
    <w:p w14:paraId="76BE9C3F">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二、参加本次磋商采购活动，不存在与单位负责人为同一人或者存在直接控股、管理关系的其他供应商参与同一合同项下的政府采购活动的行为。</w:t>
      </w:r>
    </w:p>
    <w:p w14:paraId="4488FC9E">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三、参加本次磋商活动，不存在为磋商项目提供整体设计、规范编制或者项目管理、检测等服务的行为。</w:t>
      </w:r>
    </w:p>
    <w:p w14:paraId="507C2BC7">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四、参加本次磋商活动，不存在和其他供应商在同一合同项下的采购项目中，同时委托同一个自然人、同一家庭的人员、同一单位的人员作为代理人的行为。</w:t>
      </w:r>
    </w:p>
    <w:p w14:paraId="6D4C892A">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五、响应人参加本次磋商活动要求在近三年内响应人和其法定代表人没有行贿犯罪行为。</w:t>
      </w:r>
    </w:p>
    <w:p w14:paraId="1297D9CC">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六、参加本次磋商活动，不存在联合体磋商。</w:t>
      </w:r>
    </w:p>
    <w:p w14:paraId="7B6C6DD2">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七、竞争性磋商文件中提供的能够给予我公司带来优惠、好处的任何材料资料和技术、服务、商务等响应承诺情况都是真实的、有效的、合法的。</w:t>
      </w:r>
    </w:p>
    <w:p w14:paraId="4D8CA60F">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八、如本项目评标过程中需要提供样品，则我公司提供的样品即为中标后将要提供的中标产品，我公司对提供样品的性能和质量负责，因样品存在缺陷或者不符合竞争性磋商文件要求导致未能中标的，我公司愿意承担相应不利后果。（如提供样品）</w:t>
      </w:r>
    </w:p>
    <w:p w14:paraId="40EA5A65">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九、存在以下行为之一的愿意接受相关部门的处理：</w:t>
      </w:r>
    </w:p>
    <w:p w14:paraId="3729FFD5">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（一）磋商有效期内撤销竞争性磋商文件的；</w:t>
      </w:r>
    </w:p>
    <w:p w14:paraId="4868AED8">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（二）在</w:t>
      </w:r>
      <w:r>
        <w:rPr>
          <w:rFonts w:hint="eastAsia" w:ascii="宋体" w:hAnsi="宋体" w:eastAsia="宋体" w:cs="宋体"/>
          <w:sz w:val="24"/>
          <w:lang w:eastAsia="zh-CN"/>
        </w:rPr>
        <w:t>采购人</w:t>
      </w:r>
      <w:r>
        <w:rPr>
          <w:rFonts w:hint="eastAsia" w:ascii="宋体" w:hAnsi="宋体" w:eastAsia="宋体" w:cs="宋体"/>
          <w:sz w:val="24"/>
        </w:rPr>
        <w:t>确定中标人以前放弃中标候选资格的；</w:t>
      </w:r>
    </w:p>
    <w:p w14:paraId="64021C6D">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（三）由于中标人的原因未能按照竞争性磋商文件的规定与</w:t>
      </w:r>
      <w:r>
        <w:rPr>
          <w:rFonts w:hint="eastAsia" w:ascii="宋体" w:hAnsi="宋体" w:eastAsia="宋体" w:cs="宋体"/>
          <w:sz w:val="24"/>
          <w:lang w:eastAsia="zh-CN"/>
        </w:rPr>
        <w:t>采购人</w:t>
      </w:r>
      <w:r>
        <w:rPr>
          <w:rFonts w:hint="eastAsia" w:ascii="宋体" w:hAnsi="宋体" w:eastAsia="宋体" w:cs="宋体"/>
          <w:sz w:val="24"/>
        </w:rPr>
        <w:t>签订合同；</w:t>
      </w:r>
    </w:p>
    <w:p w14:paraId="687F4B33">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（四）由于中标人的原因未能按照竞争性磋商文件的规定交纳履约保证金；</w:t>
      </w:r>
    </w:p>
    <w:p w14:paraId="48F04978">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（五）在响应文件中提供虚假材料谋取中标；</w:t>
      </w:r>
    </w:p>
    <w:p w14:paraId="5A605FD7">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（六）与</w:t>
      </w:r>
      <w:r>
        <w:rPr>
          <w:rFonts w:hint="eastAsia" w:ascii="宋体" w:hAnsi="宋体" w:eastAsia="宋体" w:cs="宋体"/>
          <w:sz w:val="24"/>
          <w:lang w:eastAsia="zh-CN"/>
        </w:rPr>
        <w:t>采购人</w:t>
      </w:r>
      <w:r>
        <w:rPr>
          <w:rFonts w:hint="eastAsia" w:ascii="宋体" w:hAnsi="宋体" w:eastAsia="宋体" w:cs="宋体"/>
          <w:sz w:val="24"/>
        </w:rPr>
        <w:t>、其他响应人或者</w:t>
      </w:r>
      <w:r>
        <w:rPr>
          <w:rFonts w:hint="eastAsia" w:ascii="宋体" w:hAnsi="宋体" w:eastAsia="宋体" w:cs="宋体"/>
          <w:sz w:val="24"/>
          <w:lang w:eastAsia="zh-CN"/>
        </w:rPr>
        <w:t>采购代理机构</w:t>
      </w:r>
      <w:r>
        <w:rPr>
          <w:rFonts w:hint="eastAsia" w:ascii="宋体" w:hAnsi="宋体" w:eastAsia="宋体" w:cs="宋体"/>
          <w:sz w:val="24"/>
        </w:rPr>
        <w:t>恶意串通的；</w:t>
      </w:r>
    </w:p>
    <w:p w14:paraId="05100C9F">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（七）磋商有效期内，响应人在政府采购活动中有违法、违规、违纪行为。</w:t>
      </w:r>
    </w:p>
    <w:p w14:paraId="2E30F36D">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由此产生的一切法律后果和责任由我公司承担。我公司声明放弃对此提出任何异议和追索的权利。</w:t>
      </w:r>
    </w:p>
    <w:p w14:paraId="27BAE49E">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本公司对上述承诺的内容事项真实性负责。如经查实上述承诺的内容事项存在虚假，我公司愿意接受以提供虚假材料谋取中标追究法律责任。</w:t>
      </w:r>
    </w:p>
    <w:p w14:paraId="5443B016">
      <w:pPr>
        <w:spacing w:line="360" w:lineRule="auto"/>
        <w:ind w:firstLine="480" w:firstLineChars="200"/>
        <w:outlineLvl w:val="9"/>
        <w:rPr>
          <w:rFonts w:hint="eastAsia" w:ascii="宋体" w:hAnsi="宋体" w:eastAsia="宋体" w:cs="宋体"/>
          <w:sz w:val="24"/>
        </w:rPr>
      </w:pPr>
    </w:p>
    <w:p w14:paraId="5EABF502">
      <w:pPr>
        <w:snapToGrid w:val="0"/>
        <w:spacing w:line="360" w:lineRule="auto"/>
        <w:outlineLvl w:val="9"/>
        <w:rPr>
          <w:rFonts w:hint="eastAsia" w:ascii="宋体" w:hAnsi="宋体" w:eastAsia="宋体" w:cs="宋体"/>
          <w:kern w:val="0"/>
          <w:sz w:val="24"/>
        </w:rPr>
      </w:pPr>
    </w:p>
    <w:p w14:paraId="2AA3F3C9">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5EBEFC23">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60C92647">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6687D8B1">
      <w:pPr>
        <w:outlineLvl w:val="9"/>
        <w:rPr>
          <w:rFonts w:hint="eastAsia" w:ascii="宋体" w:hAnsi="宋体" w:eastAsia="宋体" w:cs="宋体"/>
        </w:rPr>
      </w:pPr>
    </w:p>
    <w:p w14:paraId="324DCBA6">
      <w:pPr>
        <w:spacing w:before="120" w:after="120" w:line="360" w:lineRule="auto"/>
        <w:jc w:val="center"/>
        <w:outlineLvl w:val="9"/>
        <w:rPr>
          <w:rFonts w:hint="eastAsia" w:ascii="宋体" w:hAnsi="宋体" w:eastAsia="宋体" w:cs="宋体"/>
          <w:color w:val="000000"/>
          <w:sz w:val="32"/>
          <w:szCs w:val="32"/>
        </w:rPr>
      </w:pPr>
    </w:p>
    <w:p w14:paraId="3B05F2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br w:type="page"/>
      </w:r>
      <w:r>
        <w:rPr>
          <w:rFonts w:hint="eastAsia" w:ascii="宋体" w:hAnsi="宋体" w:eastAsia="宋体" w:cs="宋体"/>
          <w:b/>
          <w:bCs/>
          <w:color w:val="000000"/>
          <w:sz w:val="32"/>
          <w:szCs w:val="32"/>
          <w:lang w:val="en-US" w:eastAsia="zh-CN"/>
        </w:rPr>
        <w:t>五</w:t>
      </w:r>
      <w:r>
        <w:rPr>
          <w:rFonts w:hint="eastAsia" w:ascii="宋体" w:hAnsi="宋体" w:eastAsia="宋体" w:cs="宋体"/>
          <w:b/>
          <w:bCs/>
          <w:color w:val="000000"/>
          <w:sz w:val="32"/>
          <w:szCs w:val="32"/>
        </w:rPr>
        <w:t>、</w:t>
      </w:r>
      <w:r>
        <w:rPr>
          <w:rFonts w:hint="eastAsia" w:ascii="宋体" w:hAnsi="宋体" w:eastAsia="宋体" w:cs="宋体"/>
          <w:b/>
          <w:bCs/>
          <w:color w:val="000000"/>
          <w:sz w:val="32"/>
          <w:szCs w:val="32"/>
          <w:lang w:eastAsia="zh-CN"/>
        </w:rPr>
        <w:t>监理大纲</w:t>
      </w:r>
    </w:p>
    <w:p w14:paraId="71F7DDA1">
      <w:pPr>
        <w:snapToGrid w:val="0"/>
        <w:spacing w:line="360" w:lineRule="auto"/>
        <w:outlineLvl w:val="9"/>
        <w:rPr>
          <w:rFonts w:hint="eastAsia" w:ascii="宋体" w:hAnsi="宋体" w:eastAsia="宋体" w:cs="宋体"/>
          <w:b/>
          <w:bCs/>
          <w:sz w:val="30"/>
          <w:szCs w:val="30"/>
        </w:rPr>
      </w:pPr>
    </w:p>
    <w:p w14:paraId="1389E054">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监理大纲应包括（但不限于）下列内容：</w:t>
      </w:r>
    </w:p>
    <w:p w14:paraId="102B2751">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一、监理工程概况；</w:t>
      </w:r>
    </w:p>
    <w:p w14:paraId="70EC06BE">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二、监理范围、监理内容； </w:t>
      </w:r>
    </w:p>
    <w:p w14:paraId="3E9FA771">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三、监理依据、监理工作目标</w:t>
      </w:r>
    </w:p>
    <w:p w14:paraId="4BD6F189">
      <w:pPr>
        <w:spacing w:before="275"/>
        <w:ind w:left="556" w:right="3833"/>
        <w:jc w:val="left"/>
        <w:rPr>
          <w:rFonts w:ascii="宋体" w:hAnsi="宋体" w:cs="宋体"/>
          <w:color w:val="auto"/>
          <w:spacing w:val="-8"/>
          <w:kern w:val="0"/>
          <w:sz w:val="24"/>
          <w:szCs w:val="24"/>
          <w:highlight w:val="none"/>
        </w:rPr>
      </w:pPr>
      <w:r>
        <w:rPr>
          <w:rFonts w:hint="eastAsia" w:ascii="宋体" w:hAnsi="宋体" w:cs="宋体"/>
          <w:color w:val="auto"/>
          <w:spacing w:val="-8"/>
          <w:kern w:val="0"/>
          <w:sz w:val="24"/>
          <w:szCs w:val="24"/>
          <w:highlight w:val="none"/>
        </w:rPr>
        <w:t>四、监理机构设置（框图）、岗位职责；</w:t>
      </w:r>
    </w:p>
    <w:p w14:paraId="3EE818DD">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五、监理工作程序、方法和制度； </w:t>
      </w:r>
    </w:p>
    <w:p w14:paraId="7EFCEE1A">
      <w:pPr>
        <w:spacing w:before="275"/>
        <w:ind w:left="556" w:right="3833"/>
        <w:jc w:val="left"/>
        <w:rPr>
          <w:rFonts w:ascii="宋体" w:hAnsi="宋体" w:cs="宋体"/>
          <w:color w:val="auto"/>
          <w:spacing w:val="-2"/>
          <w:kern w:val="0"/>
          <w:sz w:val="24"/>
          <w:szCs w:val="24"/>
          <w:highlight w:val="none"/>
        </w:rPr>
      </w:pPr>
      <w:r>
        <w:rPr>
          <w:rFonts w:hint="eastAsia" w:ascii="宋体" w:hAnsi="宋体" w:cs="宋体"/>
          <w:color w:val="auto"/>
          <w:spacing w:val="-2"/>
          <w:kern w:val="0"/>
          <w:sz w:val="24"/>
          <w:szCs w:val="24"/>
          <w:highlight w:val="none"/>
        </w:rPr>
        <w:t>六、质量、进度、造价、安全、环保监理措施；</w:t>
      </w:r>
    </w:p>
    <w:p w14:paraId="53D25326">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七、合同、信息管理方案；</w:t>
      </w:r>
    </w:p>
    <w:p w14:paraId="44FC5849">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八、组织协调内容及措施；</w:t>
      </w:r>
    </w:p>
    <w:p w14:paraId="29F875E4">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九、监理工作重点、难点分析；</w:t>
      </w:r>
    </w:p>
    <w:p w14:paraId="494A1852">
      <w:pPr>
        <w:spacing w:before="275"/>
        <w:ind w:left="556" w:right="383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十、对本工程监理的合理化建议。</w:t>
      </w:r>
    </w:p>
    <w:p w14:paraId="5F47D6A5">
      <w:pPr>
        <w:snapToGrid w:val="0"/>
        <w:spacing w:line="360" w:lineRule="auto"/>
        <w:ind w:firstLine="3313" w:firstLineChars="1100"/>
        <w:outlineLvl w:val="9"/>
        <w:rPr>
          <w:rFonts w:hint="eastAsia" w:ascii="宋体" w:hAnsi="宋体" w:eastAsia="宋体" w:cs="宋体"/>
          <w:b/>
          <w:bCs/>
          <w:sz w:val="30"/>
          <w:szCs w:val="30"/>
        </w:rPr>
      </w:pPr>
    </w:p>
    <w:p w14:paraId="10FC7F34">
      <w:pPr>
        <w:snapToGrid w:val="0"/>
        <w:spacing w:line="360" w:lineRule="auto"/>
        <w:ind w:firstLine="3313" w:firstLineChars="1100"/>
        <w:outlineLvl w:val="9"/>
        <w:rPr>
          <w:rFonts w:hint="eastAsia" w:ascii="宋体" w:hAnsi="宋体" w:eastAsia="宋体" w:cs="宋体"/>
          <w:b/>
          <w:bCs/>
          <w:sz w:val="30"/>
          <w:szCs w:val="30"/>
        </w:rPr>
      </w:pPr>
    </w:p>
    <w:p w14:paraId="24456E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000000"/>
          <w:sz w:val="32"/>
          <w:szCs w:val="32"/>
          <w:lang w:eastAsia="zh-CN"/>
        </w:rPr>
      </w:pPr>
      <w:r>
        <w:rPr>
          <w:rFonts w:hint="eastAsia" w:ascii="宋体" w:hAnsi="宋体" w:eastAsia="宋体" w:cs="宋体"/>
          <w:color w:val="000000"/>
          <w:sz w:val="32"/>
          <w:szCs w:val="32"/>
        </w:rPr>
        <w:br w:type="page"/>
      </w:r>
      <w:r>
        <w:rPr>
          <w:rFonts w:hint="eastAsia" w:ascii="宋体" w:hAnsi="宋体" w:eastAsia="宋体" w:cs="宋体"/>
          <w:b/>
          <w:bCs/>
          <w:color w:val="000000"/>
          <w:sz w:val="32"/>
          <w:szCs w:val="32"/>
          <w:lang w:val="en-US" w:eastAsia="zh-CN"/>
        </w:rPr>
        <w:t>六</w:t>
      </w:r>
      <w:r>
        <w:rPr>
          <w:rFonts w:hint="eastAsia" w:ascii="宋体" w:hAnsi="宋体" w:eastAsia="宋体" w:cs="宋体"/>
          <w:b/>
          <w:bCs/>
          <w:color w:val="000000"/>
          <w:sz w:val="32"/>
          <w:szCs w:val="32"/>
        </w:rPr>
        <w:t>、</w:t>
      </w:r>
      <w:r>
        <w:rPr>
          <w:rFonts w:hint="eastAsia" w:ascii="宋体" w:hAnsi="宋体" w:eastAsia="宋体" w:cs="宋体"/>
          <w:b/>
          <w:bCs/>
          <w:color w:val="000000"/>
          <w:sz w:val="32"/>
          <w:szCs w:val="32"/>
          <w:lang w:eastAsia="zh-CN"/>
        </w:rPr>
        <w:t>资源配置</w:t>
      </w:r>
    </w:p>
    <w:p w14:paraId="7FD01BCE">
      <w:pPr>
        <w:snapToGrid w:val="0"/>
        <w:spacing w:line="360" w:lineRule="auto"/>
        <w:ind w:firstLine="3313" w:firstLineChars="1100"/>
        <w:outlineLvl w:val="9"/>
        <w:rPr>
          <w:rFonts w:hint="eastAsia" w:ascii="宋体" w:hAnsi="宋体" w:eastAsia="宋体" w:cs="宋体"/>
          <w:b/>
          <w:bCs/>
          <w:sz w:val="30"/>
          <w:szCs w:val="30"/>
        </w:rPr>
      </w:pPr>
    </w:p>
    <w:p w14:paraId="58CCC2C8">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1、监理机构设置</w:t>
      </w:r>
    </w:p>
    <w:p w14:paraId="0DF213B6">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2、内部管理规章制度</w:t>
      </w:r>
    </w:p>
    <w:p w14:paraId="0B3188D8">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3、主要监理人员进场计划</w:t>
      </w:r>
    </w:p>
    <w:p w14:paraId="7CD6E2AD">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4、拟投入检测、办公设备</w:t>
      </w:r>
    </w:p>
    <w:p w14:paraId="3C95CA5F">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5、对工程建设的建议</w:t>
      </w:r>
    </w:p>
    <w:p w14:paraId="319B954C">
      <w:pPr>
        <w:keepNext w:val="0"/>
        <w:keepLines w:val="0"/>
        <w:pageBreakBefore w:val="0"/>
        <w:widowControl w:val="0"/>
        <w:kinsoku/>
        <w:wordWrap/>
        <w:overflowPunct/>
        <w:topLinePunct w:val="0"/>
        <w:autoSpaceDE/>
        <w:autoSpaceDN/>
        <w:bidi w:val="0"/>
        <w:adjustRightInd/>
        <w:spacing w:before="275" w:line="360" w:lineRule="auto"/>
        <w:ind w:left="556" w:right="3833"/>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6、人员数量、职称及结构</w:t>
      </w:r>
    </w:p>
    <w:p w14:paraId="19B76F7F">
      <w:pPr>
        <w:snapToGrid w:val="0"/>
        <w:spacing w:line="360" w:lineRule="auto"/>
        <w:ind w:firstLine="3313" w:firstLineChars="1100"/>
        <w:outlineLvl w:val="9"/>
        <w:rPr>
          <w:rFonts w:hint="eastAsia" w:ascii="宋体" w:hAnsi="宋体" w:eastAsia="宋体" w:cs="宋体"/>
          <w:b/>
          <w:bCs/>
          <w:sz w:val="30"/>
          <w:szCs w:val="30"/>
        </w:rPr>
      </w:pPr>
    </w:p>
    <w:p w14:paraId="6060DC94">
      <w:pPr>
        <w:snapToGrid w:val="0"/>
        <w:spacing w:line="360" w:lineRule="auto"/>
        <w:ind w:firstLine="3313" w:firstLineChars="1100"/>
        <w:outlineLvl w:val="9"/>
        <w:rPr>
          <w:rFonts w:hint="eastAsia" w:ascii="宋体" w:hAnsi="宋体" w:eastAsia="宋体" w:cs="宋体"/>
          <w:b/>
          <w:bCs/>
          <w:sz w:val="30"/>
          <w:szCs w:val="30"/>
        </w:rPr>
      </w:pPr>
    </w:p>
    <w:p w14:paraId="4C74F98C">
      <w:pPr>
        <w:snapToGrid w:val="0"/>
        <w:spacing w:line="360" w:lineRule="auto"/>
        <w:ind w:firstLine="3313" w:firstLineChars="1100"/>
        <w:outlineLvl w:val="9"/>
        <w:rPr>
          <w:rFonts w:hint="eastAsia" w:ascii="宋体" w:hAnsi="宋体" w:eastAsia="宋体" w:cs="宋体"/>
          <w:b/>
          <w:bCs/>
          <w:sz w:val="30"/>
          <w:szCs w:val="30"/>
        </w:rPr>
      </w:pPr>
    </w:p>
    <w:p w14:paraId="3C51949C">
      <w:pPr>
        <w:snapToGrid w:val="0"/>
        <w:spacing w:line="360" w:lineRule="auto"/>
        <w:ind w:firstLine="3313" w:firstLineChars="1100"/>
        <w:outlineLvl w:val="9"/>
        <w:rPr>
          <w:rFonts w:hint="eastAsia" w:ascii="宋体" w:hAnsi="宋体" w:eastAsia="宋体" w:cs="宋体"/>
          <w:b/>
          <w:bCs/>
          <w:sz w:val="30"/>
          <w:szCs w:val="30"/>
        </w:rPr>
      </w:pPr>
    </w:p>
    <w:p w14:paraId="3B0E5347">
      <w:pPr>
        <w:snapToGrid w:val="0"/>
        <w:spacing w:line="360" w:lineRule="auto"/>
        <w:ind w:firstLine="3313" w:firstLineChars="1100"/>
        <w:outlineLvl w:val="9"/>
        <w:rPr>
          <w:rFonts w:hint="eastAsia" w:ascii="宋体" w:hAnsi="宋体" w:eastAsia="宋体" w:cs="宋体"/>
          <w:b/>
          <w:bCs/>
          <w:sz w:val="30"/>
          <w:szCs w:val="30"/>
        </w:rPr>
      </w:pPr>
    </w:p>
    <w:p w14:paraId="6BA2B4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b/>
          <w:bCs/>
          <w:color w:val="000000"/>
          <w:sz w:val="32"/>
          <w:szCs w:val="32"/>
          <w:lang w:val="en-US" w:eastAsia="zh-CN"/>
        </w:rPr>
        <w:t>七</w:t>
      </w:r>
      <w:r>
        <w:rPr>
          <w:rFonts w:hint="eastAsia" w:ascii="宋体" w:hAnsi="宋体" w:eastAsia="宋体" w:cs="宋体"/>
          <w:b/>
          <w:bCs/>
          <w:color w:val="000000"/>
          <w:sz w:val="32"/>
          <w:szCs w:val="32"/>
        </w:rPr>
        <w:t>、项目管理机构配备情况</w:t>
      </w:r>
    </w:p>
    <w:p w14:paraId="121F3DFC">
      <w:pPr>
        <w:snapToGrid w:val="0"/>
        <w:spacing w:line="360" w:lineRule="auto"/>
        <w:jc w:val="center"/>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（一）拟投入本项目人员汇总表</w:t>
      </w:r>
    </w:p>
    <w:tbl>
      <w:tblPr>
        <w:tblStyle w:val="16"/>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909"/>
        <w:gridCol w:w="750"/>
        <w:gridCol w:w="1317"/>
        <w:gridCol w:w="984"/>
        <w:gridCol w:w="816"/>
        <w:gridCol w:w="882"/>
        <w:gridCol w:w="2275"/>
      </w:tblGrid>
      <w:tr w14:paraId="386F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vMerge w:val="restart"/>
            <w:noWrap w:val="0"/>
            <w:vAlign w:val="center"/>
          </w:tcPr>
          <w:p w14:paraId="706B41AD">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序号</w:t>
            </w:r>
          </w:p>
        </w:tc>
        <w:tc>
          <w:tcPr>
            <w:tcW w:w="909" w:type="dxa"/>
            <w:vMerge w:val="restart"/>
            <w:noWrap w:val="0"/>
            <w:vAlign w:val="center"/>
          </w:tcPr>
          <w:p w14:paraId="4F08AE38">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姓名</w:t>
            </w:r>
          </w:p>
        </w:tc>
        <w:tc>
          <w:tcPr>
            <w:tcW w:w="750" w:type="dxa"/>
            <w:vMerge w:val="restart"/>
            <w:noWrap w:val="0"/>
            <w:vAlign w:val="center"/>
          </w:tcPr>
          <w:p w14:paraId="0172AFA9">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职称</w:t>
            </w:r>
          </w:p>
        </w:tc>
        <w:tc>
          <w:tcPr>
            <w:tcW w:w="3999" w:type="dxa"/>
            <w:gridSpan w:val="4"/>
            <w:noWrap w:val="0"/>
            <w:vAlign w:val="center"/>
          </w:tcPr>
          <w:p w14:paraId="41388921">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执业或职业资格证明</w:t>
            </w:r>
          </w:p>
        </w:tc>
        <w:tc>
          <w:tcPr>
            <w:tcW w:w="2275" w:type="dxa"/>
            <w:vMerge w:val="restart"/>
            <w:noWrap w:val="0"/>
            <w:vAlign w:val="center"/>
          </w:tcPr>
          <w:p w14:paraId="75679E44">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在本项目拟任职务</w:t>
            </w:r>
          </w:p>
        </w:tc>
      </w:tr>
      <w:tr w14:paraId="3A76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vMerge w:val="continue"/>
            <w:noWrap w:val="0"/>
            <w:vAlign w:val="top"/>
          </w:tcPr>
          <w:p w14:paraId="69D76FBC">
            <w:pPr>
              <w:spacing w:line="360" w:lineRule="auto"/>
              <w:jc w:val="center"/>
              <w:outlineLvl w:val="9"/>
              <w:rPr>
                <w:rFonts w:hint="eastAsia" w:ascii="宋体" w:hAnsi="宋体" w:eastAsia="宋体" w:cs="宋体"/>
                <w:sz w:val="24"/>
              </w:rPr>
            </w:pPr>
          </w:p>
        </w:tc>
        <w:tc>
          <w:tcPr>
            <w:tcW w:w="909" w:type="dxa"/>
            <w:vMerge w:val="continue"/>
            <w:noWrap w:val="0"/>
            <w:vAlign w:val="top"/>
          </w:tcPr>
          <w:p w14:paraId="307D1B27">
            <w:pPr>
              <w:spacing w:line="360" w:lineRule="auto"/>
              <w:jc w:val="center"/>
              <w:outlineLvl w:val="9"/>
              <w:rPr>
                <w:rFonts w:hint="eastAsia" w:ascii="宋体" w:hAnsi="宋体" w:eastAsia="宋体" w:cs="宋体"/>
                <w:sz w:val="24"/>
              </w:rPr>
            </w:pPr>
          </w:p>
        </w:tc>
        <w:tc>
          <w:tcPr>
            <w:tcW w:w="750" w:type="dxa"/>
            <w:vMerge w:val="continue"/>
            <w:noWrap w:val="0"/>
            <w:vAlign w:val="top"/>
          </w:tcPr>
          <w:p w14:paraId="134EFFD8">
            <w:pPr>
              <w:spacing w:line="360" w:lineRule="auto"/>
              <w:jc w:val="center"/>
              <w:outlineLvl w:val="9"/>
              <w:rPr>
                <w:rFonts w:hint="eastAsia" w:ascii="宋体" w:hAnsi="宋体" w:eastAsia="宋体" w:cs="宋体"/>
                <w:sz w:val="24"/>
              </w:rPr>
            </w:pPr>
          </w:p>
        </w:tc>
        <w:tc>
          <w:tcPr>
            <w:tcW w:w="1317" w:type="dxa"/>
            <w:noWrap w:val="0"/>
            <w:vAlign w:val="top"/>
          </w:tcPr>
          <w:p w14:paraId="502C2D0E">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证书名称</w:t>
            </w:r>
          </w:p>
        </w:tc>
        <w:tc>
          <w:tcPr>
            <w:tcW w:w="984" w:type="dxa"/>
            <w:noWrap w:val="0"/>
            <w:vAlign w:val="top"/>
          </w:tcPr>
          <w:p w14:paraId="5FF26BAE">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级别</w:t>
            </w:r>
          </w:p>
        </w:tc>
        <w:tc>
          <w:tcPr>
            <w:tcW w:w="816" w:type="dxa"/>
            <w:noWrap w:val="0"/>
            <w:vAlign w:val="top"/>
          </w:tcPr>
          <w:p w14:paraId="3750EB2A">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证号</w:t>
            </w:r>
          </w:p>
        </w:tc>
        <w:tc>
          <w:tcPr>
            <w:tcW w:w="882" w:type="dxa"/>
            <w:noWrap w:val="0"/>
            <w:vAlign w:val="top"/>
          </w:tcPr>
          <w:p w14:paraId="71B2DF95">
            <w:pPr>
              <w:spacing w:line="360" w:lineRule="auto"/>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专业</w:t>
            </w:r>
          </w:p>
        </w:tc>
        <w:tc>
          <w:tcPr>
            <w:tcW w:w="2275" w:type="dxa"/>
            <w:vMerge w:val="continue"/>
            <w:noWrap w:val="0"/>
            <w:vAlign w:val="top"/>
          </w:tcPr>
          <w:p w14:paraId="10E759BA">
            <w:pPr>
              <w:spacing w:line="360" w:lineRule="auto"/>
              <w:jc w:val="center"/>
              <w:outlineLvl w:val="9"/>
              <w:rPr>
                <w:rFonts w:hint="eastAsia" w:ascii="宋体" w:hAnsi="宋体" w:eastAsia="宋体" w:cs="宋体"/>
                <w:sz w:val="24"/>
              </w:rPr>
            </w:pPr>
          </w:p>
        </w:tc>
      </w:tr>
      <w:tr w14:paraId="1182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6979896">
            <w:pPr>
              <w:spacing w:line="360" w:lineRule="auto"/>
              <w:jc w:val="center"/>
              <w:outlineLvl w:val="9"/>
              <w:rPr>
                <w:rFonts w:hint="eastAsia" w:ascii="宋体" w:hAnsi="宋体" w:eastAsia="宋体" w:cs="宋体"/>
                <w:sz w:val="24"/>
              </w:rPr>
            </w:pPr>
          </w:p>
        </w:tc>
        <w:tc>
          <w:tcPr>
            <w:tcW w:w="909" w:type="dxa"/>
            <w:noWrap w:val="0"/>
            <w:vAlign w:val="top"/>
          </w:tcPr>
          <w:p w14:paraId="54703872">
            <w:pPr>
              <w:spacing w:line="360" w:lineRule="auto"/>
              <w:jc w:val="center"/>
              <w:outlineLvl w:val="9"/>
              <w:rPr>
                <w:rFonts w:hint="eastAsia" w:ascii="宋体" w:hAnsi="宋体" w:eastAsia="宋体" w:cs="宋体"/>
                <w:sz w:val="24"/>
              </w:rPr>
            </w:pPr>
          </w:p>
        </w:tc>
        <w:tc>
          <w:tcPr>
            <w:tcW w:w="750" w:type="dxa"/>
            <w:noWrap w:val="0"/>
            <w:vAlign w:val="top"/>
          </w:tcPr>
          <w:p w14:paraId="543802A8">
            <w:pPr>
              <w:spacing w:line="360" w:lineRule="auto"/>
              <w:jc w:val="center"/>
              <w:outlineLvl w:val="9"/>
              <w:rPr>
                <w:rFonts w:hint="eastAsia" w:ascii="宋体" w:hAnsi="宋体" w:eastAsia="宋体" w:cs="宋体"/>
                <w:sz w:val="24"/>
              </w:rPr>
            </w:pPr>
          </w:p>
        </w:tc>
        <w:tc>
          <w:tcPr>
            <w:tcW w:w="1317" w:type="dxa"/>
            <w:noWrap w:val="0"/>
            <w:vAlign w:val="top"/>
          </w:tcPr>
          <w:p w14:paraId="443E17E2">
            <w:pPr>
              <w:spacing w:line="360" w:lineRule="auto"/>
              <w:jc w:val="center"/>
              <w:outlineLvl w:val="9"/>
              <w:rPr>
                <w:rFonts w:hint="eastAsia" w:ascii="宋体" w:hAnsi="宋体" w:eastAsia="宋体" w:cs="宋体"/>
                <w:sz w:val="24"/>
              </w:rPr>
            </w:pPr>
          </w:p>
        </w:tc>
        <w:tc>
          <w:tcPr>
            <w:tcW w:w="984" w:type="dxa"/>
            <w:noWrap w:val="0"/>
            <w:vAlign w:val="top"/>
          </w:tcPr>
          <w:p w14:paraId="5CB2EA15">
            <w:pPr>
              <w:spacing w:line="360" w:lineRule="auto"/>
              <w:jc w:val="center"/>
              <w:outlineLvl w:val="9"/>
              <w:rPr>
                <w:rFonts w:hint="eastAsia" w:ascii="宋体" w:hAnsi="宋体" w:eastAsia="宋体" w:cs="宋体"/>
                <w:sz w:val="24"/>
              </w:rPr>
            </w:pPr>
          </w:p>
        </w:tc>
        <w:tc>
          <w:tcPr>
            <w:tcW w:w="816" w:type="dxa"/>
            <w:noWrap w:val="0"/>
            <w:vAlign w:val="top"/>
          </w:tcPr>
          <w:p w14:paraId="0694E290">
            <w:pPr>
              <w:spacing w:line="360" w:lineRule="auto"/>
              <w:jc w:val="center"/>
              <w:outlineLvl w:val="9"/>
              <w:rPr>
                <w:rFonts w:hint="eastAsia" w:ascii="宋体" w:hAnsi="宋体" w:eastAsia="宋体" w:cs="宋体"/>
                <w:sz w:val="24"/>
              </w:rPr>
            </w:pPr>
          </w:p>
        </w:tc>
        <w:tc>
          <w:tcPr>
            <w:tcW w:w="882" w:type="dxa"/>
            <w:noWrap w:val="0"/>
            <w:vAlign w:val="top"/>
          </w:tcPr>
          <w:p w14:paraId="42ACBC27">
            <w:pPr>
              <w:spacing w:line="360" w:lineRule="auto"/>
              <w:jc w:val="center"/>
              <w:outlineLvl w:val="9"/>
              <w:rPr>
                <w:rFonts w:hint="eastAsia" w:ascii="宋体" w:hAnsi="宋体" w:eastAsia="宋体" w:cs="宋体"/>
                <w:sz w:val="24"/>
              </w:rPr>
            </w:pPr>
          </w:p>
        </w:tc>
        <w:tc>
          <w:tcPr>
            <w:tcW w:w="2275" w:type="dxa"/>
            <w:noWrap w:val="0"/>
            <w:vAlign w:val="top"/>
          </w:tcPr>
          <w:p w14:paraId="1E39814F">
            <w:pPr>
              <w:spacing w:line="360" w:lineRule="auto"/>
              <w:jc w:val="center"/>
              <w:outlineLvl w:val="9"/>
              <w:rPr>
                <w:rFonts w:hint="eastAsia" w:ascii="宋体" w:hAnsi="宋体" w:eastAsia="宋体" w:cs="宋体"/>
                <w:sz w:val="24"/>
              </w:rPr>
            </w:pPr>
          </w:p>
        </w:tc>
      </w:tr>
      <w:tr w14:paraId="2408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8293E01">
            <w:pPr>
              <w:spacing w:line="360" w:lineRule="auto"/>
              <w:jc w:val="center"/>
              <w:outlineLvl w:val="9"/>
              <w:rPr>
                <w:rFonts w:hint="eastAsia" w:ascii="宋体" w:hAnsi="宋体" w:eastAsia="宋体" w:cs="宋体"/>
                <w:sz w:val="24"/>
              </w:rPr>
            </w:pPr>
          </w:p>
        </w:tc>
        <w:tc>
          <w:tcPr>
            <w:tcW w:w="909" w:type="dxa"/>
            <w:noWrap w:val="0"/>
            <w:vAlign w:val="top"/>
          </w:tcPr>
          <w:p w14:paraId="485870B1">
            <w:pPr>
              <w:spacing w:line="360" w:lineRule="auto"/>
              <w:jc w:val="center"/>
              <w:outlineLvl w:val="9"/>
              <w:rPr>
                <w:rFonts w:hint="eastAsia" w:ascii="宋体" w:hAnsi="宋体" w:eastAsia="宋体" w:cs="宋体"/>
                <w:sz w:val="24"/>
              </w:rPr>
            </w:pPr>
          </w:p>
        </w:tc>
        <w:tc>
          <w:tcPr>
            <w:tcW w:w="750" w:type="dxa"/>
            <w:noWrap w:val="0"/>
            <w:vAlign w:val="top"/>
          </w:tcPr>
          <w:p w14:paraId="1B07BEBE">
            <w:pPr>
              <w:spacing w:line="360" w:lineRule="auto"/>
              <w:jc w:val="center"/>
              <w:outlineLvl w:val="9"/>
              <w:rPr>
                <w:rFonts w:hint="eastAsia" w:ascii="宋体" w:hAnsi="宋体" w:eastAsia="宋体" w:cs="宋体"/>
                <w:sz w:val="24"/>
              </w:rPr>
            </w:pPr>
          </w:p>
        </w:tc>
        <w:tc>
          <w:tcPr>
            <w:tcW w:w="1317" w:type="dxa"/>
            <w:noWrap w:val="0"/>
            <w:vAlign w:val="top"/>
          </w:tcPr>
          <w:p w14:paraId="11B62C2B">
            <w:pPr>
              <w:spacing w:line="360" w:lineRule="auto"/>
              <w:jc w:val="center"/>
              <w:outlineLvl w:val="9"/>
              <w:rPr>
                <w:rFonts w:hint="eastAsia" w:ascii="宋体" w:hAnsi="宋体" w:eastAsia="宋体" w:cs="宋体"/>
                <w:sz w:val="24"/>
              </w:rPr>
            </w:pPr>
          </w:p>
        </w:tc>
        <w:tc>
          <w:tcPr>
            <w:tcW w:w="984" w:type="dxa"/>
            <w:noWrap w:val="0"/>
            <w:vAlign w:val="top"/>
          </w:tcPr>
          <w:p w14:paraId="083D7A88">
            <w:pPr>
              <w:spacing w:line="360" w:lineRule="auto"/>
              <w:jc w:val="center"/>
              <w:outlineLvl w:val="9"/>
              <w:rPr>
                <w:rFonts w:hint="eastAsia" w:ascii="宋体" w:hAnsi="宋体" w:eastAsia="宋体" w:cs="宋体"/>
                <w:sz w:val="24"/>
              </w:rPr>
            </w:pPr>
          </w:p>
        </w:tc>
        <w:tc>
          <w:tcPr>
            <w:tcW w:w="816" w:type="dxa"/>
            <w:noWrap w:val="0"/>
            <w:vAlign w:val="top"/>
          </w:tcPr>
          <w:p w14:paraId="36510C54">
            <w:pPr>
              <w:spacing w:line="360" w:lineRule="auto"/>
              <w:jc w:val="center"/>
              <w:outlineLvl w:val="9"/>
              <w:rPr>
                <w:rFonts w:hint="eastAsia" w:ascii="宋体" w:hAnsi="宋体" w:eastAsia="宋体" w:cs="宋体"/>
                <w:sz w:val="24"/>
              </w:rPr>
            </w:pPr>
          </w:p>
        </w:tc>
        <w:tc>
          <w:tcPr>
            <w:tcW w:w="882" w:type="dxa"/>
            <w:noWrap w:val="0"/>
            <w:vAlign w:val="top"/>
          </w:tcPr>
          <w:p w14:paraId="48A30EBF">
            <w:pPr>
              <w:spacing w:line="360" w:lineRule="auto"/>
              <w:jc w:val="center"/>
              <w:outlineLvl w:val="9"/>
              <w:rPr>
                <w:rFonts w:hint="eastAsia" w:ascii="宋体" w:hAnsi="宋体" w:eastAsia="宋体" w:cs="宋体"/>
                <w:sz w:val="24"/>
              </w:rPr>
            </w:pPr>
          </w:p>
        </w:tc>
        <w:tc>
          <w:tcPr>
            <w:tcW w:w="2275" w:type="dxa"/>
            <w:noWrap w:val="0"/>
            <w:vAlign w:val="top"/>
          </w:tcPr>
          <w:p w14:paraId="701428C5">
            <w:pPr>
              <w:spacing w:line="360" w:lineRule="auto"/>
              <w:jc w:val="center"/>
              <w:outlineLvl w:val="9"/>
              <w:rPr>
                <w:rFonts w:hint="eastAsia" w:ascii="宋体" w:hAnsi="宋体" w:eastAsia="宋体" w:cs="宋体"/>
                <w:sz w:val="24"/>
              </w:rPr>
            </w:pPr>
          </w:p>
        </w:tc>
      </w:tr>
      <w:tr w14:paraId="1AC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5A5D701">
            <w:pPr>
              <w:spacing w:line="360" w:lineRule="auto"/>
              <w:jc w:val="center"/>
              <w:outlineLvl w:val="9"/>
              <w:rPr>
                <w:rFonts w:hint="eastAsia" w:ascii="宋体" w:hAnsi="宋体" w:eastAsia="宋体" w:cs="宋体"/>
                <w:sz w:val="24"/>
              </w:rPr>
            </w:pPr>
          </w:p>
        </w:tc>
        <w:tc>
          <w:tcPr>
            <w:tcW w:w="909" w:type="dxa"/>
            <w:noWrap w:val="0"/>
            <w:vAlign w:val="top"/>
          </w:tcPr>
          <w:p w14:paraId="471D68F7">
            <w:pPr>
              <w:spacing w:line="360" w:lineRule="auto"/>
              <w:jc w:val="center"/>
              <w:outlineLvl w:val="9"/>
              <w:rPr>
                <w:rFonts w:hint="eastAsia" w:ascii="宋体" w:hAnsi="宋体" w:eastAsia="宋体" w:cs="宋体"/>
                <w:sz w:val="24"/>
              </w:rPr>
            </w:pPr>
          </w:p>
        </w:tc>
        <w:tc>
          <w:tcPr>
            <w:tcW w:w="750" w:type="dxa"/>
            <w:noWrap w:val="0"/>
            <w:vAlign w:val="top"/>
          </w:tcPr>
          <w:p w14:paraId="0916ED42">
            <w:pPr>
              <w:spacing w:line="360" w:lineRule="auto"/>
              <w:jc w:val="center"/>
              <w:outlineLvl w:val="9"/>
              <w:rPr>
                <w:rFonts w:hint="eastAsia" w:ascii="宋体" w:hAnsi="宋体" w:eastAsia="宋体" w:cs="宋体"/>
                <w:sz w:val="24"/>
              </w:rPr>
            </w:pPr>
          </w:p>
        </w:tc>
        <w:tc>
          <w:tcPr>
            <w:tcW w:w="1317" w:type="dxa"/>
            <w:noWrap w:val="0"/>
            <w:vAlign w:val="top"/>
          </w:tcPr>
          <w:p w14:paraId="2DA55582">
            <w:pPr>
              <w:spacing w:line="360" w:lineRule="auto"/>
              <w:jc w:val="center"/>
              <w:outlineLvl w:val="9"/>
              <w:rPr>
                <w:rFonts w:hint="eastAsia" w:ascii="宋体" w:hAnsi="宋体" w:eastAsia="宋体" w:cs="宋体"/>
                <w:sz w:val="24"/>
              </w:rPr>
            </w:pPr>
          </w:p>
        </w:tc>
        <w:tc>
          <w:tcPr>
            <w:tcW w:w="984" w:type="dxa"/>
            <w:noWrap w:val="0"/>
            <w:vAlign w:val="top"/>
          </w:tcPr>
          <w:p w14:paraId="199408A1">
            <w:pPr>
              <w:spacing w:line="360" w:lineRule="auto"/>
              <w:jc w:val="center"/>
              <w:outlineLvl w:val="9"/>
              <w:rPr>
                <w:rFonts w:hint="eastAsia" w:ascii="宋体" w:hAnsi="宋体" w:eastAsia="宋体" w:cs="宋体"/>
                <w:sz w:val="24"/>
              </w:rPr>
            </w:pPr>
          </w:p>
        </w:tc>
        <w:tc>
          <w:tcPr>
            <w:tcW w:w="816" w:type="dxa"/>
            <w:noWrap w:val="0"/>
            <w:vAlign w:val="top"/>
          </w:tcPr>
          <w:p w14:paraId="287F4C73">
            <w:pPr>
              <w:spacing w:line="360" w:lineRule="auto"/>
              <w:jc w:val="center"/>
              <w:outlineLvl w:val="9"/>
              <w:rPr>
                <w:rFonts w:hint="eastAsia" w:ascii="宋体" w:hAnsi="宋体" w:eastAsia="宋体" w:cs="宋体"/>
                <w:sz w:val="24"/>
              </w:rPr>
            </w:pPr>
          </w:p>
        </w:tc>
        <w:tc>
          <w:tcPr>
            <w:tcW w:w="882" w:type="dxa"/>
            <w:noWrap w:val="0"/>
            <w:vAlign w:val="top"/>
          </w:tcPr>
          <w:p w14:paraId="775CB937">
            <w:pPr>
              <w:spacing w:line="360" w:lineRule="auto"/>
              <w:jc w:val="center"/>
              <w:outlineLvl w:val="9"/>
              <w:rPr>
                <w:rFonts w:hint="eastAsia" w:ascii="宋体" w:hAnsi="宋体" w:eastAsia="宋体" w:cs="宋体"/>
                <w:sz w:val="24"/>
              </w:rPr>
            </w:pPr>
          </w:p>
        </w:tc>
        <w:tc>
          <w:tcPr>
            <w:tcW w:w="2275" w:type="dxa"/>
            <w:noWrap w:val="0"/>
            <w:vAlign w:val="top"/>
          </w:tcPr>
          <w:p w14:paraId="0A113537">
            <w:pPr>
              <w:spacing w:line="360" w:lineRule="auto"/>
              <w:jc w:val="center"/>
              <w:outlineLvl w:val="9"/>
              <w:rPr>
                <w:rFonts w:hint="eastAsia" w:ascii="宋体" w:hAnsi="宋体" w:eastAsia="宋体" w:cs="宋体"/>
                <w:sz w:val="24"/>
              </w:rPr>
            </w:pPr>
          </w:p>
        </w:tc>
      </w:tr>
      <w:tr w14:paraId="7B2F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4853CA6">
            <w:pPr>
              <w:spacing w:line="360" w:lineRule="auto"/>
              <w:jc w:val="center"/>
              <w:outlineLvl w:val="9"/>
              <w:rPr>
                <w:rFonts w:hint="eastAsia" w:ascii="宋体" w:hAnsi="宋体" w:eastAsia="宋体" w:cs="宋体"/>
                <w:sz w:val="24"/>
              </w:rPr>
            </w:pPr>
          </w:p>
        </w:tc>
        <w:tc>
          <w:tcPr>
            <w:tcW w:w="909" w:type="dxa"/>
            <w:noWrap w:val="0"/>
            <w:vAlign w:val="top"/>
          </w:tcPr>
          <w:p w14:paraId="0AB2BE53">
            <w:pPr>
              <w:spacing w:line="360" w:lineRule="auto"/>
              <w:jc w:val="center"/>
              <w:outlineLvl w:val="9"/>
              <w:rPr>
                <w:rFonts w:hint="eastAsia" w:ascii="宋体" w:hAnsi="宋体" w:eastAsia="宋体" w:cs="宋体"/>
                <w:sz w:val="24"/>
              </w:rPr>
            </w:pPr>
          </w:p>
        </w:tc>
        <w:tc>
          <w:tcPr>
            <w:tcW w:w="750" w:type="dxa"/>
            <w:noWrap w:val="0"/>
            <w:vAlign w:val="top"/>
          </w:tcPr>
          <w:p w14:paraId="5E601362">
            <w:pPr>
              <w:spacing w:line="360" w:lineRule="auto"/>
              <w:jc w:val="center"/>
              <w:outlineLvl w:val="9"/>
              <w:rPr>
                <w:rFonts w:hint="eastAsia" w:ascii="宋体" w:hAnsi="宋体" w:eastAsia="宋体" w:cs="宋体"/>
                <w:sz w:val="24"/>
              </w:rPr>
            </w:pPr>
          </w:p>
        </w:tc>
        <w:tc>
          <w:tcPr>
            <w:tcW w:w="1317" w:type="dxa"/>
            <w:noWrap w:val="0"/>
            <w:vAlign w:val="top"/>
          </w:tcPr>
          <w:p w14:paraId="5368D205">
            <w:pPr>
              <w:spacing w:line="360" w:lineRule="auto"/>
              <w:jc w:val="center"/>
              <w:outlineLvl w:val="9"/>
              <w:rPr>
                <w:rFonts w:hint="eastAsia" w:ascii="宋体" w:hAnsi="宋体" w:eastAsia="宋体" w:cs="宋体"/>
                <w:sz w:val="24"/>
              </w:rPr>
            </w:pPr>
          </w:p>
        </w:tc>
        <w:tc>
          <w:tcPr>
            <w:tcW w:w="984" w:type="dxa"/>
            <w:noWrap w:val="0"/>
            <w:vAlign w:val="top"/>
          </w:tcPr>
          <w:p w14:paraId="7CC45595">
            <w:pPr>
              <w:spacing w:line="360" w:lineRule="auto"/>
              <w:jc w:val="center"/>
              <w:outlineLvl w:val="9"/>
              <w:rPr>
                <w:rFonts w:hint="eastAsia" w:ascii="宋体" w:hAnsi="宋体" w:eastAsia="宋体" w:cs="宋体"/>
                <w:sz w:val="24"/>
              </w:rPr>
            </w:pPr>
          </w:p>
        </w:tc>
        <w:tc>
          <w:tcPr>
            <w:tcW w:w="816" w:type="dxa"/>
            <w:noWrap w:val="0"/>
            <w:vAlign w:val="top"/>
          </w:tcPr>
          <w:p w14:paraId="1B9FD142">
            <w:pPr>
              <w:spacing w:line="360" w:lineRule="auto"/>
              <w:jc w:val="center"/>
              <w:outlineLvl w:val="9"/>
              <w:rPr>
                <w:rFonts w:hint="eastAsia" w:ascii="宋体" w:hAnsi="宋体" w:eastAsia="宋体" w:cs="宋体"/>
                <w:sz w:val="24"/>
              </w:rPr>
            </w:pPr>
          </w:p>
        </w:tc>
        <w:tc>
          <w:tcPr>
            <w:tcW w:w="882" w:type="dxa"/>
            <w:noWrap w:val="0"/>
            <w:vAlign w:val="top"/>
          </w:tcPr>
          <w:p w14:paraId="1A396CD9">
            <w:pPr>
              <w:spacing w:line="360" w:lineRule="auto"/>
              <w:jc w:val="center"/>
              <w:outlineLvl w:val="9"/>
              <w:rPr>
                <w:rFonts w:hint="eastAsia" w:ascii="宋体" w:hAnsi="宋体" w:eastAsia="宋体" w:cs="宋体"/>
                <w:sz w:val="24"/>
              </w:rPr>
            </w:pPr>
          </w:p>
        </w:tc>
        <w:tc>
          <w:tcPr>
            <w:tcW w:w="2275" w:type="dxa"/>
            <w:noWrap w:val="0"/>
            <w:vAlign w:val="top"/>
          </w:tcPr>
          <w:p w14:paraId="58FD9184">
            <w:pPr>
              <w:spacing w:line="360" w:lineRule="auto"/>
              <w:jc w:val="center"/>
              <w:outlineLvl w:val="9"/>
              <w:rPr>
                <w:rFonts w:hint="eastAsia" w:ascii="宋体" w:hAnsi="宋体" w:eastAsia="宋体" w:cs="宋体"/>
                <w:sz w:val="24"/>
              </w:rPr>
            </w:pPr>
          </w:p>
        </w:tc>
      </w:tr>
      <w:tr w14:paraId="32A1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749C970">
            <w:pPr>
              <w:spacing w:line="360" w:lineRule="auto"/>
              <w:jc w:val="center"/>
              <w:outlineLvl w:val="9"/>
              <w:rPr>
                <w:rFonts w:hint="eastAsia" w:ascii="宋体" w:hAnsi="宋体" w:eastAsia="宋体" w:cs="宋体"/>
                <w:sz w:val="24"/>
              </w:rPr>
            </w:pPr>
          </w:p>
        </w:tc>
        <w:tc>
          <w:tcPr>
            <w:tcW w:w="909" w:type="dxa"/>
            <w:noWrap w:val="0"/>
            <w:vAlign w:val="top"/>
          </w:tcPr>
          <w:p w14:paraId="34A12CFA">
            <w:pPr>
              <w:spacing w:line="360" w:lineRule="auto"/>
              <w:jc w:val="center"/>
              <w:outlineLvl w:val="9"/>
              <w:rPr>
                <w:rFonts w:hint="eastAsia" w:ascii="宋体" w:hAnsi="宋体" w:eastAsia="宋体" w:cs="宋体"/>
                <w:sz w:val="24"/>
              </w:rPr>
            </w:pPr>
          </w:p>
        </w:tc>
        <w:tc>
          <w:tcPr>
            <w:tcW w:w="750" w:type="dxa"/>
            <w:noWrap w:val="0"/>
            <w:vAlign w:val="top"/>
          </w:tcPr>
          <w:p w14:paraId="4FFB984A">
            <w:pPr>
              <w:spacing w:line="360" w:lineRule="auto"/>
              <w:jc w:val="center"/>
              <w:outlineLvl w:val="9"/>
              <w:rPr>
                <w:rFonts w:hint="eastAsia" w:ascii="宋体" w:hAnsi="宋体" w:eastAsia="宋体" w:cs="宋体"/>
                <w:sz w:val="24"/>
              </w:rPr>
            </w:pPr>
          </w:p>
        </w:tc>
        <w:tc>
          <w:tcPr>
            <w:tcW w:w="1317" w:type="dxa"/>
            <w:noWrap w:val="0"/>
            <w:vAlign w:val="top"/>
          </w:tcPr>
          <w:p w14:paraId="712F578F">
            <w:pPr>
              <w:spacing w:line="360" w:lineRule="auto"/>
              <w:jc w:val="center"/>
              <w:outlineLvl w:val="9"/>
              <w:rPr>
                <w:rFonts w:hint="eastAsia" w:ascii="宋体" w:hAnsi="宋体" w:eastAsia="宋体" w:cs="宋体"/>
                <w:sz w:val="24"/>
              </w:rPr>
            </w:pPr>
          </w:p>
        </w:tc>
        <w:tc>
          <w:tcPr>
            <w:tcW w:w="984" w:type="dxa"/>
            <w:noWrap w:val="0"/>
            <w:vAlign w:val="top"/>
          </w:tcPr>
          <w:p w14:paraId="64B81C88">
            <w:pPr>
              <w:spacing w:line="360" w:lineRule="auto"/>
              <w:jc w:val="center"/>
              <w:outlineLvl w:val="9"/>
              <w:rPr>
                <w:rFonts w:hint="eastAsia" w:ascii="宋体" w:hAnsi="宋体" w:eastAsia="宋体" w:cs="宋体"/>
                <w:sz w:val="24"/>
              </w:rPr>
            </w:pPr>
          </w:p>
        </w:tc>
        <w:tc>
          <w:tcPr>
            <w:tcW w:w="816" w:type="dxa"/>
            <w:noWrap w:val="0"/>
            <w:vAlign w:val="top"/>
          </w:tcPr>
          <w:p w14:paraId="1234AB8C">
            <w:pPr>
              <w:spacing w:line="360" w:lineRule="auto"/>
              <w:jc w:val="center"/>
              <w:outlineLvl w:val="9"/>
              <w:rPr>
                <w:rFonts w:hint="eastAsia" w:ascii="宋体" w:hAnsi="宋体" w:eastAsia="宋体" w:cs="宋体"/>
                <w:sz w:val="24"/>
              </w:rPr>
            </w:pPr>
          </w:p>
        </w:tc>
        <w:tc>
          <w:tcPr>
            <w:tcW w:w="882" w:type="dxa"/>
            <w:noWrap w:val="0"/>
            <w:vAlign w:val="top"/>
          </w:tcPr>
          <w:p w14:paraId="0164E467">
            <w:pPr>
              <w:spacing w:line="360" w:lineRule="auto"/>
              <w:jc w:val="center"/>
              <w:outlineLvl w:val="9"/>
              <w:rPr>
                <w:rFonts w:hint="eastAsia" w:ascii="宋体" w:hAnsi="宋体" w:eastAsia="宋体" w:cs="宋体"/>
                <w:sz w:val="24"/>
              </w:rPr>
            </w:pPr>
          </w:p>
        </w:tc>
        <w:tc>
          <w:tcPr>
            <w:tcW w:w="2275" w:type="dxa"/>
            <w:noWrap w:val="0"/>
            <w:vAlign w:val="top"/>
          </w:tcPr>
          <w:p w14:paraId="2989D2D6">
            <w:pPr>
              <w:spacing w:line="360" w:lineRule="auto"/>
              <w:jc w:val="center"/>
              <w:outlineLvl w:val="9"/>
              <w:rPr>
                <w:rFonts w:hint="eastAsia" w:ascii="宋体" w:hAnsi="宋体" w:eastAsia="宋体" w:cs="宋体"/>
                <w:sz w:val="24"/>
              </w:rPr>
            </w:pPr>
          </w:p>
        </w:tc>
      </w:tr>
      <w:tr w14:paraId="40AB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AE2933A">
            <w:pPr>
              <w:spacing w:line="360" w:lineRule="auto"/>
              <w:jc w:val="center"/>
              <w:outlineLvl w:val="9"/>
              <w:rPr>
                <w:rFonts w:hint="eastAsia" w:ascii="宋体" w:hAnsi="宋体" w:eastAsia="宋体" w:cs="宋体"/>
                <w:sz w:val="24"/>
              </w:rPr>
            </w:pPr>
          </w:p>
        </w:tc>
        <w:tc>
          <w:tcPr>
            <w:tcW w:w="909" w:type="dxa"/>
            <w:noWrap w:val="0"/>
            <w:vAlign w:val="top"/>
          </w:tcPr>
          <w:p w14:paraId="1F214454">
            <w:pPr>
              <w:spacing w:line="360" w:lineRule="auto"/>
              <w:jc w:val="center"/>
              <w:outlineLvl w:val="9"/>
              <w:rPr>
                <w:rFonts w:hint="eastAsia" w:ascii="宋体" w:hAnsi="宋体" w:eastAsia="宋体" w:cs="宋体"/>
                <w:sz w:val="24"/>
              </w:rPr>
            </w:pPr>
          </w:p>
        </w:tc>
        <w:tc>
          <w:tcPr>
            <w:tcW w:w="750" w:type="dxa"/>
            <w:noWrap w:val="0"/>
            <w:vAlign w:val="top"/>
          </w:tcPr>
          <w:p w14:paraId="1C10E716">
            <w:pPr>
              <w:spacing w:line="360" w:lineRule="auto"/>
              <w:jc w:val="center"/>
              <w:outlineLvl w:val="9"/>
              <w:rPr>
                <w:rFonts w:hint="eastAsia" w:ascii="宋体" w:hAnsi="宋体" w:eastAsia="宋体" w:cs="宋体"/>
                <w:sz w:val="24"/>
              </w:rPr>
            </w:pPr>
          </w:p>
        </w:tc>
        <w:tc>
          <w:tcPr>
            <w:tcW w:w="1317" w:type="dxa"/>
            <w:noWrap w:val="0"/>
            <w:vAlign w:val="top"/>
          </w:tcPr>
          <w:p w14:paraId="47CF2711">
            <w:pPr>
              <w:spacing w:line="360" w:lineRule="auto"/>
              <w:jc w:val="center"/>
              <w:outlineLvl w:val="9"/>
              <w:rPr>
                <w:rFonts w:hint="eastAsia" w:ascii="宋体" w:hAnsi="宋体" w:eastAsia="宋体" w:cs="宋体"/>
                <w:sz w:val="24"/>
              </w:rPr>
            </w:pPr>
          </w:p>
        </w:tc>
        <w:tc>
          <w:tcPr>
            <w:tcW w:w="984" w:type="dxa"/>
            <w:noWrap w:val="0"/>
            <w:vAlign w:val="top"/>
          </w:tcPr>
          <w:p w14:paraId="6B6F6605">
            <w:pPr>
              <w:spacing w:line="360" w:lineRule="auto"/>
              <w:jc w:val="center"/>
              <w:outlineLvl w:val="9"/>
              <w:rPr>
                <w:rFonts w:hint="eastAsia" w:ascii="宋体" w:hAnsi="宋体" w:eastAsia="宋体" w:cs="宋体"/>
                <w:sz w:val="24"/>
              </w:rPr>
            </w:pPr>
          </w:p>
        </w:tc>
        <w:tc>
          <w:tcPr>
            <w:tcW w:w="816" w:type="dxa"/>
            <w:noWrap w:val="0"/>
            <w:vAlign w:val="top"/>
          </w:tcPr>
          <w:p w14:paraId="5F7D3301">
            <w:pPr>
              <w:spacing w:line="360" w:lineRule="auto"/>
              <w:jc w:val="center"/>
              <w:outlineLvl w:val="9"/>
              <w:rPr>
                <w:rFonts w:hint="eastAsia" w:ascii="宋体" w:hAnsi="宋体" w:eastAsia="宋体" w:cs="宋体"/>
                <w:sz w:val="24"/>
              </w:rPr>
            </w:pPr>
          </w:p>
        </w:tc>
        <w:tc>
          <w:tcPr>
            <w:tcW w:w="882" w:type="dxa"/>
            <w:noWrap w:val="0"/>
            <w:vAlign w:val="top"/>
          </w:tcPr>
          <w:p w14:paraId="6E84188B">
            <w:pPr>
              <w:spacing w:line="360" w:lineRule="auto"/>
              <w:jc w:val="center"/>
              <w:outlineLvl w:val="9"/>
              <w:rPr>
                <w:rFonts w:hint="eastAsia" w:ascii="宋体" w:hAnsi="宋体" w:eastAsia="宋体" w:cs="宋体"/>
                <w:sz w:val="24"/>
              </w:rPr>
            </w:pPr>
          </w:p>
        </w:tc>
        <w:tc>
          <w:tcPr>
            <w:tcW w:w="2275" w:type="dxa"/>
            <w:noWrap w:val="0"/>
            <w:vAlign w:val="top"/>
          </w:tcPr>
          <w:p w14:paraId="70994C4B">
            <w:pPr>
              <w:spacing w:line="360" w:lineRule="auto"/>
              <w:jc w:val="center"/>
              <w:outlineLvl w:val="9"/>
              <w:rPr>
                <w:rFonts w:hint="eastAsia" w:ascii="宋体" w:hAnsi="宋体" w:eastAsia="宋体" w:cs="宋体"/>
                <w:sz w:val="24"/>
              </w:rPr>
            </w:pPr>
          </w:p>
        </w:tc>
      </w:tr>
      <w:tr w14:paraId="5AED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9770B9E">
            <w:pPr>
              <w:spacing w:line="360" w:lineRule="auto"/>
              <w:jc w:val="center"/>
              <w:outlineLvl w:val="9"/>
              <w:rPr>
                <w:rFonts w:hint="eastAsia" w:ascii="宋体" w:hAnsi="宋体" w:eastAsia="宋体" w:cs="宋体"/>
                <w:sz w:val="24"/>
              </w:rPr>
            </w:pPr>
          </w:p>
        </w:tc>
        <w:tc>
          <w:tcPr>
            <w:tcW w:w="909" w:type="dxa"/>
            <w:noWrap w:val="0"/>
            <w:vAlign w:val="top"/>
          </w:tcPr>
          <w:p w14:paraId="72112FFF">
            <w:pPr>
              <w:spacing w:line="360" w:lineRule="auto"/>
              <w:jc w:val="center"/>
              <w:outlineLvl w:val="9"/>
              <w:rPr>
                <w:rFonts w:hint="eastAsia" w:ascii="宋体" w:hAnsi="宋体" w:eastAsia="宋体" w:cs="宋体"/>
                <w:sz w:val="24"/>
              </w:rPr>
            </w:pPr>
          </w:p>
        </w:tc>
        <w:tc>
          <w:tcPr>
            <w:tcW w:w="750" w:type="dxa"/>
            <w:noWrap w:val="0"/>
            <w:vAlign w:val="top"/>
          </w:tcPr>
          <w:p w14:paraId="0C2E005B">
            <w:pPr>
              <w:spacing w:line="360" w:lineRule="auto"/>
              <w:jc w:val="center"/>
              <w:outlineLvl w:val="9"/>
              <w:rPr>
                <w:rFonts w:hint="eastAsia" w:ascii="宋体" w:hAnsi="宋体" w:eastAsia="宋体" w:cs="宋体"/>
                <w:sz w:val="24"/>
              </w:rPr>
            </w:pPr>
          </w:p>
        </w:tc>
        <w:tc>
          <w:tcPr>
            <w:tcW w:w="1317" w:type="dxa"/>
            <w:noWrap w:val="0"/>
            <w:vAlign w:val="top"/>
          </w:tcPr>
          <w:p w14:paraId="3B43ECCD">
            <w:pPr>
              <w:spacing w:line="360" w:lineRule="auto"/>
              <w:jc w:val="center"/>
              <w:outlineLvl w:val="9"/>
              <w:rPr>
                <w:rFonts w:hint="eastAsia" w:ascii="宋体" w:hAnsi="宋体" w:eastAsia="宋体" w:cs="宋体"/>
                <w:sz w:val="24"/>
              </w:rPr>
            </w:pPr>
          </w:p>
        </w:tc>
        <w:tc>
          <w:tcPr>
            <w:tcW w:w="984" w:type="dxa"/>
            <w:noWrap w:val="0"/>
            <w:vAlign w:val="top"/>
          </w:tcPr>
          <w:p w14:paraId="643F2099">
            <w:pPr>
              <w:spacing w:line="360" w:lineRule="auto"/>
              <w:jc w:val="center"/>
              <w:outlineLvl w:val="9"/>
              <w:rPr>
                <w:rFonts w:hint="eastAsia" w:ascii="宋体" w:hAnsi="宋体" w:eastAsia="宋体" w:cs="宋体"/>
                <w:sz w:val="24"/>
              </w:rPr>
            </w:pPr>
          </w:p>
        </w:tc>
        <w:tc>
          <w:tcPr>
            <w:tcW w:w="816" w:type="dxa"/>
            <w:noWrap w:val="0"/>
            <w:vAlign w:val="top"/>
          </w:tcPr>
          <w:p w14:paraId="1A0EB7DA">
            <w:pPr>
              <w:spacing w:line="360" w:lineRule="auto"/>
              <w:jc w:val="center"/>
              <w:outlineLvl w:val="9"/>
              <w:rPr>
                <w:rFonts w:hint="eastAsia" w:ascii="宋体" w:hAnsi="宋体" w:eastAsia="宋体" w:cs="宋体"/>
                <w:sz w:val="24"/>
              </w:rPr>
            </w:pPr>
          </w:p>
        </w:tc>
        <w:tc>
          <w:tcPr>
            <w:tcW w:w="882" w:type="dxa"/>
            <w:noWrap w:val="0"/>
            <w:vAlign w:val="top"/>
          </w:tcPr>
          <w:p w14:paraId="42BE199F">
            <w:pPr>
              <w:spacing w:line="360" w:lineRule="auto"/>
              <w:jc w:val="center"/>
              <w:outlineLvl w:val="9"/>
              <w:rPr>
                <w:rFonts w:hint="eastAsia" w:ascii="宋体" w:hAnsi="宋体" w:eastAsia="宋体" w:cs="宋体"/>
                <w:sz w:val="24"/>
              </w:rPr>
            </w:pPr>
          </w:p>
        </w:tc>
        <w:tc>
          <w:tcPr>
            <w:tcW w:w="2275" w:type="dxa"/>
            <w:noWrap w:val="0"/>
            <w:vAlign w:val="top"/>
          </w:tcPr>
          <w:p w14:paraId="34EC8E20">
            <w:pPr>
              <w:spacing w:line="360" w:lineRule="auto"/>
              <w:jc w:val="center"/>
              <w:outlineLvl w:val="9"/>
              <w:rPr>
                <w:rFonts w:hint="eastAsia" w:ascii="宋体" w:hAnsi="宋体" w:eastAsia="宋体" w:cs="宋体"/>
                <w:sz w:val="24"/>
              </w:rPr>
            </w:pPr>
          </w:p>
        </w:tc>
      </w:tr>
      <w:tr w14:paraId="45A2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6BF777A">
            <w:pPr>
              <w:spacing w:line="360" w:lineRule="auto"/>
              <w:jc w:val="center"/>
              <w:outlineLvl w:val="9"/>
              <w:rPr>
                <w:rFonts w:hint="eastAsia" w:ascii="宋体" w:hAnsi="宋体" w:eastAsia="宋体" w:cs="宋体"/>
                <w:sz w:val="24"/>
              </w:rPr>
            </w:pPr>
          </w:p>
        </w:tc>
        <w:tc>
          <w:tcPr>
            <w:tcW w:w="909" w:type="dxa"/>
            <w:noWrap w:val="0"/>
            <w:vAlign w:val="top"/>
          </w:tcPr>
          <w:p w14:paraId="707651CD">
            <w:pPr>
              <w:spacing w:line="360" w:lineRule="auto"/>
              <w:jc w:val="center"/>
              <w:outlineLvl w:val="9"/>
              <w:rPr>
                <w:rFonts w:hint="eastAsia" w:ascii="宋体" w:hAnsi="宋体" w:eastAsia="宋体" w:cs="宋体"/>
                <w:sz w:val="24"/>
              </w:rPr>
            </w:pPr>
          </w:p>
        </w:tc>
        <w:tc>
          <w:tcPr>
            <w:tcW w:w="750" w:type="dxa"/>
            <w:noWrap w:val="0"/>
            <w:vAlign w:val="top"/>
          </w:tcPr>
          <w:p w14:paraId="3835C840">
            <w:pPr>
              <w:spacing w:line="360" w:lineRule="auto"/>
              <w:jc w:val="center"/>
              <w:outlineLvl w:val="9"/>
              <w:rPr>
                <w:rFonts w:hint="eastAsia" w:ascii="宋体" w:hAnsi="宋体" w:eastAsia="宋体" w:cs="宋体"/>
                <w:sz w:val="24"/>
              </w:rPr>
            </w:pPr>
          </w:p>
        </w:tc>
        <w:tc>
          <w:tcPr>
            <w:tcW w:w="1317" w:type="dxa"/>
            <w:noWrap w:val="0"/>
            <w:vAlign w:val="top"/>
          </w:tcPr>
          <w:p w14:paraId="777477CE">
            <w:pPr>
              <w:spacing w:line="360" w:lineRule="auto"/>
              <w:jc w:val="center"/>
              <w:outlineLvl w:val="9"/>
              <w:rPr>
                <w:rFonts w:hint="eastAsia" w:ascii="宋体" w:hAnsi="宋体" w:eastAsia="宋体" w:cs="宋体"/>
                <w:sz w:val="24"/>
              </w:rPr>
            </w:pPr>
          </w:p>
        </w:tc>
        <w:tc>
          <w:tcPr>
            <w:tcW w:w="984" w:type="dxa"/>
            <w:noWrap w:val="0"/>
            <w:vAlign w:val="top"/>
          </w:tcPr>
          <w:p w14:paraId="52CF16D6">
            <w:pPr>
              <w:spacing w:line="360" w:lineRule="auto"/>
              <w:jc w:val="center"/>
              <w:outlineLvl w:val="9"/>
              <w:rPr>
                <w:rFonts w:hint="eastAsia" w:ascii="宋体" w:hAnsi="宋体" w:eastAsia="宋体" w:cs="宋体"/>
                <w:sz w:val="24"/>
              </w:rPr>
            </w:pPr>
          </w:p>
        </w:tc>
        <w:tc>
          <w:tcPr>
            <w:tcW w:w="816" w:type="dxa"/>
            <w:noWrap w:val="0"/>
            <w:vAlign w:val="top"/>
          </w:tcPr>
          <w:p w14:paraId="032B13A7">
            <w:pPr>
              <w:spacing w:line="360" w:lineRule="auto"/>
              <w:jc w:val="center"/>
              <w:outlineLvl w:val="9"/>
              <w:rPr>
                <w:rFonts w:hint="eastAsia" w:ascii="宋体" w:hAnsi="宋体" w:eastAsia="宋体" w:cs="宋体"/>
                <w:sz w:val="24"/>
              </w:rPr>
            </w:pPr>
          </w:p>
        </w:tc>
        <w:tc>
          <w:tcPr>
            <w:tcW w:w="882" w:type="dxa"/>
            <w:noWrap w:val="0"/>
            <w:vAlign w:val="top"/>
          </w:tcPr>
          <w:p w14:paraId="2C303D2E">
            <w:pPr>
              <w:spacing w:line="360" w:lineRule="auto"/>
              <w:jc w:val="center"/>
              <w:outlineLvl w:val="9"/>
              <w:rPr>
                <w:rFonts w:hint="eastAsia" w:ascii="宋体" w:hAnsi="宋体" w:eastAsia="宋体" w:cs="宋体"/>
                <w:sz w:val="24"/>
              </w:rPr>
            </w:pPr>
          </w:p>
        </w:tc>
        <w:tc>
          <w:tcPr>
            <w:tcW w:w="2275" w:type="dxa"/>
            <w:noWrap w:val="0"/>
            <w:vAlign w:val="top"/>
          </w:tcPr>
          <w:p w14:paraId="600F8C24">
            <w:pPr>
              <w:spacing w:line="360" w:lineRule="auto"/>
              <w:jc w:val="center"/>
              <w:outlineLvl w:val="9"/>
              <w:rPr>
                <w:rFonts w:hint="eastAsia" w:ascii="宋体" w:hAnsi="宋体" w:eastAsia="宋体" w:cs="宋体"/>
                <w:sz w:val="24"/>
              </w:rPr>
            </w:pPr>
          </w:p>
        </w:tc>
      </w:tr>
      <w:tr w14:paraId="14E0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76BDF49F">
            <w:pPr>
              <w:spacing w:line="360" w:lineRule="auto"/>
              <w:jc w:val="center"/>
              <w:outlineLvl w:val="9"/>
              <w:rPr>
                <w:rFonts w:hint="eastAsia" w:ascii="宋体" w:hAnsi="宋体" w:eastAsia="宋体" w:cs="宋体"/>
                <w:sz w:val="24"/>
              </w:rPr>
            </w:pPr>
          </w:p>
        </w:tc>
        <w:tc>
          <w:tcPr>
            <w:tcW w:w="909" w:type="dxa"/>
            <w:noWrap w:val="0"/>
            <w:vAlign w:val="top"/>
          </w:tcPr>
          <w:p w14:paraId="70C3534C">
            <w:pPr>
              <w:spacing w:line="360" w:lineRule="auto"/>
              <w:jc w:val="center"/>
              <w:outlineLvl w:val="9"/>
              <w:rPr>
                <w:rFonts w:hint="eastAsia" w:ascii="宋体" w:hAnsi="宋体" w:eastAsia="宋体" w:cs="宋体"/>
                <w:sz w:val="24"/>
              </w:rPr>
            </w:pPr>
          </w:p>
        </w:tc>
        <w:tc>
          <w:tcPr>
            <w:tcW w:w="750" w:type="dxa"/>
            <w:noWrap w:val="0"/>
            <w:vAlign w:val="top"/>
          </w:tcPr>
          <w:p w14:paraId="1EFC7517">
            <w:pPr>
              <w:spacing w:line="360" w:lineRule="auto"/>
              <w:jc w:val="center"/>
              <w:outlineLvl w:val="9"/>
              <w:rPr>
                <w:rFonts w:hint="eastAsia" w:ascii="宋体" w:hAnsi="宋体" w:eastAsia="宋体" w:cs="宋体"/>
                <w:sz w:val="24"/>
              </w:rPr>
            </w:pPr>
          </w:p>
        </w:tc>
        <w:tc>
          <w:tcPr>
            <w:tcW w:w="1317" w:type="dxa"/>
            <w:noWrap w:val="0"/>
            <w:vAlign w:val="top"/>
          </w:tcPr>
          <w:p w14:paraId="29C3CE26">
            <w:pPr>
              <w:spacing w:line="360" w:lineRule="auto"/>
              <w:jc w:val="center"/>
              <w:outlineLvl w:val="9"/>
              <w:rPr>
                <w:rFonts w:hint="eastAsia" w:ascii="宋体" w:hAnsi="宋体" w:eastAsia="宋体" w:cs="宋体"/>
                <w:sz w:val="24"/>
              </w:rPr>
            </w:pPr>
          </w:p>
        </w:tc>
        <w:tc>
          <w:tcPr>
            <w:tcW w:w="984" w:type="dxa"/>
            <w:noWrap w:val="0"/>
            <w:vAlign w:val="top"/>
          </w:tcPr>
          <w:p w14:paraId="58A5F57A">
            <w:pPr>
              <w:spacing w:line="360" w:lineRule="auto"/>
              <w:jc w:val="center"/>
              <w:outlineLvl w:val="9"/>
              <w:rPr>
                <w:rFonts w:hint="eastAsia" w:ascii="宋体" w:hAnsi="宋体" w:eastAsia="宋体" w:cs="宋体"/>
                <w:sz w:val="24"/>
              </w:rPr>
            </w:pPr>
          </w:p>
        </w:tc>
        <w:tc>
          <w:tcPr>
            <w:tcW w:w="816" w:type="dxa"/>
            <w:noWrap w:val="0"/>
            <w:vAlign w:val="top"/>
          </w:tcPr>
          <w:p w14:paraId="064478F4">
            <w:pPr>
              <w:spacing w:line="360" w:lineRule="auto"/>
              <w:jc w:val="center"/>
              <w:outlineLvl w:val="9"/>
              <w:rPr>
                <w:rFonts w:hint="eastAsia" w:ascii="宋体" w:hAnsi="宋体" w:eastAsia="宋体" w:cs="宋体"/>
                <w:sz w:val="24"/>
              </w:rPr>
            </w:pPr>
          </w:p>
        </w:tc>
        <w:tc>
          <w:tcPr>
            <w:tcW w:w="882" w:type="dxa"/>
            <w:noWrap w:val="0"/>
            <w:vAlign w:val="top"/>
          </w:tcPr>
          <w:p w14:paraId="2FF74C9F">
            <w:pPr>
              <w:spacing w:line="360" w:lineRule="auto"/>
              <w:jc w:val="center"/>
              <w:outlineLvl w:val="9"/>
              <w:rPr>
                <w:rFonts w:hint="eastAsia" w:ascii="宋体" w:hAnsi="宋体" w:eastAsia="宋体" w:cs="宋体"/>
                <w:sz w:val="24"/>
              </w:rPr>
            </w:pPr>
          </w:p>
        </w:tc>
        <w:tc>
          <w:tcPr>
            <w:tcW w:w="2275" w:type="dxa"/>
            <w:noWrap w:val="0"/>
            <w:vAlign w:val="top"/>
          </w:tcPr>
          <w:p w14:paraId="1B70E236">
            <w:pPr>
              <w:spacing w:line="360" w:lineRule="auto"/>
              <w:jc w:val="center"/>
              <w:outlineLvl w:val="9"/>
              <w:rPr>
                <w:rFonts w:hint="eastAsia" w:ascii="宋体" w:hAnsi="宋体" w:eastAsia="宋体" w:cs="宋体"/>
                <w:sz w:val="24"/>
              </w:rPr>
            </w:pPr>
          </w:p>
        </w:tc>
      </w:tr>
      <w:tr w14:paraId="37D4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0" w:type="dxa"/>
            <w:gridSpan w:val="8"/>
            <w:noWrap w:val="0"/>
            <w:vAlign w:val="top"/>
          </w:tcPr>
          <w:p w14:paraId="14581889">
            <w:pPr>
              <w:spacing w:line="360" w:lineRule="auto"/>
              <w:jc w:val="left"/>
              <w:outlineLvl w:val="9"/>
              <w:rPr>
                <w:rFonts w:hint="eastAsia" w:ascii="宋体" w:hAnsi="宋体" w:eastAsia="宋体" w:cs="宋体"/>
                <w:sz w:val="24"/>
              </w:rPr>
            </w:pPr>
            <w:r>
              <w:rPr>
                <w:rFonts w:hint="eastAsia" w:ascii="宋体" w:hAnsi="宋体" w:eastAsia="宋体" w:cs="宋体"/>
                <w:sz w:val="24"/>
              </w:rPr>
              <w:t>一旦我单位中标，将实行项目负责人责任制，我方保证并配备上述项目管理机构。上述填报内容真实，若不真实，愿按有关规定接受处理。项目管理班子机构设置、职责分工等情况另附资料说明。</w:t>
            </w:r>
          </w:p>
        </w:tc>
      </w:tr>
    </w:tbl>
    <w:p w14:paraId="7B25BF7D">
      <w:pPr>
        <w:spacing w:line="360" w:lineRule="auto"/>
        <w:jc w:val="center"/>
        <w:outlineLvl w:val="9"/>
        <w:rPr>
          <w:rFonts w:hint="eastAsia" w:ascii="宋体" w:hAnsi="宋体" w:eastAsia="宋体" w:cs="宋体"/>
          <w:sz w:val="24"/>
        </w:rPr>
      </w:pPr>
    </w:p>
    <w:p w14:paraId="556A633B">
      <w:pPr>
        <w:pStyle w:val="14"/>
        <w:ind w:firstLine="280"/>
        <w:outlineLvl w:val="9"/>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注：提供相关人员证件资料。</w:t>
      </w:r>
    </w:p>
    <w:p w14:paraId="32DA6871">
      <w:pPr>
        <w:pStyle w:val="15"/>
        <w:outlineLvl w:val="9"/>
        <w:rPr>
          <w:rFonts w:hint="eastAsia" w:ascii="宋体" w:hAnsi="宋体" w:eastAsia="宋体" w:cs="宋体"/>
        </w:rPr>
      </w:pPr>
    </w:p>
    <w:p w14:paraId="3AC27994">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1630EA15">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3FD8E222">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005C1C17">
      <w:pPr>
        <w:pStyle w:val="3"/>
        <w:outlineLvl w:val="9"/>
        <w:rPr>
          <w:rFonts w:hint="eastAsia" w:ascii="宋体" w:hAnsi="宋体" w:eastAsia="宋体" w:cs="宋体"/>
          <w:sz w:val="24"/>
        </w:rPr>
      </w:pPr>
    </w:p>
    <w:p w14:paraId="20BBBC6C">
      <w:pPr>
        <w:pStyle w:val="3"/>
        <w:ind w:left="0" w:leftChars="0" w:firstLine="0" w:firstLineChars="0"/>
        <w:outlineLvl w:val="9"/>
        <w:rPr>
          <w:rFonts w:hint="eastAsia"/>
        </w:rPr>
      </w:pPr>
    </w:p>
    <w:p w14:paraId="7F903844">
      <w:pPr>
        <w:numPr>
          <w:ilvl w:val="0"/>
          <w:numId w:val="0"/>
        </w:numPr>
        <w:snapToGrid w:val="0"/>
        <w:spacing w:line="360" w:lineRule="auto"/>
        <w:jc w:val="center"/>
        <w:outlineLvl w:val="9"/>
        <w:rPr>
          <w:rFonts w:hint="eastAsia" w:ascii="宋体" w:hAnsi="宋体" w:eastAsia="宋体" w:cs="宋体"/>
          <w:b w:val="0"/>
          <w:bCs w:val="0"/>
        </w:rPr>
      </w:pPr>
      <w:r>
        <w:rPr>
          <w:rFonts w:hint="eastAsia" w:ascii="宋体" w:hAnsi="宋体" w:eastAsia="宋体" w:cs="宋体"/>
          <w:b w:val="0"/>
          <w:bCs w:val="0"/>
          <w:sz w:val="30"/>
          <w:szCs w:val="30"/>
          <w:lang w:eastAsia="zh-CN"/>
        </w:rPr>
        <w:br w:type="page"/>
      </w:r>
      <w:r>
        <w:rPr>
          <w:rFonts w:hint="eastAsia" w:ascii="宋体" w:hAnsi="宋体" w:eastAsia="宋体" w:cs="宋体"/>
          <w:b w:val="0"/>
          <w:bCs w:val="0"/>
          <w:sz w:val="30"/>
          <w:szCs w:val="30"/>
          <w:lang w:eastAsia="zh-CN"/>
        </w:rPr>
        <w:t>（二）主要人员简历表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615"/>
        <w:gridCol w:w="1065"/>
        <w:gridCol w:w="615"/>
        <w:gridCol w:w="330"/>
        <w:gridCol w:w="845"/>
        <w:gridCol w:w="1135"/>
        <w:gridCol w:w="165"/>
        <w:gridCol w:w="2357"/>
      </w:tblGrid>
      <w:tr w14:paraId="67DA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80" w:type="dxa"/>
            <w:noWrap w:val="0"/>
            <w:vAlign w:val="center"/>
          </w:tcPr>
          <w:p w14:paraId="1E86AAD5">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姓  名</w:t>
            </w:r>
          </w:p>
        </w:tc>
        <w:tc>
          <w:tcPr>
            <w:tcW w:w="1680" w:type="dxa"/>
            <w:gridSpan w:val="2"/>
            <w:noWrap w:val="0"/>
            <w:vAlign w:val="center"/>
          </w:tcPr>
          <w:p w14:paraId="0908343E">
            <w:pPr>
              <w:jc w:val="center"/>
              <w:outlineLvl w:val="9"/>
              <w:rPr>
                <w:rFonts w:hint="eastAsia" w:ascii="宋体" w:hAnsi="宋体" w:eastAsia="宋体" w:cs="宋体"/>
                <w:sz w:val="24"/>
              </w:rPr>
            </w:pPr>
          </w:p>
        </w:tc>
        <w:tc>
          <w:tcPr>
            <w:tcW w:w="945" w:type="dxa"/>
            <w:gridSpan w:val="2"/>
            <w:noWrap w:val="0"/>
            <w:vAlign w:val="center"/>
          </w:tcPr>
          <w:p w14:paraId="41895AD0">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性 别</w:t>
            </w:r>
          </w:p>
        </w:tc>
        <w:tc>
          <w:tcPr>
            <w:tcW w:w="845" w:type="dxa"/>
            <w:noWrap w:val="0"/>
            <w:vAlign w:val="center"/>
          </w:tcPr>
          <w:p w14:paraId="6FD4BDCD">
            <w:pPr>
              <w:jc w:val="center"/>
              <w:outlineLvl w:val="9"/>
              <w:rPr>
                <w:rFonts w:hint="eastAsia" w:ascii="宋体" w:hAnsi="宋体" w:eastAsia="宋体" w:cs="宋体"/>
                <w:sz w:val="24"/>
              </w:rPr>
            </w:pPr>
          </w:p>
        </w:tc>
        <w:tc>
          <w:tcPr>
            <w:tcW w:w="1300" w:type="dxa"/>
            <w:gridSpan w:val="2"/>
            <w:noWrap w:val="0"/>
            <w:vAlign w:val="center"/>
          </w:tcPr>
          <w:p w14:paraId="49288875">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出生日期</w:t>
            </w:r>
          </w:p>
        </w:tc>
        <w:tc>
          <w:tcPr>
            <w:tcW w:w="2357" w:type="dxa"/>
            <w:noWrap w:val="0"/>
            <w:vAlign w:val="center"/>
          </w:tcPr>
          <w:p w14:paraId="7112548E">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年   月   日</w:t>
            </w:r>
          </w:p>
        </w:tc>
      </w:tr>
      <w:tr w14:paraId="4CEE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380" w:type="dxa"/>
            <w:noWrap w:val="0"/>
            <w:vAlign w:val="center"/>
          </w:tcPr>
          <w:p w14:paraId="09EEA74A">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毕业院校及专业</w:t>
            </w:r>
          </w:p>
        </w:tc>
        <w:tc>
          <w:tcPr>
            <w:tcW w:w="3470" w:type="dxa"/>
            <w:gridSpan w:val="5"/>
            <w:noWrap w:val="0"/>
            <w:vAlign w:val="center"/>
          </w:tcPr>
          <w:p w14:paraId="3D560F4D">
            <w:pPr>
              <w:jc w:val="center"/>
              <w:outlineLvl w:val="9"/>
              <w:rPr>
                <w:rFonts w:hint="eastAsia" w:ascii="宋体" w:hAnsi="宋体" w:eastAsia="宋体" w:cs="宋体"/>
                <w:sz w:val="24"/>
              </w:rPr>
            </w:pPr>
          </w:p>
        </w:tc>
        <w:tc>
          <w:tcPr>
            <w:tcW w:w="1300" w:type="dxa"/>
            <w:gridSpan w:val="2"/>
            <w:noWrap w:val="0"/>
            <w:vAlign w:val="center"/>
          </w:tcPr>
          <w:p w14:paraId="0365BC01">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毕业时间</w:t>
            </w:r>
          </w:p>
        </w:tc>
        <w:tc>
          <w:tcPr>
            <w:tcW w:w="2357" w:type="dxa"/>
            <w:noWrap w:val="0"/>
            <w:vAlign w:val="center"/>
          </w:tcPr>
          <w:p w14:paraId="4BF8855E">
            <w:pPr>
              <w:ind w:left="0" w:leftChars="0" w:firstLine="240" w:firstLineChars="100"/>
              <w:jc w:val="center"/>
              <w:outlineLvl w:val="9"/>
              <w:rPr>
                <w:rFonts w:hint="eastAsia" w:ascii="宋体" w:hAnsi="宋体" w:eastAsia="宋体" w:cs="宋体"/>
                <w:sz w:val="24"/>
              </w:rPr>
            </w:pPr>
            <w:r>
              <w:rPr>
                <w:rFonts w:hint="eastAsia" w:ascii="宋体" w:hAnsi="宋体" w:eastAsia="宋体" w:cs="宋体"/>
                <w:sz w:val="24"/>
              </w:rPr>
              <w:t>年   月   日</w:t>
            </w:r>
          </w:p>
        </w:tc>
      </w:tr>
      <w:tr w14:paraId="7BF1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995" w:type="dxa"/>
            <w:gridSpan w:val="2"/>
            <w:noWrap w:val="0"/>
            <w:vAlign w:val="center"/>
          </w:tcPr>
          <w:p w14:paraId="0995F745">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从事本专业时间</w:t>
            </w:r>
          </w:p>
        </w:tc>
        <w:tc>
          <w:tcPr>
            <w:tcW w:w="1680" w:type="dxa"/>
            <w:gridSpan w:val="2"/>
            <w:noWrap w:val="0"/>
            <w:vAlign w:val="center"/>
          </w:tcPr>
          <w:p w14:paraId="047FCB1C">
            <w:pPr>
              <w:jc w:val="center"/>
              <w:outlineLvl w:val="9"/>
              <w:rPr>
                <w:rFonts w:hint="eastAsia" w:ascii="宋体" w:hAnsi="宋体" w:eastAsia="宋体" w:cs="宋体"/>
                <w:sz w:val="24"/>
              </w:rPr>
            </w:pPr>
          </w:p>
        </w:tc>
        <w:tc>
          <w:tcPr>
            <w:tcW w:w="2475" w:type="dxa"/>
            <w:gridSpan w:val="4"/>
            <w:noWrap w:val="0"/>
            <w:vAlign w:val="center"/>
          </w:tcPr>
          <w:p w14:paraId="325C4639">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为申请人服务时间</w:t>
            </w:r>
          </w:p>
        </w:tc>
        <w:tc>
          <w:tcPr>
            <w:tcW w:w="2357" w:type="dxa"/>
            <w:noWrap w:val="0"/>
            <w:vAlign w:val="center"/>
          </w:tcPr>
          <w:p w14:paraId="36A359FE">
            <w:pPr>
              <w:jc w:val="center"/>
              <w:outlineLvl w:val="9"/>
              <w:rPr>
                <w:rFonts w:hint="eastAsia" w:ascii="宋体" w:hAnsi="宋体" w:eastAsia="宋体" w:cs="宋体"/>
                <w:sz w:val="24"/>
              </w:rPr>
            </w:pPr>
          </w:p>
        </w:tc>
      </w:tr>
      <w:tr w14:paraId="78AD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95" w:type="dxa"/>
            <w:gridSpan w:val="2"/>
            <w:noWrap w:val="0"/>
            <w:vAlign w:val="center"/>
          </w:tcPr>
          <w:p w14:paraId="17FCC1DA">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执 业 注 册</w:t>
            </w:r>
          </w:p>
        </w:tc>
        <w:tc>
          <w:tcPr>
            <w:tcW w:w="1680" w:type="dxa"/>
            <w:gridSpan w:val="2"/>
            <w:noWrap w:val="0"/>
            <w:vAlign w:val="center"/>
          </w:tcPr>
          <w:p w14:paraId="6DF7A95B">
            <w:pPr>
              <w:jc w:val="center"/>
              <w:outlineLvl w:val="9"/>
              <w:rPr>
                <w:rFonts w:hint="eastAsia" w:ascii="宋体" w:hAnsi="宋体" w:eastAsia="宋体" w:cs="宋体"/>
                <w:sz w:val="24"/>
              </w:rPr>
            </w:pPr>
          </w:p>
        </w:tc>
        <w:tc>
          <w:tcPr>
            <w:tcW w:w="2475" w:type="dxa"/>
            <w:gridSpan w:val="4"/>
            <w:noWrap w:val="0"/>
            <w:vAlign w:val="center"/>
          </w:tcPr>
          <w:p w14:paraId="487EF6EF">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职       称</w:t>
            </w:r>
          </w:p>
        </w:tc>
        <w:tc>
          <w:tcPr>
            <w:tcW w:w="2357" w:type="dxa"/>
            <w:noWrap w:val="0"/>
            <w:vAlign w:val="center"/>
          </w:tcPr>
          <w:p w14:paraId="17811B2C">
            <w:pPr>
              <w:jc w:val="center"/>
              <w:outlineLvl w:val="9"/>
              <w:rPr>
                <w:rFonts w:hint="eastAsia" w:ascii="宋体" w:hAnsi="宋体" w:eastAsia="宋体" w:cs="宋体"/>
                <w:sz w:val="24"/>
              </w:rPr>
            </w:pPr>
          </w:p>
        </w:tc>
      </w:tr>
      <w:tr w14:paraId="635B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8507" w:type="dxa"/>
            <w:gridSpan w:val="9"/>
            <w:noWrap w:val="0"/>
            <w:vAlign w:val="center"/>
          </w:tcPr>
          <w:p w14:paraId="721217D8">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主  要  经  历</w:t>
            </w:r>
          </w:p>
        </w:tc>
      </w:tr>
      <w:tr w14:paraId="01D3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95" w:type="dxa"/>
            <w:gridSpan w:val="2"/>
            <w:noWrap w:val="0"/>
            <w:vAlign w:val="center"/>
          </w:tcPr>
          <w:p w14:paraId="10C552C0">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时   间</w:t>
            </w:r>
          </w:p>
        </w:tc>
        <w:tc>
          <w:tcPr>
            <w:tcW w:w="3990" w:type="dxa"/>
            <w:gridSpan w:val="5"/>
            <w:noWrap w:val="0"/>
            <w:vAlign w:val="center"/>
          </w:tcPr>
          <w:p w14:paraId="34843533">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参加过的工程</w:t>
            </w:r>
            <w:r>
              <w:rPr>
                <w:rFonts w:hint="eastAsia" w:ascii="宋体" w:hAnsi="宋体" w:eastAsia="宋体" w:cs="宋体"/>
                <w:sz w:val="24"/>
                <w:lang w:eastAsia="zh-CN"/>
              </w:rPr>
              <w:t>监理</w:t>
            </w:r>
            <w:r>
              <w:rPr>
                <w:rFonts w:hint="eastAsia" w:ascii="宋体" w:hAnsi="宋体" w:eastAsia="宋体" w:cs="宋体"/>
                <w:sz w:val="24"/>
              </w:rPr>
              <w:t>项目名称及规模</w:t>
            </w:r>
          </w:p>
        </w:tc>
        <w:tc>
          <w:tcPr>
            <w:tcW w:w="2522" w:type="dxa"/>
            <w:gridSpan w:val="2"/>
            <w:noWrap w:val="0"/>
            <w:vAlign w:val="center"/>
          </w:tcPr>
          <w:p w14:paraId="6F72A926">
            <w:pPr>
              <w:ind w:left="0" w:leftChars="0" w:firstLine="0" w:firstLineChars="0"/>
              <w:jc w:val="center"/>
              <w:outlineLvl w:val="9"/>
              <w:rPr>
                <w:rFonts w:hint="eastAsia" w:ascii="宋体" w:hAnsi="宋体" w:eastAsia="宋体" w:cs="宋体"/>
                <w:sz w:val="24"/>
              </w:rPr>
            </w:pPr>
            <w:r>
              <w:rPr>
                <w:rFonts w:hint="eastAsia" w:ascii="宋体" w:hAnsi="宋体" w:eastAsia="宋体" w:cs="宋体"/>
                <w:sz w:val="24"/>
              </w:rPr>
              <w:t>该项目中任职</w:t>
            </w:r>
          </w:p>
        </w:tc>
      </w:tr>
      <w:tr w14:paraId="2A16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638AED30">
            <w:pPr>
              <w:outlineLvl w:val="9"/>
              <w:rPr>
                <w:rFonts w:hint="eastAsia" w:ascii="宋体" w:hAnsi="宋体" w:eastAsia="宋体" w:cs="宋体"/>
                <w:sz w:val="24"/>
              </w:rPr>
            </w:pPr>
          </w:p>
        </w:tc>
        <w:tc>
          <w:tcPr>
            <w:tcW w:w="3990" w:type="dxa"/>
            <w:gridSpan w:val="5"/>
            <w:noWrap w:val="0"/>
            <w:vAlign w:val="top"/>
          </w:tcPr>
          <w:p w14:paraId="412E5A4E">
            <w:pPr>
              <w:outlineLvl w:val="9"/>
              <w:rPr>
                <w:rFonts w:hint="eastAsia" w:ascii="宋体" w:hAnsi="宋体" w:eastAsia="宋体" w:cs="宋体"/>
                <w:sz w:val="24"/>
              </w:rPr>
            </w:pPr>
          </w:p>
        </w:tc>
        <w:tc>
          <w:tcPr>
            <w:tcW w:w="2522" w:type="dxa"/>
            <w:gridSpan w:val="2"/>
            <w:noWrap w:val="0"/>
            <w:vAlign w:val="top"/>
          </w:tcPr>
          <w:p w14:paraId="254438AD">
            <w:pPr>
              <w:outlineLvl w:val="9"/>
              <w:rPr>
                <w:rFonts w:hint="eastAsia" w:ascii="宋体" w:hAnsi="宋体" w:eastAsia="宋体" w:cs="宋体"/>
                <w:sz w:val="24"/>
              </w:rPr>
            </w:pPr>
          </w:p>
        </w:tc>
      </w:tr>
      <w:tr w14:paraId="3E18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17F38AFC">
            <w:pPr>
              <w:outlineLvl w:val="9"/>
              <w:rPr>
                <w:rFonts w:hint="eastAsia" w:ascii="宋体" w:hAnsi="宋体" w:eastAsia="宋体" w:cs="宋体"/>
                <w:sz w:val="24"/>
              </w:rPr>
            </w:pPr>
          </w:p>
        </w:tc>
        <w:tc>
          <w:tcPr>
            <w:tcW w:w="3990" w:type="dxa"/>
            <w:gridSpan w:val="5"/>
            <w:noWrap w:val="0"/>
            <w:vAlign w:val="top"/>
          </w:tcPr>
          <w:p w14:paraId="23B04D05">
            <w:pPr>
              <w:outlineLvl w:val="9"/>
              <w:rPr>
                <w:rFonts w:hint="eastAsia" w:ascii="宋体" w:hAnsi="宋体" w:eastAsia="宋体" w:cs="宋体"/>
                <w:sz w:val="24"/>
              </w:rPr>
            </w:pPr>
          </w:p>
        </w:tc>
        <w:tc>
          <w:tcPr>
            <w:tcW w:w="2522" w:type="dxa"/>
            <w:gridSpan w:val="2"/>
            <w:noWrap w:val="0"/>
            <w:vAlign w:val="top"/>
          </w:tcPr>
          <w:p w14:paraId="0776D96E">
            <w:pPr>
              <w:outlineLvl w:val="9"/>
              <w:rPr>
                <w:rFonts w:hint="eastAsia" w:ascii="宋体" w:hAnsi="宋体" w:eastAsia="宋体" w:cs="宋体"/>
                <w:sz w:val="24"/>
              </w:rPr>
            </w:pPr>
          </w:p>
        </w:tc>
      </w:tr>
      <w:tr w14:paraId="4EB9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0906CA1A">
            <w:pPr>
              <w:outlineLvl w:val="9"/>
              <w:rPr>
                <w:rFonts w:hint="eastAsia" w:ascii="宋体" w:hAnsi="宋体" w:eastAsia="宋体" w:cs="宋体"/>
                <w:sz w:val="24"/>
              </w:rPr>
            </w:pPr>
          </w:p>
        </w:tc>
        <w:tc>
          <w:tcPr>
            <w:tcW w:w="3990" w:type="dxa"/>
            <w:gridSpan w:val="5"/>
            <w:noWrap w:val="0"/>
            <w:vAlign w:val="top"/>
          </w:tcPr>
          <w:p w14:paraId="2466D668">
            <w:pPr>
              <w:outlineLvl w:val="9"/>
              <w:rPr>
                <w:rFonts w:hint="eastAsia" w:ascii="宋体" w:hAnsi="宋体" w:eastAsia="宋体" w:cs="宋体"/>
                <w:sz w:val="24"/>
              </w:rPr>
            </w:pPr>
          </w:p>
        </w:tc>
        <w:tc>
          <w:tcPr>
            <w:tcW w:w="2522" w:type="dxa"/>
            <w:gridSpan w:val="2"/>
            <w:noWrap w:val="0"/>
            <w:vAlign w:val="top"/>
          </w:tcPr>
          <w:p w14:paraId="37BF1362">
            <w:pPr>
              <w:outlineLvl w:val="9"/>
              <w:rPr>
                <w:rFonts w:hint="eastAsia" w:ascii="宋体" w:hAnsi="宋体" w:eastAsia="宋体" w:cs="宋体"/>
                <w:sz w:val="24"/>
              </w:rPr>
            </w:pPr>
          </w:p>
        </w:tc>
      </w:tr>
      <w:tr w14:paraId="5CAA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6A571642">
            <w:pPr>
              <w:outlineLvl w:val="9"/>
              <w:rPr>
                <w:rFonts w:hint="eastAsia" w:ascii="宋体" w:hAnsi="宋体" w:eastAsia="宋体" w:cs="宋体"/>
                <w:sz w:val="24"/>
              </w:rPr>
            </w:pPr>
          </w:p>
        </w:tc>
        <w:tc>
          <w:tcPr>
            <w:tcW w:w="3990" w:type="dxa"/>
            <w:gridSpan w:val="5"/>
            <w:noWrap w:val="0"/>
            <w:vAlign w:val="top"/>
          </w:tcPr>
          <w:p w14:paraId="0191A5AD">
            <w:pPr>
              <w:outlineLvl w:val="9"/>
              <w:rPr>
                <w:rFonts w:hint="eastAsia" w:ascii="宋体" w:hAnsi="宋体" w:eastAsia="宋体" w:cs="宋体"/>
                <w:sz w:val="24"/>
              </w:rPr>
            </w:pPr>
          </w:p>
        </w:tc>
        <w:tc>
          <w:tcPr>
            <w:tcW w:w="2522" w:type="dxa"/>
            <w:gridSpan w:val="2"/>
            <w:noWrap w:val="0"/>
            <w:vAlign w:val="top"/>
          </w:tcPr>
          <w:p w14:paraId="3EE90986">
            <w:pPr>
              <w:outlineLvl w:val="9"/>
              <w:rPr>
                <w:rFonts w:hint="eastAsia" w:ascii="宋体" w:hAnsi="宋体" w:eastAsia="宋体" w:cs="宋体"/>
                <w:sz w:val="24"/>
              </w:rPr>
            </w:pPr>
          </w:p>
        </w:tc>
      </w:tr>
      <w:tr w14:paraId="1A0F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28CD61A2">
            <w:pPr>
              <w:outlineLvl w:val="9"/>
              <w:rPr>
                <w:rFonts w:hint="eastAsia" w:ascii="宋体" w:hAnsi="宋体" w:eastAsia="宋体" w:cs="宋体"/>
                <w:sz w:val="24"/>
              </w:rPr>
            </w:pPr>
          </w:p>
        </w:tc>
        <w:tc>
          <w:tcPr>
            <w:tcW w:w="3990" w:type="dxa"/>
            <w:gridSpan w:val="5"/>
            <w:noWrap w:val="0"/>
            <w:vAlign w:val="top"/>
          </w:tcPr>
          <w:p w14:paraId="65BC3A6B">
            <w:pPr>
              <w:outlineLvl w:val="9"/>
              <w:rPr>
                <w:rFonts w:hint="eastAsia" w:ascii="宋体" w:hAnsi="宋体" w:eastAsia="宋体" w:cs="宋体"/>
                <w:sz w:val="24"/>
              </w:rPr>
            </w:pPr>
          </w:p>
        </w:tc>
        <w:tc>
          <w:tcPr>
            <w:tcW w:w="2522" w:type="dxa"/>
            <w:gridSpan w:val="2"/>
            <w:noWrap w:val="0"/>
            <w:vAlign w:val="top"/>
          </w:tcPr>
          <w:p w14:paraId="48F47946">
            <w:pPr>
              <w:outlineLvl w:val="9"/>
              <w:rPr>
                <w:rFonts w:hint="eastAsia" w:ascii="宋体" w:hAnsi="宋体" w:eastAsia="宋体" w:cs="宋体"/>
                <w:sz w:val="24"/>
              </w:rPr>
            </w:pPr>
          </w:p>
        </w:tc>
      </w:tr>
      <w:tr w14:paraId="12EB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6AF7EBC4">
            <w:pPr>
              <w:outlineLvl w:val="9"/>
              <w:rPr>
                <w:rFonts w:hint="eastAsia" w:ascii="宋体" w:hAnsi="宋体" w:eastAsia="宋体" w:cs="宋体"/>
                <w:sz w:val="24"/>
              </w:rPr>
            </w:pPr>
          </w:p>
        </w:tc>
        <w:tc>
          <w:tcPr>
            <w:tcW w:w="3990" w:type="dxa"/>
            <w:gridSpan w:val="5"/>
            <w:noWrap w:val="0"/>
            <w:vAlign w:val="top"/>
          </w:tcPr>
          <w:p w14:paraId="0289E75E">
            <w:pPr>
              <w:outlineLvl w:val="9"/>
              <w:rPr>
                <w:rFonts w:hint="eastAsia" w:ascii="宋体" w:hAnsi="宋体" w:eastAsia="宋体" w:cs="宋体"/>
                <w:sz w:val="24"/>
              </w:rPr>
            </w:pPr>
          </w:p>
        </w:tc>
        <w:tc>
          <w:tcPr>
            <w:tcW w:w="2522" w:type="dxa"/>
            <w:gridSpan w:val="2"/>
            <w:noWrap w:val="0"/>
            <w:vAlign w:val="top"/>
          </w:tcPr>
          <w:p w14:paraId="1F80F37A">
            <w:pPr>
              <w:outlineLvl w:val="9"/>
              <w:rPr>
                <w:rFonts w:hint="eastAsia" w:ascii="宋体" w:hAnsi="宋体" w:eastAsia="宋体" w:cs="宋体"/>
                <w:sz w:val="24"/>
              </w:rPr>
            </w:pPr>
          </w:p>
        </w:tc>
      </w:tr>
      <w:tr w14:paraId="41F5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52E157D9">
            <w:pPr>
              <w:outlineLvl w:val="9"/>
              <w:rPr>
                <w:rFonts w:hint="eastAsia" w:ascii="宋体" w:hAnsi="宋体" w:eastAsia="宋体" w:cs="宋体"/>
                <w:sz w:val="24"/>
              </w:rPr>
            </w:pPr>
          </w:p>
        </w:tc>
        <w:tc>
          <w:tcPr>
            <w:tcW w:w="3990" w:type="dxa"/>
            <w:gridSpan w:val="5"/>
            <w:noWrap w:val="0"/>
            <w:vAlign w:val="top"/>
          </w:tcPr>
          <w:p w14:paraId="223383B6">
            <w:pPr>
              <w:outlineLvl w:val="9"/>
              <w:rPr>
                <w:rFonts w:hint="eastAsia" w:ascii="宋体" w:hAnsi="宋体" w:eastAsia="宋体" w:cs="宋体"/>
                <w:sz w:val="24"/>
              </w:rPr>
            </w:pPr>
          </w:p>
        </w:tc>
        <w:tc>
          <w:tcPr>
            <w:tcW w:w="2522" w:type="dxa"/>
            <w:gridSpan w:val="2"/>
            <w:noWrap w:val="0"/>
            <w:vAlign w:val="top"/>
          </w:tcPr>
          <w:p w14:paraId="031A48A3">
            <w:pPr>
              <w:outlineLvl w:val="9"/>
              <w:rPr>
                <w:rFonts w:hint="eastAsia" w:ascii="宋体" w:hAnsi="宋体" w:eastAsia="宋体" w:cs="宋体"/>
                <w:sz w:val="24"/>
              </w:rPr>
            </w:pPr>
          </w:p>
        </w:tc>
      </w:tr>
      <w:tr w14:paraId="32D6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3D7F2297">
            <w:pPr>
              <w:outlineLvl w:val="9"/>
              <w:rPr>
                <w:rFonts w:hint="eastAsia" w:ascii="宋体" w:hAnsi="宋体" w:eastAsia="宋体" w:cs="宋体"/>
                <w:sz w:val="24"/>
              </w:rPr>
            </w:pPr>
          </w:p>
        </w:tc>
        <w:tc>
          <w:tcPr>
            <w:tcW w:w="3990" w:type="dxa"/>
            <w:gridSpan w:val="5"/>
            <w:noWrap w:val="0"/>
            <w:vAlign w:val="top"/>
          </w:tcPr>
          <w:p w14:paraId="272242F6">
            <w:pPr>
              <w:outlineLvl w:val="9"/>
              <w:rPr>
                <w:rFonts w:hint="eastAsia" w:ascii="宋体" w:hAnsi="宋体" w:eastAsia="宋体" w:cs="宋体"/>
                <w:sz w:val="24"/>
              </w:rPr>
            </w:pPr>
          </w:p>
        </w:tc>
        <w:tc>
          <w:tcPr>
            <w:tcW w:w="2522" w:type="dxa"/>
            <w:gridSpan w:val="2"/>
            <w:noWrap w:val="0"/>
            <w:vAlign w:val="top"/>
          </w:tcPr>
          <w:p w14:paraId="6BE75152">
            <w:pPr>
              <w:outlineLvl w:val="9"/>
              <w:rPr>
                <w:rFonts w:hint="eastAsia" w:ascii="宋体" w:hAnsi="宋体" w:eastAsia="宋体" w:cs="宋体"/>
                <w:sz w:val="24"/>
              </w:rPr>
            </w:pPr>
          </w:p>
        </w:tc>
      </w:tr>
      <w:tr w14:paraId="202B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95" w:type="dxa"/>
            <w:gridSpan w:val="2"/>
            <w:noWrap w:val="0"/>
            <w:vAlign w:val="top"/>
          </w:tcPr>
          <w:p w14:paraId="18A898BF">
            <w:pPr>
              <w:outlineLvl w:val="9"/>
              <w:rPr>
                <w:rFonts w:hint="eastAsia" w:ascii="宋体" w:hAnsi="宋体" w:eastAsia="宋体" w:cs="宋体"/>
                <w:sz w:val="24"/>
              </w:rPr>
            </w:pPr>
          </w:p>
        </w:tc>
        <w:tc>
          <w:tcPr>
            <w:tcW w:w="3990" w:type="dxa"/>
            <w:gridSpan w:val="5"/>
            <w:noWrap w:val="0"/>
            <w:vAlign w:val="top"/>
          </w:tcPr>
          <w:p w14:paraId="4E842B3C">
            <w:pPr>
              <w:outlineLvl w:val="9"/>
              <w:rPr>
                <w:rFonts w:hint="eastAsia" w:ascii="宋体" w:hAnsi="宋体" w:eastAsia="宋体" w:cs="宋体"/>
                <w:sz w:val="24"/>
              </w:rPr>
            </w:pPr>
          </w:p>
        </w:tc>
        <w:tc>
          <w:tcPr>
            <w:tcW w:w="2522" w:type="dxa"/>
            <w:gridSpan w:val="2"/>
            <w:noWrap w:val="0"/>
            <w:vAlign w:val="top"/>
          </w:tcPr>
          <w:p w14:paraId="22882798">
            <w:pPr>
              <w:outlineLvl w:val="9"/>
              <w:rPr>
                <w:rFonts w:hint="eastAsia" w:ascii="宋体" w:hAnsi="宋体" w:eastAsia="宋体" w:cs="宋体"/>
                <w:sz w:val="24"/>
              </w:rPr>
            </w:pPr>
          </w:p>
        </w:tc>
      </w:tr>
    </w:tbl>
    <w:p w14:paraId="28639AAC">
      <w:pPr>
        <w:pStyle w:val="14"/>
        <w:ind w:firstLine="280"/>
        <w:outlineLvl w:val="9"/>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注：提供人员证件资料。</w:t>
      </w:r>
    </w:p>
    <w:p w14:paraId="124F6193">
      <w:pPr>
        <w:tabs>
          <w:tab w:val="left" w:pos="1680"/>
        </w:tabs>
        <w:outlineLvl w:val="9"/>
        <w:rPr>
          <w:rFonts w:hint="eastAsia" w:ascii="宋体" w:hAnsi="宋体" w:eastAsia="宋体" w:cs="宋体"/>
          <w:sz w:val="24"/>
        </w:rPr>
      </w:pPr>
    </w:p>
    <w:p w14:paraId="6ECD69B6">
      <w:pPr>
        <w:spacing w:line="480" w:lineRule="auto"/>
        <w:ind w:firstLine="3840" w:firstLineChars="1600"/>
        <w:outlineLvl w:val="9"/>
        <w:rPr>
          <w:rFonts w:hint="eastAsia" w:ascii="宋体" w:hAnsi="宋体" w:eastAsia="宋体" w:cs="宋体"/>
          <w:sz w:val="24"/>
        </w:rPr>
      </w:pPr>
    </w:p>
    <w:p w14:paraId="7DE17905">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（公章签章）</w:t>
      </w:r>
    </w:p>
    <w:p w14:paraId="67CA2BFC">
      <w:pPr>
        <w:spacing w:line="360" w:lineRule="auto"/>
        <w:ind w:firstLine="4200" w:firstLineChars="1750"/>
        <w:rPr>
          <w:rFonts w:hint="eastAsia" w:ascii="宋体" w:hAnsi="宋体" w:cs="宋体"/>
          <w:color w:val="auto"/>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（电子签章）</w:t>
      </w:r>
    </w:p>
    <w:p w14:paraId="763D35E2">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rPr>
        <w:t>日</w:t>
      </w:r>
    </w:p>
    <w:p w14:paraId="0547A02F">
      <w:pPr>
        <w:ind w:left="971" w:hanging="492"/>
        <w:outlineLvl w:val="9"/>
        <w:rPr>
          <w:rFonts w:hint="eastAsia" w:ascii="宋体" w:hAnsi="宋体" w:eastAsia="宋体" w:cs="宋体"/>
          <w:sz w:val="24"/>
        </w:rPr>
      </w:pPr>
    </w:p>
    <w:p w14:paraId="20A8AF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color w:val="000000"/>
          <w:sz w:val="32"/>
          <w:szCs w:val="32"/>
        </w:rPr>
      </w:pPr>
      <w:bookmarkStart w:id="349" w:name="_Toc451956882"/>
      <w:bookmarkStart w:id="350" w:name="_Toc23154489"/>
      <w:r>
        <w:rPr>
          <w:rFonts w:hint="eastAsia" w:ascii="宋体" w:hAnsi="宋体" w:eastAsia="宋体" w:cs="宋体"/>
          <w:b w:val="0"/>
          <w:bCs w:val="0"/>
          <w:sz w:val="30"/>
          <w:szCs w:val="30"/>
          <w:lang w:eastAsia="zh-CN"/>
        </w:rPr>
        <w:br w:type="page"/>
      </w:r>
      <w:r>
        <w:rPr>
          <w:rFonts w:hint="eastAsia" w:ascii="宋体" w:hAnsi="宋体" w:eastAsia="宋体" w:cs="宋体"/>
          <w:b/>
          <w:bCs/>
          <w:color w:val="000000"/>
          <w:sz w:val="32"/>
          <w:szCs w:val="32"/>
          <w:lang w:val="en-US" w:eastAsia="zh-CN"/>
        </w:rPr>
        <w:t>八</w:t>
      </w:r>
      <w:r>
        <w:rPr>
          <w:rFonts w:hint="eastAsia" w:ascii="宋体" w:hAnsi="宋体" w:eastAsia="宋体" w:cs="宋体"/>
          <w:b/>
          <w:bCs/>
          <w:color w:val="000000"/>
          <w:sz w:val="32"/>
          <w:szCs w:val="32"/>
        </w:rPr>
        <w:t>、资格证明资料</w:t>
      </w:r>
    </w:p>
    <w:p w14:paraId="5C6FDC91">
      <w:pPr>
        <w:snapToGrid w:val="0"/>
        <w:spacing w:line="360" w:lineRule="auto"/>
        <w:jc w:val="center"/>
        <w:outlineLvl w:val="9"/>
        <w:rPr>
          <w:rFonts w:hint="eastAsia" w:ascii="宋体" w:hAnsi="宋体" w:eastAsia="宋体" w:cs="宋体"/>
          <w:b/>
          <w:bCs/>
          <w:sz w:val="28"/>
          <w:szCs w:val="28"/>
        </w:rPr>
      </w:pPr>
      <w:r>
        <w:rPr>
          <w:rFonts w:hint="eastAsia" w:ascii="宋体" w:hAnsi="宋体" w:eastAsia="宋体" w:cs="宋体"/>
          <w:b/>
          <w:bCs/>
          <w:sz w:val="28"/>
          <w:szCs w:val="28"/>
        </w:rPr>
        <w:t>（一）供应商基本情况表</w:t>
      </w:r>
    </w:p>
    <w:tbl>
      <w:tblPr>
        <w:tblStyle w:val="16"/>
        <w:tblW w:w="0" w:type="auto"/>
        <w:tblInd w:w="108" w:type="dxa"/>
        <w:tblLayout w:type="fixed"/>
        <w:tblCellMar>
          <w:top w:w="0" w:type="dxa"/>
          <w:left w:w="108" w:type="dxa"/>
          <w:bottom w:w="0" w:type="dxa"/>
          <w:right w:w="108" w:type="dxa"/>
        </w:tblCellMar>
      </w:tblPr>
      <w:tblGrid>
        <w:gridCol w:w="1676"/>
        <w:gridCol w:w="1021"/>
        <w:gridCol w:w="1080"/>
        <w:gridCol w:w="900"/>
        <w:gridCol w:w="360"/>
        <w:gridCol w:w="540"/>
        <w:gridCol w:w="540"/>
        <w:gridCol w:w="242"/>
        <w:gridCol w:w="478"/>
        <w:gridCol w:w="180"/>
        <w:gridCol w:w="1673"/>
      </w:tblGrid>
      <w:tr w14:paraId="6FA588CF">
        <w:tblPrEx>
          <w:tblCellMar>
            <w:top w:w="0" w:type="dxa"/>
            <w:left w:w="108" w:type="dxa"/>
            <w:bottom w:w="0" w:type="dxa"/>
            <w:right w:w="108" w:type="dxa"/>
          </w:tblCellMar>
        </w:tblPrEx>
        <w:trPr>
          <w:cantSplit/>
          <w:trHeight w:val="765"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7736B1E4">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供应商名称</w:t>
            </w:r>
          </w:p>
        </w:tc>
        <w:tc>
          <w:tcPr>
            <w:tcW w:w="7014" w:type="dxa"/>
            <w:gridSpan w:val="10"/>
            <w:tcBorders>
              <w:top w:val="single" w:color="000000" w:sz="4" w:space="0"/>
              <w:left w:val="single" w:color="000000" w:sz="4" w:space="0"/>
              <w:bottom w:val="single" w:color="000000" w:sz="4" w:space="0"/>
              <w:right w:val="single" w:color="000000" w:sz="4" w:space="0"/>
            </w:tcBorders>
            <w:noWrap w:val="0"/>
            <w:vAlign w:val="center"/>
          </w:tcPr>
          <w:p w14:paraId="1571F63C">
            <w:pPr>
              <w:ind w:left="0" w:leftChars="0" w:firstLine="0" w:firstLineChars="0"/>
              <w:jc w:val="both"/>
              <w:outlineLvl w:val="9"/>
              <w:rPr>
                <w:rFonts w:hint="eastAsia" w:ascii="宋体" w:hAnsi="宋体" w:eastAsia="宋体" w:cs="宋体"/>
                <w:sz w:val="24"/>
              </w:rPr>
            </w:pPr>
          </w:p>
        </w:tc>
      </w:tr>
      <w:tr w14:paraId="72C61FAF">
        <w:tblPrEx>
          <w:tblCellMar>
            <w:top w:w="0" w:type="dxa"/>
            <w:left w:w="108" w:type="dxa"/>
            <w:bottom w:w="0" w:type="dxa"/>
            <w:right w:w="108" w:type="dxa"/>
          </w:tblCellMar>
        </w:tblPrEx>
        <w:trPr>
          <w:cantSplit/>
          <w:trHeight w:val="54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FC20635">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注册地址</w:t>
            </w:r>
          </w:p>
        </w:tc>
        <w:tc>
          <w:tcPr>
            <w:tcW w:w="3901" w:type="dxa"/>
            <w:gridSpan w:val="5"/>
            <w:tcBorders>
              <w:top w:val="single" w:color="000000" w:sz="4" w:space="0"/>
              <w:left w:val="single" w:color="000000" w:sz="4" w:space="0"/>
              <w:bottom w:val="single" w:color="000000" w:sz="4" w:space="0"/>
              <w:right w:val="single" w:color="000000" w:sz="4" w:space="0"/>
            </w:tcBorders>
            <w:noWrap w:val="0"/>
            <w:vAlign w:val="center"/>
          </w:tcPr>
          <w:p w14:paraId="3AFFED3D">
            <w:pPr>
              <w:ind w:left="0" w:leftChars="0" w:firstLine="0" w:firstLineChars="0"/>
              <w:jc w:val="both"/>
              <w:outlineLvl w:val="9"/>
              <w:rPr>
                <w:rFonts w:hint="eastAsia" w:ascii="宋体" w:hAnsi="宋体" w:eastAsia="宋体" w:cs="宋体"/>
                <w:sz w:val="24"/>
              </w:rPr>
            </w:pPr>
          </w:p>
        </w:tc>
        <w:tc>
          <w:tcPr>
            <w:tcW w:w="1260" w:type="dxa"/>
            <w:gridSpan w:val="3"/>
            <w:tcBorders>
              <w:top w:val="single" w:color="000000" w:sz="4" w:space="0"/>
              <w:left w:val="single" w:color="000000" w:sz="4" w:space="0"/>
              <w:bottom w:val="single" w:color="000000" w:sz="4" w:space="0"/>
              <w:right w:val="single" w:color="000000" w:sz="4" w:space="0"/>
            </w:tcBorders>
            <w:noWrap w:val="0"/>
            <w:vAlign w:val="center"/>
          </w:tcPr>
          <w:p w14:paraId="06237DE8">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邮政编码</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0F47CCD8">
            <w:pPr>
              <w:jc w:val="center"/>
              <w:outlineLvl w:val="9"/>
              <w:rPr>
                <w:rFonts w:hint="eastAsia" w:ascii="宋体" w:hAnsi="宋体" w:eastAsia="宋体" w:cs="宋体"/>
                <w:sz w:val="24"/>
              </w:rPr>
            </w:pPr>
          </w:p>
        </w:tc>
      </w:tr>
      <w:tr w14:paraId="01AC3DD5">
        <w:tblPrEx>
          <w:tblCellMar>
            <w:top w:w="0" w:type="dxa"/>
            <w:left w:w="108" w:type="dxa"/>
            <w:bottom w:w="0" w:type="dxa"/>
            <w:right w:w="108" w:type="dxa"/>
          </w:tblCellMar>
        </w:tblPrEx>
        <w:trPr>
          <w:cantSplit/>
          <w:trHeight w:val="567" w:hRule="atLeast"/>
        </w:trPr>
        <w:tc>
          <w:tcPr>
            <w:tcW w:w="1676" w:type="dxa"/>
            <w:vMerge w:val="restart"/>
            <w:tcBorders>
              <w:top w:val="single" w:color="000000" w:sz="4" w:space="0"/>
              <w:left w:val="single" w:color="000000" w:sz="4" w:space="0"/>
              <w:bottom w:val="single" w:color="000000" w:sz="4" w:space="0"/>
              <w:right w:val="single" w:color="000000" w:sz="4" w:space="0"/>
            </w:tcBorders>
            <w:noWrap w:val="0"/>
            <w:vAlign w:val="center"/>
          </w:tcPr>
          <w:p w14:paraId="628D7223">
            <w:pPr>
              <w:ind w:left="0" w:leftChars="0" w:firstLine="0" w:firstLineChars="0"/>
              <w:outlineLvl w:val="9"/>
              <w:rPr>
                <w:rFonts w:hint="eastAsia" w:ascii="宋体" w:hAnsi="宋体" w:eastAsia="宋体" w:cs="宋体"/>
                <w:sz w:val="24"/>
              </w:rPr>
            </w:pPr>
            <w:r>
              <w:rPr>
                <w:rFonts w:hint="eastAsia" w:ascii="宋体" w:hAnsi="宋体" w:eastAsia="宋体" w:cs="宋体"/>
                <w:sz w:val="24"/>
              </w:rPr>
              <w:t>联系方式</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14:paraId="5D9561F1">
            <w:pPr>
              <w:ind w:left="0" w:leftChars="0" w:firstLine="0" w:firstLineChars="0"/>
              <w:outlineLvl w:val="9"/>
              <w:rPr>
                <w:rFonts w:hint="eastAsia" w:ascii="宋体" w:hAnsi="宋体" w:eastAsia="宋体" w:cs="宋体"/>
                <w:sz w:val="24"/>
              </w:rPr>
            </w:pPr>
            <w:r>
              <w:rPr>
                <w:rFonts w:hint="eastAsia" w:ascii="宋体" w:hAnsi="宋体" w:eastAsia="宋体" w:cs="宋体"/>
                <w:sz w:val="24"/>
              </w:rPr>
              <w:t>联系人</w:t>
            </w:r>
          </w:p>
        </w:tc>
        <w:tc>
          <w:tcPr>
            <w:tcW w:w="2880" w:type="dxa"/>
            <w:gridSpan w:val="4"/>
            <w:tcBorders>
              <w:top w:val="single" w:color="000000" w:sz="4" w:space="0"/>
              <w:left w:val="single" w:color="000000" w:sz="4" w:space="0"/>
              <w:bottom w:val="single" w:color="000000" w:sz="4" w:space="0"/>
              <w:right w:val="single" w:color="000000" w:sz="4" w:space="0"/>
            </w:tcBorders>
            <w:noWrap w:val="0"/>
            <w:vAlign w:val="center"/>
          </w:tcPr>
          <w:p w14:paraId="20F7DD8D">
            <w:pPr>
              <w:jc w:val="center"/>
              <w:outlineLvl w:val="9"/>
              <w:rPr>
                <w:rFonts w:hint="eastAsia" w:ascii="宋体" w:hAnsi="宋体" w:eastAsia="宋体" w:cs="宋体"/>
                <w:sz w:val="24"/>
              </w:rPr>
            </w:pPr>
          </w:p>
        </w:tc>
        <w:tc>
          <w:tcPr>
            <w:tcW w:w="1260" w:type="dxa"/>
            <w:gridSpan w:val="3"/>
            <w:tcBorders>
              <w:top w:val="single" w:color="000000" w:sz="4" w:space="0"/>
              <w:left w:val="single" w:color="000000" w:sz="4" w:space="0"/>
              <w:bottom w:val="single" w:color="000000" w:sz="4" w:space="0"/>
              <w:right w:val="single" w:color="000000" w:sz="4" w:space="0"/>
            </w:tcBorders>
            <w:noWrap w:val="0"/>
            <w:vAlign w:val="center"/>
          </w:tcPr>
          <w:p w14:paraId="245724EB">
            <w:pPr>
              <w:ind w:left="0" w:leftChars="0" w:firstLine="0" w:firstLineChars="0"/>
              <w:outlineLvl w:val="9"/>
              <w:rPr>
                <w:rFonts w:hint="eastAsia" w:ascii="宋体" w:hAnsi="宋体" w:eastAsia="宋体" w:cs="宋体"/>
                <w:sz w:val="24"/>
              </w:rPr>
            </w:pPr>
            <w:r>
              <w:rPr>
                <w:rFonts w:hint="eastAsia" w:ascii="宋体" w:hAnsi="宋体" w:eastAsia="宋体" w:cs="宋体"/>
                <w:sz w:val="24"/>
              </w:rPr>
              <w:t>电话</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4A99E06F">
            <w:pPr>
              <w:jc w:val="center"/>
              <w:outlineLvl w:val="9"/>
              <w:rPr>
                <w:rFonts w:hint="eastAsia" w:ascii="宋体" w:hAnsi="宋体" w:eastAsia="宋体" w:cs="宋体"/>
                <w:sz w:val="24"/>
              </w:rPr>
            </w:pPr>
          </w:p>
        </w:tc>
      </w:tr>
      <w:tr w14:paraId="167FCACF">
        <w:tblPrEx>
          <w:tblCellMar>
            <w:top w:w="0" w:type="dxa"/>
            <w:left w:w="108" w:type="dxa"/>
            <w:bottom w:w="0" w:type="dxa"/>
            <w:right w:w="108" w:type="dxa"/>
          </w:tblCellMar>
        </w:tblPrEx>
        <w:trPr>
          <w:cantSplit/>
          <w:trHeight w:val="567" w:hRule="atLeast"/>
        </w:trPr>
        <w:tc>
          <w:tcPr>
            <w:tcW w:w="16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16B04B">
            <w:pPr>
              <w:jc w:val="center"/>
              <w:outlineLvl w:val="9"/>
              <w:rPr>
                <w:rFonts w:hint="eastAsia" w:ascii="宋体" w:hAnsi="宋体" w:eastAsia="宋体" w:cs="宋体"/>
                <w:sz w:val="24"/>
              </w:rPr>
            </w:pPr>
          </w:p>
        </w:tc>
        <w:tc>
          <w:tcPr>
            <w:tcW w:w="1021" w:type="dxa"/>
            <w:tcBorders>
              <w:top w:val="single" w:color="000000" w:sz="4" w:space="0"/>
              <w:left w:val="single" w:color="000000" w:sz="4" w:space="0"/>
              <w:bottom w:val="single" w:color="000000" w:sz="4" w:space="0"/>
              <w:right w:val="single" w:color="000000" w:sz="4" w:space="0"/>
            </w:tcBorders>
            <w:noWrap w:val="0"/>
            <w:vAlign w:val="center"/>
          </w:tcPr>
          <w:p w14:paraId="3586A4E9">
            <w:pPr>
              <w:ind w:left="0" w:leftChars="0" w:firstLine="0" w:firstLineChars="0"/>
              <w:outlineLvl w:val="9"/>
              <w:rPr>
                <w:rFonts w:hint="eastAsia" w:ascii="宋体" w:hAnsi="宋体" w:eastAsia="宋体" w:cs="宋体"/>
                <w:sz w:val="24"/>
              </w:rPr>
            </w:pPr>
            <w:r>
              <w:rPr>
                <w:rFonts w:hint="eastAsia" w:ascii="宋体" w:hAnsi="宋体" w:eastAsia="宋体" w:cs="宋体"/>
                <w:sz w:val="24"/>
              </w:rPr>
              <w:t>传真</w:t>
            </w:r>
          </w:p>
        </w:tc>
        <w:tc>
          <w:tcPr>
            <w:tcW w:w="2880" w:type="dxa"/>
            <w:gridSpan w:val="4"/>
            <w:tcBorders>
              <w:top w:val="single" w:color="000000" w:sz="4" w:space="0"/>
              <w:left w:val="single" w:color="000000" w:sz="4" w:space="0"/>
              <w:bottom w:val="single" w:color="000000" w:sz="4" w:space="0"/>
              <w:right w:val="single" w:color="000000" w:sz="4" w:space="0"/>
            </w:tcBorders>
            <w:noWrap w:val="0"/>
            <w:vAlign w:val="center"/>
          </w:tcPr>
          <w:p w14:paraId="2F845F2F">
            <w:pPr>
              <w:jc w:val="center"/>
              <w:outlineLvl w:val="9"/>
              <w:rPr>
                <w:rFonts w:hint="eastAsia" w:ascii="宋体" w:hAnsi="宋体" w:eastAsia="宋体" w:cs="宋体"/>
                <w:sz w:val="24"/>
              </w:rPr>
            </w:pPr>
          </w:p>
        </w:tc>
        <w:tc>
          <w:tcPr>
            <w:tcW w:w="1260" w:type="dxa"/>
            <w:gridSpan w:val="3"/>
            <w:tcBorders>
              <w:top w:val="single" w:color="000000" w:sz="4" w:space="0"/>
              <w:left w:val="single" w:color="000000" w:sz="4" w:space="0"/>
              <w:bottom w:val="single" w:color="000000" w:sz="4" w:space="0"/>
              <w:right w:val="single" w:color="000000" w:sz="4" w:space="0"/>
            </w:tcBorders>
            <w:noWrap w:val="0"/>
            <w:vAlign w:val="center"/>
          </w:tcPr>
          <w:p w14:paraId="3E789F5D">
            <w:pPr>
              <w:ind w:left="0" w:leftChars="0" w:firstLine="0" w:firstLineChars="0"/>
              <w:outlineLvl w:val="9"/>
              <w:rPr>
                <w:rFonts w:hint="eastAsia" w:ascii="宋体" w:hAnsi="宋体" w:eastAsia="宋体" w:cs="宋体"/>
                <w:sz w:val="24"/>
              </w:rPr>
            </w:pPr>
            <w:r>
              <w:rPr>
                <w:rFonts w:hint="eastAsia" w:ascii="宋体" w:hAnsi="宋体" w:eastAsia="宋体" w:cs="宋体"/>
                <w:sz w:val="24"/>
              </w:rPr>
              <w:t>网址</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3390CFD3">
            <w:pPr>
              <w:jc w:val="center"/>
              <w:outlineLvl w:val="9"/>
              <w:rPr>
                <w:rFonts w:hint="eastAsia" w:ascii="宋体" w:hAnsi="宋体" w:eastAsia="宋体" w:cs="宋体"/>
                <w:sz w:val="24"/>
              </w:rPr>
            </w:pPr>
          </w:p>
        </w:tc>
      </w:tr>
      <w:tr w14:paraId="6E6FBEDF">
        <w:tblPrEx>
          <w:tblCellMar>
            <w:top w:w="0" w:type="dxa"/>
            <w:left w:w="108" w:type="dxa"/>
            <w:bottom w:w="0" w:type="dxa"/>
            <w:right w:w="108" w:type="dxa"/>
          </w:tblCellMar>
        </w:tblPrEx>
        <w:trPr>
          <w:cantSplit/>
          <w:trHeight w:val="5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2A475C9C">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法定代表人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14:paraId="5AD77D6A">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姓名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F6E2F8">
            <w:pPr>
              <w:jc w:val="center"/>
              <w:outlineLvl w:val="9"/>
              <w:rPr>
                <w:rFonts w:hint="eastAsia" w:ascii="宋体" w:hAnsi="宋体" w:eastAsia="宋体" w:cs="宋体"/>
                <w:sz w:val="24"/>
              </w:rPr>
            </w:pPr>
          </w:p>
          <w:p w14:paraId="05C28EE2">
            <w:pPr>
              <w:jc w:val="center"/>
              <w:outlineLvl w:val="9"/>
              <w:rPr>
                <w:rFonts w:hint="eastAsia" w:ascii="宋体" w:hAnsi="宋体" w:eastAsia="宋体" w:cs="宋体"/>
                <w:sz w:val="24"/>
              </w:rPr>
            </w:pPr>
          </w:p>
        </w:tc>
        <w:tc>
          <w:tcPr>
            <w:tcW w:w="1260" w:type="dxa"/>
            <w:gridSpan w:val="2"/>
            <w:tcBorders>
              <w:top w:val="single" w:color="000000" w:sz="4" w:space="0"/>
              <w:left w:val="single" w:color="000000" w:sz="4" w:space="0"/>
              <w:bottom w:val="single" w:color="000000" w:sz="4" w:space="0"/>
              <w:right w:val="single" w:color="000000" w:sz="4" w:space="0"/>
            </w:tcBorders>
            <w:noWrap w:val="0"/>
            <w:vAlign w:val="center"/>
          </w:tcPr>
          <w:p w14:paraId="6DEAC621">
            <w:pPr>
              <w:ind w:left="0" w:leftChars="0" w:firstLine="0" w:firstLineChars="0"/>
              <w:outlineLvl w:val="9"/>
              <w:rPr>
                <w:rFonts w:hint="eastAsia" w:ascii="宋体" w:hAnsi="宋体" w:eastAsia="宋体" w:cs="宋体"/>
                <w:sz w:val="24"/>
              </w:rPr>
            </w:pPr>
            <w:r>
              <w:rPr>
                <w:rFonts w:hint="eastAsia" w:ascii="宋体" w:hAnsi="宋体" w:eastAsia="宋体" w:cs="宋体"/>
                <w:sz w:val="24"/>
              </w:rPr>
              <w:t>技术职称</w:t>
            </w:r>
          </w:p>
        </w:tc>
        <w:tc>
          <w:tcPr>
            <w:tcW w:w="1080" w:type="dxa"/>
            <w:gridSpan w:val="2"/>
            <w:tcBorders>
              <w:top w:val="single" w:color="000000" w:sz="4" w:space="0"/>
              <w:left w:val="single" w:color="000000" w:sz="4" w:space="0"/>
              <w:bottom w:val="single" w:color="000000" w:sz="4" w:space="0"/>
              <w:right w:val="single" w:color="000000" w:sz="4" w:space="0"/>
            </w:tcBorders>
            <w:noWrap w:val="0"/>
            <w:vAlign w:val="center"/>
          </w:tcPr>
          <w:p w14:paraId="1E5E51DA">
            <w:pPr>
              <w:jc w:val="center"/>
              <w:outlineLvl w:val="9"/>
              <w:rPr>
                <w:rFonts w:hint="eastAsia" w:ascii="宋体" w:hAnsi="宋体" w:eastAsia="宋体" w:cs="宋体"/>
                <w:sz w:val="24"/>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14:paraId="56479D43">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电话</w:t>
            </w:r>
          </w:p>
        </w:tc>
        <w:tc>
          <w:tcPr>
            <w:tcW w:w="1673" w:type="dxa"/>
            <w:tcBorders>
              <w:top w:val="single" w:color="000000" w:sz="4" w:space="0"/>
              <w:left w:val="single" w:color="000000" w:sz="4" w:space="0"/>
              <w:bottom w:val="single" w:color="000000" w:sz="4" w:space="0"/>
              <w:right w:val="single" w:color="000000" w:sz="4" w:space="0"/>
            </w:tcBorders>
            <w:noWrap w:val="0"/>
            <w:vAlign w:val="center"/>
          </w:tcPr>
          <w:p w14:paraId="2D4B0D0E">
            <w:pPr>
              <w:jc w:val="center"/>
              <w:outlineLvl w:val="9"/>
              <w:rPr>
                <w:rFonts w:hint="eastAsia" w:ascii="宋体" w:hAnsi="宋体" w:eastAsia="宋体" w:cs="宋体"/>
                <w:sz w:val="24"/>
              </w:rPr>
            </w:pPr>
          </w:p>
        </w:tc>
      </w:tr>
      <w:tr w14:paraId="4AE8CA1F">
        <w:tblPrEx>
          <w:tblCellMar>
            <w:top w:w="0" w:type="dxa"/>
            <w:left w:w="108" w:type="dxa"/>
            <w:bottom w:w="0" w:type="dxa"/>
            <w:right w:w="108" w:type="dxa"/>
          </w:tblCellMar>
        </w:tblPrEx>
        <w:trPr>
          <w:cantSplit/>
          <w:trHeight w:val="5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47888796">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技术负责人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14:paraId="09A2B0E5">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姓名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D08BFA">
            <w:pPr>
              <w:jc w:val="center"/>
              <w:outlineLvl w:val="9"/>
              <w:rPr>
                <w:rFonts w:hint="eastAsia" w:ascii="宋体" w:hAnsi="宋体" w:eastAsia="宋体" w:cs="宋体"/>
                <w:sz w:val="24"/>
              </w:rPr>
            </w:pPr>
          </w:p>
        </w:tc>
        <w:tc>
          <w:tcPr>
            <w:tcW w:w="1260" w:type="dxa"/>
            <w:gridSpan w:val="2"/>
            <w:tcBorders>
              <w:top w:val="single" w:color="000000" w:sz="4" w:space="0"/>
              <w:left w:val="single" w:color="000000" w:sz="4" w:space="0"/>
              <w:bottom w:val="single" w:color="000000" w:sz="4" w:space="0"/>
              <w:right w:val="single" w:color="000000" w:sz="4" w:space="0"/>
            </w:tcBorders>
            <w:noWrap w:val="0"/>
            <w:vAlign w:val="center"/>
          </w:tcPr>
          <w:p w14:paraId="38C3EF20">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技术职称</w:t>
            </w:r>
          </w:p>
        </w:tc>
        <w:tc>
          <w:tcPr>
            <w:tcW w:w="1080" w:type="dxa"/>
            <w:gridSpan w:val="2"/>
            <w:tcBorders>
              <w:top w:val="single" w:color="000000" w:sz="4" w:space="0"/>
              <w:left w:val="single" w:color="000000" w:sz="4" w:space="0"/>
              <w:bottom w:val="single" w:color="000000" w:sz="4" w:space="0"/>
              <w:right w:val="single" w:color="000000" w:sz="4" w:space="0"/>
            </w:tcBorders>
            <w:noWrap w:val="0"/>
            <w:vAlign w:val="center"/>
          </w:tcPr>
          <w:p w14:paraId="5AD1673A">
            <w:pPr>
              <w:jc w:val="center"/>
              <w:outlineLvl w:val="9"/>
              <w:rPr>
                <w:rFonts w:hint="eastAsia" w:ascii="宋体" w:hAnsi="宋体" w:eastAsia="宋体" w:cs="宋体"/>
                <w:sz w:val="24"/>
              </w:rPr>
            </w:pPr>
          </w:p>
          <w:p w14:paraId="2FD9C01D">
            <w:pPr>
              <w:jc w:val="center"/>
              <w:outlineLvl w:val="9"/>
              <w:rPr>
                <w:rFonts w:hint="eastAsia" w:ascii="宋体" w:hAnsi="宋体" w:eastAsia="宋体" w:cs="宋体"/>
                <w:sz w:val="24"/>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14:paraId="27B67424">
            <w:pPr>
              <w:ind w:left="0" w:leftChars="0" w:firstLine="0" w:firstLineChars="0"/>
              <w:outlineLvl w:val="9"/>
              <w:rPr>
                <w:rFonts w:hint="eastAsia" w:ascii="宋体" w:hAnsi="宋体" w:eastAsia="宋体" w:cs="宋体"/>
                <w:sz w:val="24"/>
              </w:rPr>
            </w:pPr>
            <w:r>
              <w:rPr>
                <w:rFonts w:hint="eastAsia" w:ascii="宋体" w:hAnsi="宋体" w:eastAsia="宋体" w:cs="宋体"/>
                <w:sz w:val="24"/>
              </w:rPr>
              <w:t>电话</w:t>
            </w:r>
          </w:p>
        </w:tc>
        <w:tc>
          <w:tcPr>
            <w:tcW w:w="1673" w:type="dxa"/>
            <w:tcBorders>
              <w:top w:val="single" w:color="000000" w:sz="4" w:space="0"/>
              <w:left w:val="single" w:color="000000" w:sz="4" w:space="0"/>
              <w:bottom w:val="single" w:color="000000" w:sz="4" w:space="0"/>
              <w:right w:val="single" w:color="000000" w:sz="4" w:space="0"/>
            </w:tcBorders>
            <w:noWrap w:val="0"/>
            <w:vAlign w:val="center"/>
          </w:tcPr>
          <w:p w14:paraId="19057DD4">
            <w:pPr>
              <w:jc w:val="center"/>
              <w:outlineLvl w:val="9"/>
              <w:rPr>
                <w:rFonts w:hint="eastAsia" w:ascii="宋体" w:hAnsi="宋体" w:eastAsia="宋体" w:cs="宋体"/>
                <w:sz w:val="24"/>
              </w:rPr>
            </w:pPr>
          </w:p>
        </w:tc>
      </w:tr>
      <w:tr w14:paraId="515125E7">
        <w:tblPrEx>
          <w:tblCellMar>
            <w:top w:w="0" w:type="dxa"/>
            <w:left w:w="108" w:type="dxa"/>
            <w:bottom w:w="0" w:type="dxa"/>
            <w:right w:w="108" w:type="dxa"/>
          </w:tblCellMar>
        </w:tblPrEx>
        <w:trPr>
          <w:cantSplit/>
          <w:trHeight w:val="5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A58A228">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成立时间</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6C9C0D8F">
            <w:pPr>
              <w:ind w:left="0" w:leftChars="0" w:firstLine="0" w:firstLineChars="0"/>
              <w:jc w:val="both"/>
              <w:outlineLvl w:val="9"/>
              <w:rPr>
                <w:rFonts w:hint="eastAsia" w:ascii="宋体" w:hAnsi="宋体" w:eastAsia="宋体" w:cs="宋体"/>
                <w:sz w:val="24"/>
              </w:rPr>
            </w:pPr>
          </w:p>
        </w:tc>
        <w:tc>
          <w:tcPr>
            <w:tcW w:w="4913" w:type="dxa"/>
            <w:gridSpan w:val="8"/>
            <w:tcBorders>
              <w:top w:val="single" w:color="000000" w:sz="4" w:space="0"/>
              <w:left w:val="single" w:color="000000" w:sz="4" w:space="0"/>
              <w:bottom w:val="single" w:color="000000" w:sz="4" w:space="0"/>
              <w:right w:val="single" w:color="000000" w:sz="4" w:space="0"/>
            </w:tcBorders>
            <w:noWrap w:val="0"/>
            <w:vAlign w:val="center"/>
          </w:tcPr>
          <w:p w14:paraId="713E6DA7">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员工总人数：</w:t>
            </w:r>
          </w:p>
        </w:tc>
      </w:tr>
      <w:tr w14:paraId="4C25F28E">
        <w:tblPrEx>
          <w:tblCellMar>
            <w:top w:w="0" w:type="dxa"/>
            <w:left w:w="108" w:type="dxa"/>
            <w:bottom w:w="0" w:type="dxa"/>
            <w:right w:w="108" w:type="dxa"/>
          </w:tblCellMar>
        </w:tblPrEx>
        <w:trPr>
          <w:cantSplit/>
          <w:trHeight w:val="7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9283B12">
            <w:pPr>
              <w:ind w:left="0" w:leftChars="0" w:firstLine="0" w:firstLineChars="0"/>
              <w:outlineLvl w:val="9"/>
              <w:rPr>
                <w:rFonts w:hint="eastAsia" w:ascii="宋体" w:hAnsi="宋体" w:eastAsia="宋体" w:cs="宋体"/>
                <w:sz w:val="24"/>
              </w:rPr>
            </w:pPr>
            <w:r>
              <w:rPr>
                <w:rFonts w:hint="eastAsia" w:ascii="宋体" w:hAnsi="宋体" w:eastAsia="宋体" w:cs="宋体"/>
                <w:sz w:val="24"/>
              </w:rPr>
              <w:t>企业资质等级</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3C9E491E">
            <w:pPr>
              <w:ind w:left="0" w:leftChars="0" w:firstLine="0" w:firstLineChars="0"/>
              <w:jc w:val="both"/>
              <w:outlineLvl w:val="9"/>
              <w:rPr>
                <w:rFonts w:hint="eastAsia" w:ascii="宋体" w:hAnsi="宋体" w:eastAsia="宋体" w:cs="宋体"/>
                <w:sz w:val="24"/>
              </w:rPr>
            </w:pPr>
          </w:p>
        </w:tc>
        <w:tc>
          <w:tcPr>
            <w:tcW w:w="900" w:type="dxa"/>
            <w:vMerge w:val="restart"/>
            <w:tcBorders>
              <w:top w:val="single" w:color="000000" w:sz="4" w:space="0"/>
              <w:left w:val="single" w:color="000000" w:sz="4" w:space="0"/>
              <w:bottom w:val="single" w:color="000000" w:sz="4" w:space="0"/>
              <w:right w:val="single" w:color="000000" w:sz="4" w:space="0"/>
            </w:tcBorders>
            <w:noWrap w:val="0"/>
            <w:vAlign w:val="center"/>
          </w:tcPr>
          <w:p w14:paraId="77490BF3">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其中</w:t>
            </w:r>
          </w:p>
        </w:tc>
        <w:tc>
          <w:tcPr>
            <w:tcW w:w="1682" w:type="dxa"/>
            <w:gridSpan w:val="4"/>
            <w:tcBorders>
              <w:top w:val="single" w:color="000000" w:sz="4" w:space="0"/>
              <w:left w:val="single" w:color="000000" w:sz="4" w:space="0"/>
              <w:bottom w:val="single" w:color="000000" w:sz="4" w:space="0"/>
              <w:right w:val="single" w:color="000000" w:sz="4" w:space="0"/>
            </w:tcBorders>
            <w:noWrap w:val="0"/>
            <w:vAlign w:val="center"/>
          </w:tcPr>
          <w:p w14:paraId="041B82F5">
            <w:pPr>
              <w:ind w:left="0" w:leftChars="0" w:firstLine="0" w:firstLineChars="0"/>
              <w:outlineLvl w:val="9"/>
              <w:rPr>
                <w:rFonts w:hint="eastAsia" w:ascii="宋体" w:hAnsi="宋体" w:eastAsia="宋体" w:cs="宋体"/>
                <w:sz w:val="24"/>
              </w:rPr>
            </w:pPr>
            <w:r>
              <w:rPr>
                <w:rFonts w:hint="eastAsia" w:ascii="宋体" w:hAnsi="宋体" w:eastAsia="宋体" w:cs="宋体"/>
                <w:sz w:val="24"/>
              </w:rPr>
              <w:t>项目负责人</w:t>
            </w:r>
          </w:p>
        </w:tc>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18381282">
            <w:pPr>
              <w:jc w:val="center"/>
              <w:outlineLvl w:val="9"/>
              <w:rPr>
                <w:rFonts w:hint="eastAsia" w:ascii="宋体" w:hAnsi="宋体" w:eastAsia="宋体" w:cs="宋体"/>
                <w:sz w:val="24"/>
              </w:rPr>
            </w:pPr>
          </w:p>
        </w:tc>
      </w:tr>
      <w:tr w14:paraId="128CCFCB">
        <w:tblPrEx>
          <w:tblCellMar>
            <w:top w:w="0" w:type="dxa"/>
            <w:left w:w="108" w:type="dxa"/>
            <w:bottom w:w="0" w:type="dxa"/>
            <w:right w:w="108" w:type="dxa"/>
          </w:tblCellMar>
        </w:tblPrEx>
        <w:trPr>
          <w:cantSplit/>
          <w:trHeight w:val="7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44A7728">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营业执照号</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4F10D9D9">
            <w:pPr>
              <w:ind w:left="0" w:leftChars="0" w:firstLine="0" w:firstLineChars="0"/>
              <w:jc w:val="both"/>
              <w:outlineLvl w:val="9"/>
              <w:rPr>
                <w:rFonts w:hint="eastAsia" w:ascii="宋体" w:hAnsi="宋体" w:eastAsia="宋体" w:cs="宋体"/>
                <w:sz w:val="24"/>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E0CB5">
            <w:pPr>
              <w:jc w:val="center"/>
              <w:outlineLvl w:val="9"/>
              <w:rPr>
                <w:rFonts w:hint="eastAsia" w:ascii="宋体" w:hAnsi="宋体" w:eastAsia="宋体" w:cs="宋体"/>
                <w:sz w:val="24"/>
              </w:rPr>
            </w:pPr>
          </w:p>
        </w:tc>
        <w:tc>
          <w:tcPr>
            <w:tcW w:w="1682" w:type="dxa"/>
            <w:gridSpan w:val="4"/>
            <w:tcBorders>
              <w:top w:val="single" w:color="000000" w:sz="4" w:space="0"/>
              <w:left w:val="single" w:color="000000" w:sz="4" w:space="0"/>
              <w:bottom w:val="single" w:color="000000" w:sz="4" w:space="0"/>
              <w:right w:val="single" w:color="000000" w:sz="4" w:space="0"/>
            </w:tcBorders>
            <w:noWrap w:val="0"/>
            <w:vAlign w:val="center"/>
          </w:tcPr>
          <w:p w14:paraId="0CA846E4">
            <w:pPr>
              <w:ind w:left="0" w:leftChars="0" w:firstLine="0" w:firstLineChars="0"/>
              <w:outlineLvl w:val="9"/>
              <w:rPr>
                <w:rFonts w:hint="eastAsia" w:ascii="宋体" w:hAnsi="宋体" w:eastAsia="宋体" w:cs="宋体"/>
                <w:sz w:val="24"/>
              </w:rPr>
            </w:pPr>
            <w:r>
              <w:rPr>
                <w:rFonts w:hint="eastAsia" w:ascii="宋体" w:hAnsi="宋体" w:eastAsia="宋体" w:cs="宋体"/>
                <w:sz w:val="24"/>
              </w:rPr>
              <w:t>高级职称人员</w:t>
            </w:r>
          </w:p>
        </w:tc>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79C205E1">
            <w:pPr>
              <w:jc w:val="center"/>
              <w:outlineLvl w:val="9"/>
              <w:rPr>
                <w:rFonts w:hint="eastAsia" w:ascii="宋体" w:hAnsi="宋体" w:eastAsia="宋体" w:cs="宋体"/>
                <w:sz w:val="24"/>
              </w:rPr>
            </w:pPr>
          </w:p>
        </w:tc>
      </w:tr>
      <w:tr w14:paraId="6DAF5044">
        <w:tblPrEx>
          <w:tblCellMar>
            <w:top w:w="0" w:type="dxa"/>
            <w:left w:w="108" w:type="dxa"/>
            <w:bottom w:w="0" w:type="dxa"/>
            <w:right w:w="108" w:type="dxa"/>
          </w:tblCellMar>
        </w:tblPrEx>
        <w:trPr>
          <w:cantSplit/>
          <w:trHeight w:val="5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1A2C32D">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注册资金</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1CAEC7BF">
            <w:pPr>
              <w:jc w:val="center"/>
              <w:outlineLvl w:val="9"/>
              <w:rPr>
                <w:rFonts w:hint="eastAsia" w:ascii="宋体" w:hAnsi="宋体" w:eastAsia="宋体" w:cs="宋体"/>
                <w:sz w:val="24"/>
              </w:rPr>
            </w:pPr>
          </w:p>
          <w:p w14:paraId="32C95424">
            <w:pPr>
              <w:jc w:val="center"/>
              <w:outlineLvl w:val="9"/>
              <w:rPr>
                <w:rFonts w:hint="eastAsia" w:ascii="宋体" w:hAnsi="宋体" w:eastAsia="宋体" w:cs="宋体"/>
                <w:sz w:val="24"/>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FA6BC8">
            <w:pPr>
              <w:jc w:val="center"/>
              <w:outlineLvl w:val="9"/>
              <w:rPr>
                <w:rFonts w:hint="eastAsia" w:ascii="宋体" w:hAnsi="宋体" w:eastAsia="宋体" w:cs="宋体"/>
                <w:sz w:val="24"/>
              </w:rPr>
            </w:pPr>
          </w:p>
        </w:tc>
        <w:tc>
          <w:tcPr>
            <w:tcW w:w="1682" w:type="dxa"/>
            <w:gridSpan w:val="4"/>
            <w:tcBorders>
              <w:top w:val="single" w:color="000000" w:sz="4" w:space="0"/>
              <w:left w:val="single" w:color="000000" w:sz="4" w:space="0"/>
              <w:bottom w:val="single" w:color="000000" w:sz="4" w:space="0"/>
              <w:right w:val="single" w:color="000000" w:sz="4" w:space="0"/>
            </w:tcBorders>
            <w:noWrap w:val="0"/>
            <w:vAlign w:val="center"/>
          </w:tcPr>
          <w:p w14:paraId="7E1C0028">
            <w:pPr>
              <w:ind w:left="0" w:leftChars="0" w:firstLine="0" w:firstLineChars="0"/>
              <w:outlineLvl w:val="9"/>
              <w:rPr>
                <w:rFonts w:hint="eastAsia" w:ascii="宋体" w:hAnsi="宋体" w:eastAsia="宋体" w:cs="宋体"/>
                <w:sz w:val="24"/>
              </w:rPr>
            </w:pPr>
            <w:r>
              <w:rPr>
                <w:rFonts w:hint="eastAsia" w:ascii="宋体" w:hAnsi="宋体" w:eastAsia="宋体" w:cs="宋体"/>
                <w:sz w:val="24"/>
              </w:rPr>
              <w:t>中级职称人员</w:t>
            </w:r>
          </w:p>
        </w:tc>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706964B2">
            <w:pPr>
              <w:jc w:val="center"/>
              <w:outlineLvl w:val="9"/>
              <w:rPr>
                <w:rFonts w:hint="eastAsia" w:ascii="宋体" w:hAnsi="宋体" w:eastAsia="宋体" w:cs="宋体"/>
                <w:sz w:val="24"/>
              </w:rPr>
            </w:pPr>
          </w:p>
        </w:tc>
      </w:tr>
      <w:tr w14:paraId="5D21CCD6">
        <w:tblPrEx>
          <w:tblCellMar>
            <w:top w:w="0" w:type="dxa"/>
            <w:left w:w="108" w:type="dxa"/>
            <w:bottom w:w="0" w:type="dxa"/>
            <w:right w:w="108" w:type="dxa"/>
          </w:tblCellMar>
        </w:tblPrEx>
        <w:trPr>
          <w:cantSplit/>
          <w:trHeight w:val="567"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8A0F84E">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开户银行</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34CF505D">
            <w:pPr>
              <w:jc w:val="center"/>
              <w:outlineLvl w:val="9"/>
              <w:rPr>
                <w:rFonts w:hint="eastAsia" w:ascii="宋体" w:hAnsi="宋体" w:eastAsia="宋体" w:cs="宋体"/>
                <w:sz w:val="24"/>
              </w:rPr>
            </w:pPr>
          </w:p>
          <w:p w14:paraId="0FBD9377">
            <w:pPr>
              <w:jc w:val="center"/>
              <w:outlineLvl w:val="9"/>
              <w:rPr>
                <w:rFonts w:hint="eastAsia" w:ascii="宋体" w:hAnsi="宋体" w:eastAsia="宋体" w:cs="宋体"/>
                <w:sz w:val="24"/>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C9590">
            <w:pPr>
              <w:jc w:val="center"/>
              <w:outlineLvl w:val="9"/>
              <w:rPr>
                <w:rFonts w:hint="eastAsia" w:ascii="宋体" w:hAnsi="宋体" w:eastAsia="宋体" w:cs="宋体"/>
                <w:sz w:val="24"/>
              </w:rPr>
            </w:pPr>
          </w:p>
        </w:tc>
        <w:tc>
          <w:tcPr>
            <w:tcW w:w="1682" w:type="dxa"/>
            <w:gridSpan w:val="4"/>
            <w:tcBorders>
              <w:top w:val="single" w:color="000000" w:sz="4" w:space="0"/>
              <w:left w:val="single" w:color="000000" w:sz="4" w:space="0"/>
              <w:bottom w:val="single" w:color="000000" w:sz="4" w:space="0"/>
              <w:right w:val="single" w:color="000000" w:sz="4" w:space="0"/>
            </w:tcBorders>
            <w:noWrap w:val="0"/>
            <w:vAlign w:val="center"/>
          </w:tcPr>
          <w:p w14:paraId="63B1A961">
            <w:pPr>
              <w:ind w:left="0" w:leftChars="0" w:firstLine="0" w:firstLineChars="0"/>
              <w:outlineLvl w:val="9"/>
              <w:rPr>
                <w:rFonts w:hint="eastAsia" w:ascii="宋体" w:hAnsi="宋体" w:eastAsia="宋体" w:cs="宋体"/>
                <w:sz w:val="24"/>
              </w:rPr>
            </w:pPr>
            <w:r>
              <w:rPr>
                <w:rFonts w:hint="eastAsia" w:ascii="宋体" w:hAnsi="宋体" w:eastAsia="宋体" w:cs="宋体"/>
                <w:sz w:val="24"/>
              </w:rPr>
              <w:t>初级职称人员</w:t>
            </w:r>
          </w:p>
        </w:tc>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5224971C">
            <w:pPr>
              <w:jc w:val="center"/>
              <w:outlineLvl w:val="9"/>
              <w:rPr>
                <w:rFonts w:hint="eastAsia" w:ascii="宋体" w:hAnsi="宋体" w:eastAsia="宋体" w:cs="宋体"/>
                <w:sz w:val="24"/>
              </w:rPr>
            </w:pPr>
          </w:p>
        </w:tc>
      </w:tr>
      <w:tr w14:paraId="43399F4F">
        <w:tblPrEx>
          <w:tblCellMar>
            <w:top w:w="0" w:type="dxa"/>
            <w:left w:w="108" w:type="dxa"/>
            <w:bottom w:w="0" w:type="dxa"/>
            <w:right w:w="108" w:type="dxa"/>
          </w:tblCellMar>
        </w:tblPrEx>
        <w:trPr>
          <w:cantSplit/>
          <w:trHeight w:val="405"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2126C1DE">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账号</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14:paraId="0832627B">
            <w:pPr>
              <w:jc w:val="center"/>
              <w:outlineLvl w:val="9"/>
              <w:rPr>
                <w:rFonts w:hint="eastAsia" w:ascii="宋体" w:hAnsi="宋体" w:eastAsia="宋体" w:cs="宋体"/>
                <w:sz w:val="24"/>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71F296">
            <w:pPr>
              <w:jc w:val="center"/>
              <w:outlineLvl w:val="9"/>
              <w:rPr>
                <w:rFonts w:hint="eastAsia" w:ascii="宋体" w:hAnsi="宋体" w:eastAsia="宋体" w:cs="宋体"/>
                <w:sz w:val="24"/>
              </w:rPr>
            </w:pPr>
          </w:p>
        </w:tc>
        <w:tc>
          <w:tcPr>
            <w:tcW w:w="1682" w:type="dxa"/>
            <w:gridSpan w:val="4"/>
            <w:tcBorders>
              <w:top w:val="single" w:color="000000" w:sz="4" w:space="0"/>
              <w:left w:val="single" w:color="000000" w:sz="4" w:space="0"/>
              <w:bottom w:val="single" w:color="000000" w:sz="4" w:space="0"/>
              <w:right w:val="single" w:color="000000" w:sz="4" w:space="0"/>
            </w:tcBorders>
            <w:noWrap w:val="0"/>
            <w:vAlign w:val="center"/>
          </w:tcPr>
          <w:p w14:paraId="33CE9795">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技工</w:t>
            </w:r>
          </w:p>
        </w:tc>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3286EAE6">
            <w:pPr>
              <w:jc w:val="center"/>
              <w:outlineLvl w:val="9"/>
              <w:rPr>
                <w:rFonts w:hint="eastAsia" w:ascii="宋体" w:hAnsi="宋体" w:eastAsia="宋体" w:cs="宋体"/>
                <w:sz w:val="24"/>
              </w:rPr>
            </w:pPr>
          </w:p>
        </w:tc>
      </w:tr>
      <w:tr w14:paraId="14F05A90">
        <w:tblPrEx>
          <w:tblCellMar>
            <w:top w:w="0" w:type="dxa"/>
            <w:left w:w="108" w:type="dxa"/>
            <w:bottom w:w="0" w:type="dxa"/>
            <w:right w:w="108" w:type="dxa"/>
          </w:tblCellMar>
        </w:tblPrEx>
        <w:trPr>
          <w:cantSplit/>
          <w:trHeight w:val="688"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C0C2FF9">
            <w:pPr>
              <w:ind w:left="0" w:leftChars="0" w:firstLine="0" w:firstLineChars="0"/>
              <w:jc w:val="both"/>
              <w:outlineLvl w:val="9"/>
              <w:rPr>
                <w:rFonts w:hint="eastAsia" w:ascii="宋体" w:hAnsi="宋体" w:eastAsia="宋体" w:cs="宋体"/>
                <w:sz w:val="24"/>
              </w:rPr>
            </w:pPr>
            <w:r>
              <w:rPr>
                <w:rFonts w:hint="eastAsia" w:ascii="宋体" w:hAnsi="宋体" w:eastAsia="宋体" w:cs="宋体"/>
                <w:sz w:val="24"/>
              </w:rPr>
              <w:t>经营范围</w:t>
            </w:r>
          </w:p>
        </w:tc>
        <w:tc>
          <w:tcPr>
            <w:tcW w:w="7014" w:type="dxa"/>
            <w:gridSpan w:val="10"/>
            <w:tcBorders>
              <w:top w:val="single" w:color="000000" w:sz="4" w:space="0"/>
              <w:left w:val="single" w:color="000000" w:sz="4" w:space="0"/>
              <w:bottom w:val="single" w:color="000000" w:sz="4" w:space="0"/>
              <w:right w:val="single" w:color="000000" w:sz="4" w:space="0"/>
            </w:tcBorders>
            <w:noWrap w:val="0"/>
            <w:vAlign w:val="center"/>
          </w:tcPr>
          <w:p w14:paraId="32145439">
            <w:pPr>
              <w:jc w:val="center"/>
              <w:outlineLvl w:val="9"/>
              <w:rPr>
                <w:rFonts w:hint="eastAsia" w:ascii="宋体" w:hAnsi="宋体" w:eastAsia="宋体" w:cs="宋体"/>
                <w:sz w:val="24"/>
              </w:rPr>
            </w:pPr>
          </w:p>
        </w:tc>
      </w:tr>
      <w:tr w14:paraId="5C04700A">
        <w:tblPrEx>
          <w:tblCellMar>
            <w:top w:w="0" w:type="dxa"/>
            <w:left w:w="108" w:type="dxa"/>
            <w:bottom w:w="0" w:type="dxa"/>
            <w:right w:w="108" w:type="dxa"/>
          </w:tblCellMar>
        </w:tblPrEx>
        <w:trPr>
          <w:cantSplit/>
          <w:trHeight w:val="715" w:hRule="atLeast"/>
        </w:trPr>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30BBF96">
            <w:pPr>
              <w:jc w:val="center"/>
              <w:outlineLvl w:val="9"/>
              <w:rPr>
                <w:rFonts w:hint="eastAsia" w:ascii="宋体" w:hAnsi="宋体" w:eastAsia="宋体" w:cs="宋体"/>
                <w:sz w:val="24"/>
              </w:rPr>
            </w:pPr>
            <w:r>
              <w:rPr>
                <w:rFonts w:hint="eastAsia" w:ascii="宋体" w:hAnsi="宋体" w:eastAsia="宋体" w:cs="宋体"/>
                <w:sz w:val="24"/>
              </w:rPr>
              <w:t>备注</w:t>
            </w:r>
          </w:p>
        </w:tc>
        <w:tc>
          <w:tcPr>
            <w:tcW w:w="7014" w:type="dxa"/>
            <w:gridSpan w:val="10"/>
            <w:tcBorders>
              <w:top w:val="single" w:color="000000" w:sz="4" w:space="0"/>
              <w:left w:val="single" w:color="000000" w:sz="4" w:space="0"/>
              <w:bottom w:val="single" w:color="000000" w:sz="4" w:space="0"/>
              <w:right w:val="single" w:color="000000" w:sz="4" w:space="0"/>
            </w:tcBorders>
            <w:noWrap w:val="0"/>
            <w:vAlign w:val="center"/>
          </w:tcPr>
          <w:p w14:paraId="5E7E0AD1">
            <w:pPr>
              <w:jc w:val="center"/>
              <w:outlineLvl w:val="9"/>
              <w:rPr>
                <w:rFonts w:hint="eastAsia" w:ascii="宋体" w:hAnsi="宋体" w:eastAsia="宋体" w:cs="宋体"/>
                <w:sz w:val="24"/>
              </w:rPr>
            </w:pPr>
          </w:p>
          <w:p w14:paraId="3D7B326E">
            <w:pPr>
              <w:jc w:val="center"/>
              <w:outlineLvl w:val="9"/>
              <w:rPr>
                <w:rFonts w:hint="eastAsia" w:ascii="宋体" w:hAnsi="宋体" w:eastAsia="宋体" w:cs="宋体"/>
                <w:sz w:val="24"/>
              </w:rPr>
            </w:pPr>
          </w:p>
        </w:tc>
      </w:tr>
    </w:tbl>
    <w:p w14:paraId="3529651C">
      <w:pPr>
        <w:tabs>
          <w:tab w:val="left" w:pos="1680"/>
        </w:tabs>
        <w:ind w:firstLine="420"/>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 xml:space="preserve">注：1、供应商需随此表附上营业执照等资格审查材料的扫描件。 </w:t>
      </w:r>
    </w:p>
    <w:p w14:paraId="1C7A3714">
      <w:pPr>
        <w:spacing w:before="14"/>
        <w:ind w:left="377" w:leftChars="0"/>
        <w:jc w:val="center"/>
        <w:outlineLvl w:val="9"/>
        <w:rPr>
          <w:rFonts w:ascii="宋体" w:hAnsi="宋体" w:cs="宋体"/>
          <w:b/>
          <w:bCs/>
          <w:color w:val="auto"/>
          <w:kern w:val="0"/>
          <w:sz w:val="24"/>
          <w:szCs w:val="24"/>
          <w:highlight w:val="none"/>
        </w:rPr>
      </w:pPr>
      <w:r>
        <w:rPr>
          <w:rFonts w:hint="eastAsia" w:ascii="宋体" w:hAnsi="宋体" w:eastAsia="宋体" w:cs="宋体"/>
          <w:b/>
          <w:bCs/>
          <w:sz w:val="28"/>
          <w:szCs w:val="28"/>
        </w:rPr>
        <w:br w:type="page"/>
      </w:r>
      <w:r>
        <w:rPr>
          <w:rFonts w:hint="eastAsia" w:ascii="宋体" w:hAnsi="宋体" w:eastAsia="宋体" w:cs="宋体"/>
          <w:b/>
          <w:bCs/>
          <w:sz w:val="28"/>
          <w:szCs w:val="28"/>
        </w:rPr>
        <w:t>（二）近年完成的类似项目情况表</w:t>
      </w:r>
      <w:bookmarkEnd w:id="349"/>
      <w:bookmarkEnd w:id="350"/>
      <w:bookmarkStart w:id="351" w:name="_Toc451956884"/>
      <w:bookmarkStart w:id="352" w:name="_Toc449367517"/>
      <w:bookmarkStart w:id="353" w:name="_Toc23154491"/>
    </w:p>
    <w:p w14:paraId="34F7DBD9">
      <w:pPr>
        <w:spacing w:before="11"/>
        <w:jc w:val="left"/>
        <w:rPr>
          <w:rFonts w:ascii="宋体" w:hAnsi="宋体" w:cs="宋体"/>
          <w:color w:val="auto"/>
          <w:kern w:val="0"/>
          <w:sz w:val="22"/>
          <w:highlight w:val="none"/>
        </w:rPr>
      </w:pPr>
    </w:p>
    <w:tbl>
      <w:tblPr>
        <w:tblStyle w:val="16"/>
        <w:tblW w:w="8522" w:type="dxa"/>
        <w:jc w:val="center"/>
        <w:tblLayout w:type="fixed"/>
        <w:tblCellMar>
          <w:top w:w="0" w:type="dxa"/>
          <w:left w:w="0" w:type="dxa"/>
          <w:bottom w:w="0" w:type="dxa"/>
          <w:right w:w="0" w:type="dxa"/>
        </w:tblCellMar>
      </w:tblPr>
      <w:tblGrid>
        <w:gridCol w:w="2269"/>
        <w:gridCol w:w="6253"/>
      </w:tblGrid>
      <w:tr w14:paraId="3D26353D">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23CFCFF5">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项目名称</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64A76CA8">
            <w:pPr>
              <w:spacing w:line="240" w:lineRule="auto"/>
              <w:jc w:val="left"/>
              <w:rPr>
                <w:rFonts w:ascii="宋体" w:hAnsi="宋体" w:cs="宋体"/>
                <w:color w:val="auto"/>
                <w:kern w:val="0"/>
                <w:sz w:val="24"/>
                <w:szCs w:val="24"/>
                <w:highlight w:val="none"/>
                <w:lang w:eastAsia="en-US"/>
              </w:rPr>
            </w:pPr>
          </w:p>
        </w:tc>
      </w:tr>
      <w:tr w14:paraId="4E927B1D">
        <w:tblPrEx>
          <w:tblCellMar>
            <w:top w:w="0" w:type="dxa"/>
            <w:left w:w="0" w:type="dxa"/>
            <w:bottom w:w="0" w:type="dxa"/>
            <w:right w:w="0" w:type="dxa"/>
          </w:tblCellMar>
        </w:tblPrEx>
        <w:trPr>
          <w:trHeight w:val="682"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74F533C4">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项目所在地</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6F6CB01F">
            <w:pPr>
              <w:spacing w:line="240" w:lineRule="auto"/>
              <w:jc w:val="left"/>
              <w:rPr>
                <w:rFonts w:ascii="宋体" w:hAnsi="宋体" w:cs="宋体"/>
                <w:color w:val="auto"/>
                <w:kern w:val="0"/>
                <w:sz w:val="24"/>
                <w:szCs w:val="24"/>
                <w:highlight w:val="none"/>
                <w:lang w:eastAsia="en-US"/>
              </w:rPr>
            </w:pPr>
          </w:p>
        </w:tc>
      </w:tr>
      <w:tr w14:paraId="233EB587">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01444F3B">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委托人名称</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6DD8384E">
            <w:pPr>
              <w:spacing w:line="240" w:lineRule="auto"/>
              <w:jc w:val="left"/>
              <w:rPr>
                <w:rFonts w:ascii="宋体" w:hAnsi="宋体" w:cs="宋体"/>
                <w:color w:val="auto"/>
                <w:kern w:val="0"/>
                <w:sz w:val="24"/>
                <w:szCs w:val="24"/>
                <w:highlight w:val="none"/>
                <w:lang w:eastAsia="en-US"/>
              </w:rPr>
            </w:pPr>
          </w:p>
        </w:tc>
      </w:tr>
      <w:tr w14:paraId="13540974">
        <w:tblPrEx>
          <w:tblCellMar>
            <w:top w:w="0" w:type="dxa"/>
            <w:left w:w="0" w:type="dxa"/>
            <w:bottom w:w="0" w:type="dxa"/>
            <w:right w:w="0" w:type="dxa"/>
          </w:tblCellMar>
        </w:tblPrEx>
        <w:trPr>
          <w:trHeight w:val="680"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2A8E631C">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委托人地址</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00883D1E">
            <w:pPr>
              <w:spacing w:line="240" w:lineRule="auto"/>
              <w:jc w:val="left"/>
              <w:rPr>
                <w:rFonts w:ascii="宋体" w:hAnsi="宋体" w:cs="宋体"/>
                <w:color w:val="auto"/>
                <w:kern w:val="0"/>
                <w:sz w:val="24"/>
                <w:szCs w:val="24"/>
                <w:highlight w:val="none"/>
                <w:lang w:eastAsia="en-US"/>
              </w:rPr>
            </w:pPr>
          </w:p>
        </w:tc>
      </w:tr>
      <w:tr w14:paraId="29E1A94B">
        <w:tblPrEx>
          <w:tblCellMar>
            <w:top w:w="0" w:type="dxa"/>
            <w:left w:w="0" w:type="dxa"/>
            <w:bottom w:w="0" w:type="dxa"/>
            <w:right w:w="0" w:type="dxa"/>
          </w:tblCellMar>
        </w:tblPrEx>
        <w:trPr>
          <w:trHeight w:val="682"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4274566A">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委托人电话</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62F82610">
            <w:pPr>
              <w:spacing w:line="240" w:lineRule="auto"/>
              <w:jc w:val="left"/>
              <w:rPr>
                <w:rFonts w:ascii="宋体" w:hAnsi="宋体" w:cs="宋体"/>
                <w:color w:val="auto"/>
                <w:kern w:val="0"/>
                <w:sz w:val="24"/>
                <w:szCs w:val="24"/>
                <w:highlight w:val="none"/>
                <w:lang w:eastAsia="en-US"/>
              </w:rPr>
            </w:pPr>
          </w:p>
        </w:tc>
      </w:tr>
      <w:tr w14:paraId="09428E23">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6B121F76">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签约合同价</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59A1E023">
            <w:pPr>
              <w:spacing w:line="240" w:lineRule="auto"/>
              <w:jc w:val="left"/>
              <w:rPr>
                <w:rFonts w:ascii="宋体" w:hAnsi="宋体" w:cs="宋体"/>
                <w:color w:val="auto"/>
                <w:kern w:val="0"/>
                <w:sz w:val="24"/>
                <w:szCs w:val="24"/>
                <w:highlight w:val="none"/>
                <w:lang w:eastAsia="en-US"/>
              </w:rPr>
            </w:pPr>
          </w:p>
        </w:tc>
      </w:tr>
      <w:tr w14:paraId="56B93229">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265E46E2">
            <w:pPr>
              <w:spacing w:line="240" w:lineRule="auto"/>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合同日期</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094166A9">
            <w:pPr>
              <w:spacing w:line="240" w:lineRule="auto"/>
              <w:jc w:val="left"/>
              <w:rPr>
                <w:rFonts w:ascii="宋体" w:hAnsi="宋体" w:cs="宋体"/>
                <w:color w:val="auto"/>
                <w:kern w:val="0"/>
                <w:sz w:val="24"/>
                <w:szCs w:val="24"/>
                <w:highlight w:val="none"/>
                <w:lang w:eastAsia="en-US"/>
              </w:rPr>
            </w:pPr>
          </w:p>
        </w:tc>
      </w:tr>
      <w:tr w14:paraId="147C1F00">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34B955AB">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监理服务期限</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2B57262C">
            <w:pPr>
              <w:spacing w:line="240" w:lineRule="auto"/>
              <w:jc w:val="left"/>
              <w:rPr>
                <w:rFonts w:ascii="宋体" w:hAnsi="宋体" w:cs="宋体"/>
                <w:color w:val="auto"/>
                <w:kern w:val="0"/>
                <w:sz w:val="24"/>
                <w:szCs w:val="24"/>
                <w:highlight w:val="none"/>
                <w:lang w:eastAsia="en-US"/>
              </w:rPr>
            </w:pPr>
          </w:p>
        </w:tc>
      </w:tr>
      <w:tr w14:paraId="65BBB8AB">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6741DDD0">
            <w:pPr>
              <w:spacing w:line="240" w:lineRule="auto"/>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完成日期</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296D04B0">
            <w:pPr>
              <w:spacing w:line="240" w:lineRule="auto"/>
              <w:jc w:val="left"/>
              <w:rPr>
                <w:rFonts w:ascii="宋体" w:hAnsi="宋体" w:cs="宋体"/>
                <w:color w:val="auto"/>
                <w:kern w:val="0"/>
                <w:sz w:val="24"/>
                <w:szCs w:val="24"/>
                <w:highlight w:val="none"/>
                <w:lang w:eastAsia="en-US"/>
              </w:rPr>
            </w:pPr>
          </w:p>
        </w:tc>
      </w:tr>
      <w:tr w14:paraId="5E550D10">
        <w:tblPrEx>
          <w:tblCellMar>
            <w:top w:w="0" w:type="dxa"/>
            <w:left w:w="0" w:type="dxa"/>
            <w:bottom w:w="0" w:type="dxa"/>
            <w:right w:w="0" w:type="dxa"/>
          </w:tblCellMar>
        </w:tblPrEx>
        <w:trPr>
          <w:trHeight w:val="682"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006C0AED">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监理内容</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0A0E9059">
            <w:pPr>
              <w:spacing w:line="240" w:lineRule="auto"/>
              <w:jc w:val="left"/>
              <w:rPr>
                <w:rFonts w:ascii="宋体" w:hAnsi="宋体" w:cs="宋体"/>
                <w:color w:val="auto"/>
                <w:kern w:val="0"/>
                <w:sz w:val="24"/>
                <w:szCs w:val="24"/>
                <w:highlight w:val="none"/>
                <w:lang w:eastAsia="en-US"/>
              </w:rPr>
            </w:pPr>
          </w:p>
        </w:tc>
      </w:tr>
      <w:tr w14:paraId="02C573F8">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5D520541">
            <w:pPr>
              <w:spacing w:line="240" w:lineRule="auto"/>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总监理工程师</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1DEE700F">
            <w:pPr>
              <w:spacing w:line="240" w:lineRule="auto"/>
              <w:jc w:val="left"/>
              <w:rPr>
                <w:rFonts w:ascii="宋体" w:hAnsi="宋体" w:cs="宋体"/>
                <w:color w:val="auto"/>
                <w:kern w:val="0"/>
                <w:sz w:val="24"/>
                <w:szCs w:val="24"/>
                <w:highlight w:val="none"/>
                <w:lang w:eastAsia="en-US"/>
              </w:rPr>
            </w:pPr>
          </w:p>
        </w:tc>
      </w:tr>
      <w:tr w14:paraId="361EF615">
        <w:tblPrEx>
          <w:tblCellMar>
            <w:top w:w="0" w:type="dxa"/>
            <w:left w:w="0" w:type="dxa"/>
            <w:bottom w:w="0" w:type="dxa"/>
            <w:right w:w="0" w:type="dxa"/>
          </w:tblCellMar>
        </w:tblPrEx>
        <w:trPr>
          <w:trHeight w:val="3092"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67BB665C">
            <w:pPr>
              <w:spacing w:line="240" w:lineRule="auto"/>
              <w:ind w:left="707"/>
              <w:jc w:val="left"/>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项目描述</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29900288">
            <w:pPr>
              <w:spacing w:line="240" w:lineRule="auto"/>
              <w:jc w:val="left"/>
              <w:rPr>
                <w:rFonts w:ascii="宋体" w:hAnsi="宋体" w:cs="宋体"/>
                <w:color w:val="auto"/>
                <w:kern w:val="0"/>
                <w:sz w:val="24"/>
                <w:szCs w:val="24"/>
                <w:highlight w:val="none"/>
                <w:lang w:eastAsia="en-US"/>
              </w:rPr>
            </w:pPr>
          </w:p>
        </w:tc>
      </w:tr>
      <w:tr w14:paraId="5B094AC4">
        <w:tblPrEx>
          <w:tblCellMar>
            <w:top w:w="0" w:type="dxa"/>
            <w:left w:w="0" w:type="dxa"/>
            <w:bottom w:w="0" w:type="dxa"/>
            <w:right w:w="0" w:type="dxa"/>
          </w:tblCellMar>
        </w:tblPrEx>
        <w:trPr>
          <w:trHeight w:val="679" w:hRule="exact"/>
          <w:jc w:val="center"/>
        </w:trPr>
        <w:tc>
          <w:tcPr>
            <w:tcW w:w="2269" w:type="dxa"/>
            <w:tcBorders>
              <w:top w:val="single" w:color="000000" w:sz="4" w:space="0"/>
              <w:left w:val="single" w:color="000000" w:sz="4" w:space="0"/>
              <w:bottom w:val="single" w:color="000000" w:sz="4" w:space="0"/>
              <w:right w:val="single" w:color="000000" w:sz="4" w:space="0"/>
            </w:tcBorders>
            <w:noWrap w:val="0"/>
            <w:vAlign w:val="center"/>
          </w:tcPr>
          <w:p w14:paraId="4FC6A42D">
            <w:pPr>
              <w:spacing w:line="240" w:lineRule="auto"/>
              <w:ind w:left="1"/>
              <w:jc w:val="center"/>
              <w:rPr>
                <w:rFonts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备注</w:t>
            </w:r>
          </w:p>
        </w:tc>
        <w:tc>
          <w:tcPr>
            <w:tcW w:w="6253" w:type="dxa"/>
            <w:tcBorders>
              <w:top w:val="single" w:color="000000" w:sz="4" w:space="0"/>
              <w:left w:val="single" w:color="000000" w:sz="4" w:space="0"/>
              <w:bottom w:val="single" w:color="000000" w:sz="4" w:space="0"/>
              <w:right w:val="single" w:color="000000" w:sz="4" w:space="0"/>
            </w:tcBorders>
            <w:noWrap w:val="0"/>
            <w:vAlign w:val="center"/>
          </w:tcPr>
          <w:p w14:paraId="2D6775EC">
            <w:pPr>
              <w:spacing w:line="240" w:lineRule="auto"/>
              <w:jc w:val="left"/>
              <w:rPr>
                <w:rFonts w:ascii="宋体" w:hAnsi="宋体" w:cs="宋体"/>
                <w:color w:val="auto"/>
                <w:kern w:val="0"/>
                <w:sz w:val="24"/>
                <w:szCs w:val="24"/>
                <w:highlight w:val="none"/>
                <w:lang w:eastAsia="en-US"/>
              </w:rPr>
            </w:pPr>
          </w:p>
        </w:tc>
      </w:tr>
    </w:tbl>
    <w:p w14:paraId="0EECB90E">
      <w:pPr>
        <w:spacing w:before="6"/>
        <w:jc w:val="left"/>
        <w:rPr>
          <w:rFonts w:ascii="宋体" w:hAnsi="宋体" w:cs="宋体"/>
          <w:color w:val="auto"/>
          <w:kern w:val="0"/>
          <w:sz w:val="5"/>
          <w:szCs w:val="5"/>
          <w:highlight w:val="none"/>
          <w:lang w:eastAsia="en-US"/>
        </w:rPr>
      </w:pPr>
    </w:p>
    <w:p w14:paraId="2F1BFDEB">
      <w:pPr>
        <w:tabs>
          <w:tab w:val="left" w:pos="1680"/>
        </w:tabs>
        <w:ind w:firstLine="420"/>
        <w:outlineLvl w:val="9"/>
        <w:rPr>
          <w:rFonts w:hint="eastAsia" w:ascii="宋体" w:hAnsi="宋体" w:eastAsia="宋体" w:cs="宋体"/>
          <w:sz w:val="24"/>
        </w:rPr>
      </w:pPr>
      <w:bookmarkStart w:id="354" w:name="_bookmark189"/>
      <w:bookmarkEnd w:id="354"/>
      <w:r>
        <w:rPr>
          <w:rFonts w:hint="eastAsia" w:ascii="宋体" w:hAnsi="宋体" w:eastAsia="宋体" w:cs="宋体"/>
          <w:sz w:val="24"/>
        </w:rPr>
        <w:t>注：本表后附</w:t>
      </w:r>
      <w:r>
        <w:rPr>
          <w:rFonts w:hint="eastAsia" w:ascii="宋体" w:hAnsi="宋体" w:eastAsia="宋体" w:cs="宋体"/>
          <w:sz w:val="24"/>
          <w:lang w:val="en-US" w:eastAsia="zh-CN"/>
        </w:rPr>
        <w:t>相关资料</w:t>
      </w:r>
      <w:r>
        <w:rPr>
          <w:rFonts w:hint="eastAsia" w:ascii="宋体" w:hAnsi="宋体" w:eastAsia="宋体" w:cs="宋体"/>
          <w:sz w:val="24"/>
        </w:rPr>
        <w:t>。每张表格只填写一个项目，并标明序号。</w:t>
      </w:r>
    </w:p>
    <w:p w14:paraId="155F3AC0">
      <w:pPr>
        <w:snapToGrid w:val="0"/>
        <w:spacing w:line="360" w:lineRule="auto"/>
        <w:jc w:val="center"/>
        <w:outlineLvl w:val="9"/>
        <w:rPr>
          <w:rFonts w:hint="eastAsia" w:ascii="宋体" w:hAnsi="宋体" w:eastAsia="宋体" w:cs="宋体"/>
          <w:b/>
          <w:bCs/>
          <w:sz w:val="28"/>
          <w:szCs w:val="28"/>
        </w:rPr>
      </w:pPr>
      <w:r>
        <w:rPr>
          <w:rFonts w:hint="eastAsia" w:ascii="宋体" w:hAnsi="宋体" w:eastAsia="宋体" w:cs="宋体"/>
          <w:b/>
          <w:bCs/>
          <w:sz w:val="28"/>
          <w:szCs w:val="28"/>
        </w:rPr>
        <w:br w:type="page"/>
      </w:r>
      <w:r>
        <w:rPr>
          <w:rFonts w:hint="eastAsia" w:ascii="宋体" w:hAnsi="宋体" w:eastAsia="宋体" w:cs="宋体"/>
          <w:b/>
          <w:bCs/>
          <w:sz w:val="28"/>
          <w:szCs w:val="28"/>
        </w:rPr>
        <w:t>（</w:t>
      </w:r>
      <w:r>
        <w:rPr>
          <w:rFonts w:hint="eastAsia" w:ascii="宋体" w:hAnsi="宋体" w:cs="宋体"/>
          <w:b/>
          <w:bCs/>
          <w:sz w:val="28"/>
          <w:szCs w:val="28"/>
          <w:lang w:val="en-US" w:eastAsia="zh-CN"/>
        </w:rPr>
        <w:t>三</w:t>
      </w:r>
      <w:r>
        <w:rPr>
          <w:rFonts w:hint="eastAsia" w:ascii="宋体" w:hAnsi="宋体" w:eastAsia="宋体" w:cs="宋体"/>
          <w:b/>
          <w:bCs/>
          <w:sz w:val="28"/>
          <w:szCs w:val="28"/>
        </w:rPr>
        <w:t>）近年发生的诉讼及仲裁情况</w:t>
      </w:r>
    </w:p>
    <w:p w14:paraId="4C710521">
      <w:pPr>
        <w:widowControl/>
        <w:ind w:left="500" w:right="175"/>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注：投标人应根据投标人须知的要求在本表后附相关证明材料。</w:t>
      </w:r>
    </w:p>
    <w:p w14:paraId="650ECEC6">
      <w:pPr>
        <w:spacing w:before="120" w:after="120" w:line="360" w:lineRule="auto"/>
        <w:jc w:val="center"/>
        <w:outlineLvl w:val="9"/>
        <w:rPr>
          <w:rFonts w:hint="eastAsia" w:ascii="宋体" w:hAnsi="宋体" w:eastAsia="宋体" w:cs="宋体"/>
          <w:color w:val="000000"/>
          <w:sz w:val="32"/>
          <w:szCs w:val="32"/>
        </w:rPr>
      </w:pPr>
    </w:p>
    <w:p w14:paraId="6B3C02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000000"/>
          <w:sz w:val="32"/>
          <w:szCs w:val="32"/>
          <w:lang w:val="en-US" w:eastAsia="zh-CN"/>
        </w:rPr>
      </w:pPr>
      <w:r>
        <w:rPr>
          <w:rFonts w:hint="eastAsia" w:ascii="宋体" w:hAnsi="宋体" w:cs="宋体"/>
          <w:b/>
          <w:bCs/>
          <w:color w:val="auto"/>
          <w:kern w:val="0"/>
          <w:sz w:val="24"/>
          <w:szCs w:val="24"/>
          <w:highlight w:val="none"/>
        </w:rPr>
        <w:br w:type="page"/>
      </w:r>
      <w:r>
        <w:rPr>
          <w:rFonts w:hint="eastAsia" w:ascii="宋体" w:hAnsi="宋体" w:eastAsia="宋体" w:cs="宋体"/>
          <w:b/>
          <w:bCs/>
          <w:color w:val="000000"/>
          <w:sz w:val="32"/>
          <w:szCs w:val="32"/>
          <w:lang w:eastAsia="zh-CN"/>
        </w:rPr>
        <w:t>八、供应商认为必要提供的其他材料</w:t>
      </w:r>
      <w:bookmarkEnd w:id="351"/>
      <w:bookmarkEnd w:id="352"/>
      <w:bookmarkEnd w:id="353"/>
    </w:p>
    <w:p w14:paraId="71263BEF">
      <w:pPr>
        <w:rPr>
          <w:rFonts w:hint="eastAsia" w:ascii="宋体" w:hAnsi="宋体" w:cs="仿宋_GB2312"/>
          <w:color w:val="000000"/>
          <w:kern w:val="0"/>
          <w:szCs w:val="21"/>
        </w:rPr>
      </w:pPr>
      <w:r>
        <w:rPr>
          <w:rFonts w:hint="eastAsia" w:ascii="宋体" w:hAnsi="宋体" w:cs="仿宋_GB2312"/>
          <w:color w:val="000000"/>
          <w:kern w:val="0"/>
          <w:szCs w:val="21"/>
        </w:rPr>
        <w:br w:type="page"/>
      </w:r>
    </w:p>
    <w:p w14:paraId="173DBFA8">
      <w:pPr>
        <w:spacing w:line="360" w:lineRule="auto"/>
        <w:jc w:val="center"/>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rPr>
        <w:t>投标承诺书</w:t>
      </w:r>
    </w:p>
    <w:p w14:paraId="0416244B">
      <w:pPr>
        <w:snapToGrid w:val="0"/>
        <w:spacing w:line="360" w:lineRule="auto"/>
        <w:rPr>
          <w:rFonts w:hint="eastAsia" w:ascii="宋体" w:hAnsi="宋体"/>
          <w:sz w:val="24"/>
          <w:highlight w:val="none"/>
        </w:rPr>
      </w:pPr>
      <w:r>
        <w:rPr>
          <w:rFonts w:hint="eastAsia" w:ascii="宋体" w:hAnsi="宋体"/>
          <w:sz w:val="24"/>
          <w:highlight w:val="none"/>
        </w:rPr>
        <w:t xml:space="preserve"> 致：</w:t>
      </w:r>
      <w:r>
        <w:rPr>
          <w:rFonts w:hint="eastAsia" w:ascii="宋体" w:hAnsi="宋体"/>
          <w:sz w:val="24"/>
          <w:highlight w:val="none"/>
          <w:u w:val="single"/>
          <w:lang w:val="en-US" w:eastAsia="zh-CN"/>
        </w:rPr>
        <w:t xml:space="preserve">     （采购人、招标代理机构）</w:t>
      </w:r>
      <w:r>
        <w:rPr>
          <w:rFonts w:hint="eastAsia" w:ascii="宋体" w:hAnsi="宋体"/>
          <w:sz w:val="24"/>
          <w:highlight w:val="none"/>
        </w:rPr>
        <w:t xml:space="preserve"> </w:t>
      </w:r>
    </w:p>
    <w:p w14:paraId="412FE297">
      <w:pPr>
        <w:snapToGrid w:val="0"/>
        <w:spacing w:line="360" w:lineRule="auto"/>
        <w:ind w:firstLine="480" w:firstLineChars="200"/>
        <w:rPr>
          <w:rFonts w:hint="eastAsia" w:ascii="宋体" w:hAnsi="宋体"/>
          <w:sz w:val="24"/>
          <w:highlight w:val="none"/>
        </w:rPr>
      </w:pPr>
      <w:r>
        <w:rPr>
          <w:rFonts w:hint="eastAsia" w:ascii="宋体" w:hAnsi="宋体"/>
          <w:sz w:val="24"/>
          <w:highlight w:val="none"/>
        </w:rPr>
        <w:t>本单位</w:t>
      </w:r>
      <w:r>
        <w:rPr>
          <w:rFonts w:hint="eastAsia" w:ascii="宋体" w:hAnsi="宋体"/>
          <w:sz w:val="24"/>
          <w:highlight w:val="none"/>
          <w:u w:val="single"/>
          <w:lang w:val="en-US" w:eastAsia="zh-CN"/>
        </w:rPr>
        <w:t xml:space="preserve">  </w:t>
      </w:r>
      <w:r>
        <w:rPr>
          <w:rFonts w:hint="eastAsia" w:ascii="宋体" w:hAnsi="宋体"/>
          <w:sz w:val="24"/>
          <w:highlight w:val="none"/>
          <w:u w:val="single"/>
        </w:rPr>
        <w:t>（</w:t>
      </w:r>
      <w:r>
        <w:rPr>
          <w:rFonts w:hint="eastAsia" w:ascii="宋体" w:hAnsi="宋体"/>
          <w:sz w:val="24"/>
          <w:highlight w:val="none"/>
          <w:u w:val="single"/>
          <w:lang w:val="en-US" w:eastAsia="zh-CN"/>
        </w:rPr>
        <w:t>响应</w:t>
      </w:r>
      <w:r>
        <w:rPr>
          <w:rFonts w:hint="eastAsia" w:ascii="宋体" w:hAnsi="宋体"/>
          <w:sz w:val="24"/>
          <w:highlight w:val="none"/>
          <w:u w:val="single"/>
        </w:rPr>
        <w:t>人全称）</w:t>
      </w:r>
      <w:r>
        <w:rPr>
          <w:rFonts w:hint="eastAsia" w:ascii="宋体" w:hAnsi="宋体"/>
          <w:sz w:val="24"/>
          <w:highlight w:val="none"/>
        </w:rPr>
        <w:t>作为参与“</w:t>
      </w:r>
      <w:r>
        <w:rPr>
          <w:rFonts w:hint="eastAsia" w:ascii="宋体" w:hAnsi="宋体"/>
          <w:sz w:val="24"/>
          <w:highlight w:val="none"/>
          <w:u w:val="single"/>
          <w:lang w:val="en-US" w:eastAsia="zh-CN"/>
        </w:rPr>
        <w:t xml:space="preserve">  （</w:t>
      </w:r>
      <w:r>
        <w:rPr>
          <w:rFonts w:hint="eastAsia" w:ascii="宋体" w:hAnsi="宋体"/>
          <w:sz w:val="24"/>
          <w:highlight w:val="none"/>
          <w:u w:val="single"/>
        </w:rPr>
        <w:t>项目名称</w:t>
      </w:r>
      <w:r>
        <w:rPr>
          <w:rFonts w:hint="eastAsia" w:ascii="宋体" w:hAnsi="宋体"/>
          <w:sz w:val="24"/>
          <w:highlight w:val="none"/>
          <w:u w:val="single"/>
          <w:lang w:val="en-US" w:eastAsia="zh-CN"/>
        </w:rPr>
        <w:t>）</w:t>
      </w:r>
      <w:r>
        <w:rPr>
          <w:rFonts w:hint="eastAsia" w:ascii="宋体" w:hAnsi="宋体"/>
          <w:sz w:val="24"/>
          <w:highlight w:val="none"/>
        </w:rPr>
        <w:t>]”（项目编号：</w:t>
      </w:r>
      <w:r>
        <w:rPr>
          <w:rFonts w:hint="eastAsia" w:ascii="宋体" w:hAnsi="宋体"/>
          <w:sz w:val="24"/>
          <w:highlight w:val="none"/>
          <w:u w:val="single"/>
          <w:lang w:val="en-US" w:eastAsia="zh-CN"/>
        </w:rPr>
        <w:t xml:space="preserve">   </w:t>
      </w:r>
      <w:r>
        <w:rPr>
          <w:rFonts w:hint="eastAsia" w:ascii="宋体" w:hAnsi="宋体"/>
          <w:sz w:val="24"/>
          <w:highlight w:val="none"/>
        </w:rPr>
        <w:t>）</w:t>
      </w:r>
      <w:r>
        <w:rPr>
          <w:rFonts w:hint="eastAsia" w:ascii="宋体" w:hAnsi="宋体"/>
          <w:sz w:val="24"/>
          <w:highlight w:val="none"/>
          <w:lang w:val="en-US" w:eastAsia="zh-CN"/>
        </w:rPr>
        <w:t>招投标</w:t>
      </w:r>
      <w:r>
        <w:rPr>
          <w:rFonts w:hint="eastAsia" w:ascii="宋体" w:hAnsi="宋体"/>
          <w:sz w:val="24"/>
          <w:highlight w:val="none"/>
        </w:rPr>
        <w:t>活动的</w:t>
      </w:r>
      <w:r>
        <w:rPr>
          <w:rFonts w:hint="eastAsia" w:ascii="宋体" w:hAnsi="宋体"/>
          <w:sz w:val="24"/>
          <w:highlight w:val="none"/>
          <w:lang w:val="en-US" w:eastAsia="zh-CN"/>
        </w:rPr>
        <w:t>响应人</w:t>
      </w:r>
      <w:r>
        <w:rPr>
          <w:rFonts w:hint="eastAsia" w:ascii="宋体" w:hAnsi="宋体"/>
          <w:sz w:val="24"/>
          <w:highlight w:val="none"/>
        </w:rPr>
        <w:t xml:space="preserve">，就本次投标事宜，郑重作出如下承诺： </w:t>
      </w:r>
    </w:p>
    <w:p w14:paraId="43D2E028">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Times New Roman"/>
          <w:kern w:val="2"/>
          <w:sz w:val="24"/>
          <w:szCs w:val="24"/>
          <w:highlight w:val="none"/>
          <w:lang w:val="en-US" w:eastAsia="zh-CN" w:bidi="ar-SA"/>
        </w:rPr>
        <w:t>1.</w:t>
      </w:r>
      <w:r>
        <w:rPr>
          <w:rFonts w:hint="eastAsia" w:ascii="宋体" w:hAnsi="宋体" w:eastAsia="宋体"/>
          <w:b/>
          <w:bCs/>
          <w:sz w:val="24"/>
          <w:highlight w:val="none"/>
          <w:lang w:val="en-US" w:eastAsia="zh-CN"/>
        </w:rPr>
        <w:t>响应</w:t>
      </w:r>
      <w:r>
        <w:rPr>
          <w:rFonts w:hint="eastAsia" w:ascii="宋体" w:hAnsi="宋体"/>
          <w:b/>
          <w:bCs/>
          <w:sz w:val="24"/>
          <w:highlight w:val="none"/>
        </w:rPr>
        <w:t>文件真实性承诺：</w:t>
      </w:r>
      <w:r>
        <w:rPr>
          <w:rFonts w:hint="eastAsia" w:ascii="宋体" w:hAnsi="宋体"/>
          <w:sz w:val="24"/>
          <w:highlight w:val="none"/>
        </w:rPr>
        <w:t>本单位提交的全部响应文件（包括但不限于资质证明、业绩材料、财务数据、技术方案、报价信息、人员资质、信用记录及其他相关证明文件等）均真实、合法、有效，不存在任何伪造、变造、虚假记载、误导性陈述或隐瞒重要事实的情形，所有材料均符合国家法律法规及</w:t>
      </w:r>
      <w:r>
        <w:rPr>
          <w:rFonts w:hint="eastAsia" w:ascii="宋体" w:hAnsi="宋体"/>
          <w:sz w:val="24"/>
          <w:highlight w:val="none"/>
          <w:lang w:val="en-US" w:eastAsia="zh-CN"/>
        </w:rPr>
        <w:t>磋商</w:t>
      </w:r>
      <w:r>
        <w:rPr>
          <w:rFonts w:hint="eastAsia" w:ascii="宋体" w:hAnsi="宋体"/>
          <w:sz w:val="24"/>
          <w:highlight w:val="none"/>
        </w:rPr>
        <w:t xml:space="preserve">文件要求。 </w:t>
      </w:r>
    </w:p>
    <w:p w14:paraId="0565F6AB">
      <w:pPr>
        <w:numPr>
          <w:ilvl w:val="0"/>
          <w:numId w:val="0"/>
        </w:numPr>
        <w:snapToGrid w:val="0"/>
        <w:spacing w:line="360" w:lineRule="auto"/>
        <w:ind w:firstLine="482" w:firstLineChars="200"/>
        <w:rPr>
          <w:rFonts w:hint="eastAsia" w:ascii="宋体" w:hAnsi="宋体"/>
          <w:sz w:val="24"/>
          <w:highlight w:val="none"/>
        </w:rPr>
      </w:pPr>
      <w:r>
        <w:rPr>
          <w:rFonts w:hint="eastAsia" w:ascii="宋体" w:hAnsi="宋体"/>
          <w:b/>
          <w:bCs/>
          <w:sz w:val="24"/>
          <w:highlight w:val="none"/>
        </w:rPr>
        <w:t>2.无串标、围标等违法违规行为承诺：</w:t>
      </w:r>
      <w:r>
        <w:rPr>
          <w:rFonts w:hint="eastAsia" w:ascii="宋体" w:hAnsi="宋体"/>
          <w:sz w:val="24"/>
          <w:highlight w:val="none"/>
        </w:rPr>
        <w:t>本单位在本次</w:t>
      </w:r>
      <w:r>
        <w:rPr>
          <w:rFonts w:hint="eastAsia" w:ascii="宋体" w:hAnsi="宋体"/>
          <w:sz w:val="24"/>
          <w:highlight w:val="none"/>
          <w:lang w:val="en-US" w:eastAsia="zh-CN"/>
        </w:rPr>
        <w:t>磋商</w:t>
      </w:r>
      <w:r>
        <w:rPr>
          <w:rFonts w:hint="eastAsia" w:ascii="宋体" w:hAnsi="宋体"/>
          <w:sz w:val="24"/>
          <w:highlight w:val="none"/>
        </w:rPr>
        <w:t>活动中，严格遵守</w:t>
      </w:r>
      <w:r>
        <w:rPr>
          <w:rFonts w:hint="eastAsia" w:ascii="宋体" w:hAnsi="宋体"/>
          <w:sz w:val="24"/>
          <w:highlight w:val="none"/>
          <w:lang w:eastAsia="zh-CN"/>
        </w:rPr>
        <w:t>《</w:t>
      </w:r>
      <w:r>
        <w:rPr>
          <w:rFonts w:hint="eastAsia" w:ascii="宋体" w:hAnsi="宋体"/>
          <w:sz w:val="24"/>
          <w:highlight w:val="none"/>
        </w:rPr>
        <w:t>中华人民共和国</w:t>
      </w:r>
      <w:r>
        <w:rPr>
          <w:rFonts w:hint="eastAsia" w:ascii="宋体" w:hAnsi="宋体"/>
          <w:sz w:val="24"/>
          <w:highlight w:val="none"/>
          <w:lang w:val="en-US" w:eastAsia="zh-CN"/>
        </w:rPr>
        <w:t>政府采购法</w:t>
      </w:r>
      <w:r>
        <w:rPr>
          <w:rFonts w:hint="eastAsia" w:ascii="宋体" w:hAnsi="宋体"/>
          <w:sz w:val="24"/>
          <w:highlight w:val="none"/>
          <w:lang w:eastAsia="zh-CN"/>
        </w:rPr>
        <w:t>》</w:t>
      </w:r>
      <w:r>
        <w:rPr>
          <w:rFonts w:hint="eastAsia" w:ascii="宋体" w:hAnsi="宋体"/>
          <w:sz w:val="24"/>
          <w:highlight w:val="none"/>
        </w:rPr>
        <w:t>及相关法律法规规定，不存在下列行为：</w:t>
      </w:r>
    </w:p>
    <w:p w14:paraId="32E7F90E">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宋体"/>
          <w:sz w:val="24"/>
          <w:highlight w:val="none"/>
        </w:rPr>
        <w:t>•</w:t>
      </w:r>
      <w:r>
        <w:rPr>
          <w:rFonts w:hint="eastAsia" w:ascii="宋体" w:hAnsi="宋体"/>
          <w:sz w:val="24"/>
          <w:highlight w:val="none"/>
        </w:rPr>
        <w:t>与其他投标人相互串通投标报价，或与</w:t>
      </w:r>
      <w:r>
        <w:rPr>
          <w:rFonts w:hint="eastAsia" w:ascii="宋体" w:hAnsi="宋体"/>
          <w:sz w:val="24"/>
          <w:highlight w:val="none"/>
          <w:lang w:val="en-US" w:eastAsia="zh-CN"/>
        </w:rPr>
        <w:t>招标人</w:t>
      </w:r>
      <w:r>
        <w:rPr>
          <w:rFonts w:hint="eastAsia" w:ascii="宋体" w:hAnsi="宋体"/>
          <w:sz w:val="24"/>
          <w:highlight w:val="none"/>
        </w:rPr>
        <w:t>、</w:t>
      </w:r>
      <w:r>
        <w:rPr>
          <w:rFonts w:hint="eastAsia" w:ascii="宋体" w:hAnsi="宋体"/>
          <w:sz w:val="24"/>
          <w:highlight w:val="none"/>
          <w:lang w:val="en-US" w:eastAsia="zh-CN"/>
        </w:rPr>
        <w:t>招标</w:t>
      </w:r>
      <w:r>
        <w:rPr>
          <w:rFonts w:hint="eastAsia" w:ascii="宋体" w:hAnsi="宋体"/>
          <w:sz w:val="24"/>
          <w:highlight w:val="none"/>
        </w:rPr>
        <w:t>代理机构串通谋取中标；</w:t>
      </w:r>
    </w:p>
    <w:p w14:paraId="4471F65C">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宋体"/>
          <w:sz w:val="24"/>
          <w:highlight w:val="none"/>
        </w:rPr>
        <w:t>•</w:t>
      </w:r>
      <w:r>
        <w:rPr>
          <w:rFonts w:hint="eastAsia" w:ascii="宋体" w:hAnsi="宋体"/>
          <w:sz w:val="24"/>
          <w:highlight w:val="none"/>
        </w:rPr>
        <w:t>以他人名义投标、允许他人以本单位名义投标，或转让、出借投标资格；</w:t>
      </w:r>
    </w:p>
    <w:p w14:paraId="0FEEB42B">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宋体"/>
          <w:sz w:val="24"/>
          <w:highlight w:val="none"/>
        </w:rPr>
        <w:t>•</w:t>
      </w:r>
      <w:r>
        <w:rPr>
          <w:rFonts w:hint="eastAsia" w:ascii="宋体" w:hAnsi="宋体"/>
          <w:sz w:val="24"/>
          <w:highlight w:val="none"/>
        </w:rPr>
        <w:t>恶意压低或抬高投标报价，扰乱正常投标秩序；</w:t>
      </w:r>
    </w:p>
    <w:p w14:paraId="253E4CB5">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宋体"/>
          <w:sz w:val="24"/>
          <w:highlight w:val="none"/>
        </w:rPr>
        <w:t>•</w:t>
      </w:r>
      <w:r>
        <w:rPr>
          <w:rFonts w:hint="eastAsia" w:ascii="宋体" w:hAnsi="宋体"/>
          <w:sz w:val="24"/>
          <w:highlight w:val="none"/>
        </w:rPr>
        <w:t>提供虚假材料谋取中标，或采取其他不正当手段妨碍、排挤其他投标人；</w:t>
      </w:r>
    </w:p>
    <w:p w14:paraId="22EB5600">
      <w:pPr>
        <w:numPr>
          <w:ilvl w:val="0"/>
          <w:numId w:val="0"/>
        </w:numPr>
        <w:snapToGrid w:val="0"/>
        <w:spacing w:line="360" w:lineRule="auto"/>
        <w:ind w:firstLine="480" w:firstLineChars="200"/>
        <w:rPr>
          <w:rFonts w:hint="eastAsia" w:ascii="宋体" w:hAnsi="宋体"/>
          <w:sz w:val="24"/>
          <w:highlight w:val="none"/>
        </w:rPr>
      </w:pPr>
      <w:r>
        <w:rPr>
          <w:rFonts w:hint="eastAsia" w:ascii="宋体" w:hAnsi="宋体" w:eastAsia="宋体" w:cs="宋体"/>
          <w:sz w:val="24"/>
          <w:highlight w:val="none"/>
        </w:rPr>
        <w:t>•</w:t>
      </w:r>
      <w:r>
        <w:rPr>
          <w:rFonts w:hint="eastAsia" w:ascii="宋体" w:hAnsi="宋体"/>
          <w:sz w:val="24"/>
          <w:highlight w:val="none"/>
        </w:rPr>
        <w:t xml:space="preserve">法律法规禁止的其他违法违规行为。 </w:t>
      </w:r>
    </w:p>
    <w:p w14:paraId="6AB4F440">
      <w:pPr>
        <w:spacing w:line="360" w:lineRule="auto"/>
        <w:ind w:firstLine="482" w:firstLineChars="200"/>
        <w:rPr>
          <w:rFonts w:hint="eastAsia" w:ascii="宋体" w:hAnsi="宋体" w:eastAsia="宋体" w:cs="Times New Roman"/>
          <w:sz w:val="24"/>
          <w:szCs w:val="24"/>
          <w:highlight w:val="none"/>
        </w:rPr>
      </w:pPr>
      <w:r>
        <w:rPr>
          <w:rFonts w:hint="eastAsia" w:ascii="宋体" w:hAnsi="宋体" w:cs="Times New Roman"/>
          <w:b/>
          <w:bCs/>
          <w:kern w:val="2"/>
          <w:sz w:val="24"/>
          <w:szCs w:val="24"/>
          <w:highlight w:val="none"/>
          <w:lang w:val="en-US" w:eastAsia="zh-CN" w:bidi="ar-SA"/>
        </w:rPr>
        <w:t>3</w:t>
      </w:r>
      <w:r>
        <w:rPr>
          <w:rFonts w:hint="eastAsia" w:ascii="宋体" w:hAnsi="宋体" w:eastAsia="宋体" w:cs="Times New Roman"/>
          <w:b/>
          <w:bCs/>
          <w:kern w:val="2"/>
          <w:sz w:val="24"/>
          <w:szCs w:val="24"/>
          <w:highlight w:val="none"/>
          <w:lang w:val="en-US" w:eastAsia="zh-CN" w:bidi="ar-SA"/>
        </w:rPr>
        <w:t>．</w:t>
      </w:r>
      <w:r>
        <w:rPr>
          <w:rFonts w:hint="eastAsia" w:ascii="宋体" w:hAnsi="宋体"/>
          <w:b/>
          <w:bCs/>
          <w:sz w:val="24"/>
          <w:highlight w:val="none"/>
        </w:rPr>
        <w:t>法律责任承诺：</w:t>
      </w:r>
      <w:r>
        <w:rPr>
          <w:rFonts w:hint="eastAsia" w:ascii="宋体" w:hAnsi="宋体"/>
          <w:sz w:val="24"/>
          <w:highlight w:val="none"/>
        </w:rPr>
        <w:t>若本单位违反上述任何承诺，或在</w:t>
      </w:r>
      <w:r>
        <w:rPr>
          <w:rFonts w:hint="eastAsia" w:ascii="宋体" w:hAnsi="宋体"/>
          <w:sz w:val="24"/>
          <w:highlight w:val="none"/>
          <w:lang w:val="en-US" w:eastAsia="zh-CN"/>
        </w:rPr>
        <w:t>磋商</w:t>
      </w:r>
      <w:r>
        <w:rPr>
          <w:rFonts w:hint="eastAsia" w:ascii="宋体" w:hAnsi="宋体"/>
          <w:sz w:val="24"/>
          <w:highlight w:val="none"/>
        </w:rPr>
        <w:t>活动中存在其他违</w:t>
      </w:r>
      <w:r>
        <w:rPr>
          <w:rFonts w:hint="eastAsia" w:ascii="宋体" w:hAnsi="宋体" w:eastAsia="宋体" w:cs="Times New Roman"/>
          <w:sz w:val="24"/>
          <w:szCs w:val="24"/>
          <w:highlight w:val="none"/>
        </w:rPr>
        <w:t>反法律法规及</w:t>
      </w:r>
      <w:r>
        <w:rPr>
          <w:rFonts w:hint="eastAsia" w:ascii="宋体" w:hAnsi="宋体" w:eastAsia="宋体" w:cs="Times New Roman"/>
          <w:sz w:val="24"/>
          <w:szCs w:val="24"/>
          <w:highlight w:val="none"/>
          <w:lang w:val="en-US" w:eastAsia="zh-CN"/>
        </w:rPr>
        <w:t>磋商</w:t>
      </w:r>
      <w:r>
        <w:rPr>
          <w:rFonts w:hint="eastAsia" w:ascii="宋体" w:hAnsi="宋体" w:eastAsia="宋体" w:cs="Times New Roman"/>
          <w:sz w:val="24"/>
          <w:szCs w:val="24"/>
          <w:highlight w:val="none"/>
        </w:rPr>
        <w:t>文件规定的行为，本单位自愿承担以下全部法律后果及责任：</w:t>
      </w:r>
    </w:p>
    <w:p w14:paraId="52115D28">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w:t>
      </w:r>
      <w:r>
        <w:rPr>
          <w:rFonts w:hint="eastAsia" w:ascii="宋体" w:hAnsi="宋体" w:eastAsia="宋体" w:cs="Times New Roman"/>
          <w:sz w:val="24"/>
          <w:szCs w:val="24"/>
          <w:highlight w:val="none"/>
          <w:lang w:val="en-US" w:eastAsia="zh-CN"/>
        </w:rPr>
        <w:t>响应文件</w:t>
      </w:r>
      <w:r>
        <w:rPr>
          <w:rFonts w:hint="eastAsia" w:ascii="宋体" w:hAnsi="宋体" w:eastAsia="宋体" w:cs="Times New Roman"/>
          <w:sz w:val="24"/>
          <w:szCs w:val="24"/>
          <w:highlight w:val="none"/>
        </w:rPr>
        <w:t>作无效处理，已中标的，中标资格自动丧失，且无需</w:t>
      </w:r>
      <w:r>
        <w:rPr>
          <w:rFonts w:hint="eastAsia" w:ascii="宋体" w:hAnsi="宋体" w:eastAsia="宋体" w:cs="Times New Roman"/>
          <w:sz w:val="24"/>
          <w:szCs w:val="24"/>
          <w:highlight w:val="none"/>
          <w:lang w:val="en-US" w:eastAsia="zh-CN"/>
        </w:rPr>
        <w:t>招标</w:t>
      </w:r>
      <w:r>
        <w:rPr>
          <w:rFonts w:hint="eastAsia" w:ascii="宋体" w:hAnsi="宋体" w:eastAsia="宋体" w:cs="Times New Roman"/>
          <w:sz w:val="24"/>
          <w:szCs w:val="24"/>
          <w:highlight w:val="none"/>
        </w:rPr>
        <w:t>人另行通知；</w:t>
      </w:r>
    </w:p>
    <w:p w14:paraId="6D0B7D02">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•被记入政府采购或招标投标不良信用记录，按照规定被限制参与相关</w:t>
      </w:r>
      <w:r>
        <w:rPr>
          <w:rFonts w:hint="eastAsia" w:ascii="宋体" w:hAnsi="宋体" w:eastAsia="宋体" w:cs="Times New Roman"/>
          <w:sz w:val="24"/>
          <w:szCs w:val="24"/>
          <w:highlight w:val="none"/>
          <w:lang w:val="en-US" w:eastAsia="zh-CN"/>
        </w:rPr>
        <w:t>招标</w:t>
      </w:r>
      <w:r>
        <w:rPr>
          <w:rFonts w:hint="eastAsia" w:ascii="宋体" w:hAnsi="宋体" w:eastAsia="宋体" w:cs="Times New Roman"/>
          <w:sz w:val="24"/>
          <w:szCs w:val="24"/>
          <w:highlight w:val="none"/>
        </w:rPr>
        <w:t>活动；</w:t>
      </w:r>
    </w:p>
    <w:p w14:paraId="01689E39">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•赔偿因自身违法违规行为给</w:t>
      </w:r>
      <w:r>
        <w:rPr>
          <w:rFonts w:hint="eastAsia" w:ascii="宋体" w:hAnsi="宋体" w:eastAsia="宋体" w:cs="Times New Roman"/>
          <w:sz w:val="24"/>
          <w:szCs w:val="24"/>
          <w:highlight w:val="none"/>
          <w:lang w:val="en-US" w:eastAsia="zh-CN"/>
        </w:rPr>
        <w:t>采购</w:t>
      </w:r>
      <w:r>
        <w:rPr>
          <w:rFonts w:hint="eastAsia" w:ascii="宋体" w:hAnsi="宋体" w:eastAsia="宋体" w:cs="Times New Roman"/>
          <w:sz w:val="24"/>
          <w:szCs w:val="24"/>
          <w:highlight w:val="none"/>
        </w:rPr>
        <w:t>人、</w:t>
      </w:r>
      <w:r>
        <w:rPr>
          <w:rFonts w:hint="eastAsia" w:ascii="宋体" w:hAnsi="宋体" w:eastAsia="宋体" w:cs="Times New Roman"/>
          <w:sz w:val="24"/>
          <w:szCs w:val="24"/>
          <w:highlight w:val="none"/>
          <w:lang w:val="en-US" w:eastAsia="zh-CN"/>
        </w:rPr>
        <w:t>招标</w:t>
      </w:r>
      <w:r>
        <w:rPr>
          <w:rFonts w:hint="eastAsia" w:ascii="宋体" w:hAnsi="宋体" w:eastAsia="宋体" w:cs="Times New Roman"/>
          <w:sz w:val="24"/>
          <w:szCs w:val="24"/>
          <w:highlight w:val="none"/>
        </w:rPr>
        <w:t>代理机构及其他相关方造成的全部损失（包括但不限于直接经济损失、项目延误损失、维权费用等）；</w:t>
      </w:r>
    </w:p>
    <w:p w14:paraId="4EE32FB1">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•接受有关行政监督部门依据《中华人民共和国招标投标法》</w:t>
      </w:r>
      <w:r>
        <w:rPr>
          <w:rFonts w:hint="eastAsia" w:ascii="宋体" w:hAnsi="宋体" w:eastAsia="宋体" w:cs="Times New Roman"/>
          <w:sz w:val="24"/>
          <w:szCs w:val="24"/>
          <w:highlight w:val="none"/>
          <w:lang w:val="en-US" w:eastAsia="zh-CN"/>
        </w:rPr>
        <w:t>及相关</w:t>
      </w:r>
      <w:r>
        <w:rPr>
          <w:rFonts w:hint="eastAsia" w:ascii="宋体" w:hAnsi="宋体" w:eastAsia="宋体" w:cs="Times New Roman"/>
          <w:sz w:val="24"/>
          <w:szCs w:val="24"/>
          <w:highlight w:val="none"/>
        </w:rPr>
        <w:t>法律法规作出的行政处罚（包括但不限于罚款、没收违法所得等）；</w:t>
      </w:r>
    </w:p>
    <w:p w14:paraId="5512A1E7">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•如行为构成犯罪的，自愿接受司法机关追究刑事责任。 </w:t>
      </w:r>
    </w:p>
    <w:p w14:paraId="0025643D">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本承诺书是</w:t>
      </w:r>
      <w:r>
        <w:rPr>
          <w:rFonts w:hint="eastAsia" w:ascii="宋体" w:hAnsi="宋体" w:cs="宋体"/>
          <w:color w:val="auto"/>
          <w:kern w:val="0"/>
          <w:sz w:val="24"/>
          <w:szCs w:val="24"/>
          <w:highlight w:val="none"/>
          <w:lang w:val="en-US" w:eastAsia="zh-CN"/>
        </w:rPr>
        <w:t>响应</w:t>
      </w:r>
      <w:r>
        <w:rPr>
          <w:rFonts w:hint="eastAsia" w:ascii="宋体" w:hAnsi="宋体" w:eastAsia="宋体" w:cs="Times New Roman"/>
          <w:sz w:val="24"/>
          <w:szCs w:val="24"/>
          <w:highlight w:val="none"/>
        </w:rPr>
        <w:t>文件不可分割的组成部分，与</w:t>
      </w:r>
      <w:r>
        <w:rPr>
          <w:rFonts w:hint="eastAsia" w:ascii="宋体" w:hAnsi="宋体" w:cs="宋体"/>
          <w:color w:val="auto"/>
          <w:kern w:val="0"/>
          <w:sz w:val="24"/>
          <w:szCs w:val="24"/>
          <w:highlight w:val="none"/>
          <w:lang w:val="en-US" w:eastAsia="zh-CN"/>
        </w:rPr>
        <w:t>响应</w:t>
      </w:r>
      <w:r>
        <w:rPr>
          <w:rFonts w:hint="eastAsia" w:ascii="宋体" w:hAnsi="宋体" w:eastAsia="宋体" w:cs="Times New Roman"/>
          <w:sz w:val="24"/>
          <w:szCs w:val="24"/>
          <w:highlight w:val="none"/>
        </w:rPr>
        <w:t>文件具有同等法律效力。</w:t>
      </w:r>
    </w:p>
    <w:p w14:paraId="625907F5">
      <w:pPr>
        <w:numPr>
          <w:ilvl w:val="0"/>
          <w:numId w:val="0"/>
        </w:numPr>
        <w:snapToGrid w:val="0"/>
        <w:spacing w:line="360" w:lineRule="auto"/>
        <w:ind w:left="0" w:leftChars="0" w:firstLine="482" w:firstLineChars="200"/>
        <w:rPr>
          <w:rFonts w:hint="default" w:ascii="宋体" w:hAnsi="宋体" w:eastAsia="宋体"/>
          <w:b/>
          <w:bCs/>
          <w:sz w:val="24"/>
          <w:highlight w:val="none"/>
          <w:lang w:val="en-US" w:eastAsia="zh-CN"/>
        </w:rPr>
      </w:pPr>
      <w:r>
        <w:rPr>
          <w:rFonts w:hint="eastAsia" w:ascii="宋体" w:hAnsi="宋体"/>
          <w:b/>
          <w:bCs/>
          <w:sz w:val="24"/>
          <w:highlight w:val="none"/>
          <w:lang w:val="en-US" w:eastAsia="zh-CN"/>
        </w:rPr>
        <w:t>特此承诺！</w:t>
      </w:r>
    </w:p>
    <w:p w14:paraId="283D5ED7">
      <w:pPr>
        <w:spacing w:line="360" w:lineRule="auto"/>
        <w:ind w:firstLine="480" w:firstLineChars="200"/>
        <w:jc w:val="right"/>
        <w:rPr>
          <w:rFonts w:hint="eastAsia" w:ascii="宋体" w:hAnsi="宋体" w:cs="宋体"/>
          <w:sz w:val="24"/>
          <w:highlight w:val="none"/>
        </w:rPr>
      </w:pPr>
    </w:p>
    <w:p w14:paraId="1FECD598">
      <w:pPr>
        <w:spacing w:line="420" w:lineRule="exact"/>
        <w:ind w:firstLine="3960" w:firstLineChars="165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投 标 人</w:t>
      </w:r>
      <w:r>
        <w:rPr>
          <w:rFonts w:hint="eastAsia" w:ascii="宋体" w:hAnsi="宋体" w:eastAsia="宋体" w:cs="宋体"/>
          <w:sz w:val="24"/>
          <w:szCs w:val="24"/>
          <w:highlight w:val="none"/>
          <w:lang w:bidi="zh-CN"/>
        </w:rPr>
        <w:t>（公章签章）</w:t>
      </w:r>
      <w:r>
        <w:rPr>
          <w:rFonts w:ascii="宋体" w:hAnsi="宋体" w:eastAsia="宋体" w:cs="宋体"/>
          <w:sz w:val="24"/>
          <w:szCs w:val="24"/>
          <w:highlight w:val="none"/>
          <w:lang w:bidi="zh-CN"/>
        </w:rPr>
        <w:t>：</w:t>
      </w:r>
      <w:r>
        <w:rPr>
          <w:rFonts w:hint="eastAsia" w:ascii="宋体" w:hAnsi="宋体" w:eastAsia="宋体" w:cs="宋体"/>
          <w:sz w:val="24"/>
          <w:szCs w:val="24"/>
          <w:highlight w:val="none"/>
          <w:u w:val="single"/>
          <w:lang w:bidi="zh-CN"/>
        </w:rPr>
        <w:t xml:space="preserve">      </w:t>
      </w:r>
      <w:r>
        <w:rPr>
          <w:rFonts w:hint="eastAsia" w:ascii="宋体" w:hAnsi="宋体" w:eastAsia="宋体" w:cs="宋体"/>
          <w:sz w:val="24"/>
          <w:szCs w:val="24"/>
          <w:highlight w:val="none"/>
          <w:u w:val="single"/>
          <w:lang w:val="en-US" w:bidi="zh-CN"/>
        </w:rPr>
        <w:t xml:space="preserve">   </w:t>
      </w:r>
      <w:r>
        <w:rPr>
          <w:rFonts w:hint="eastAsia" w:ascii="宋体" w:hAnsi="宋体" w:eastAsia="宋体" w:cs="宋体"/>
          <w:sz w:val="24"/>
          <w:szCs w:val="24"/>
          <w:highlight w:val="none"/>
          <w:u w:val="single"/>
          <w:lang w:bidi="zh-CN"/>
        </w:rPr>
        <w:t xml:space="preserve">        </w:t>
      </w:r>
    </w:p>
    <w:p w14:paraId="1280D4FE">
      <w:pPr>
        <w:spacing w:line="360" w:lineRule="auto"/>
        <w:ind w:firstLine="182" w:firstLineChars="76"/>
        <w:jc w:val="center"/>
        <w:rPr>
          <w:rFonts w:ascii="宋体" w:hAnsi="宋体" w:eastAsia="宋体" w:cs="Times New Roman"/>
          <w:sz w:val="24"/>
          <w:szCs w:val="24"/>
          <w:highlight w:val="none"/>
        </w:rPr>
      </w:pPr>
      <w:r>
        <w:rPr>
          <w:rFonts w:hint="eastAsia" w:ascii="宋体" w:hAnsi="宋体" w:eastAsia="宋体" w:cs="宋体"/>
          <w:sz w:val="24"/>
          <w:szCs w:val="24"/>
          <w:highlight w:val="none"/>
          <w:u w:val="none"/>
          <w:lang w:val="en-US" w:bidi="zh-CN"/>
        </w:rPr>
        <w:t xml:space="preserve">                        </w:t>
      </w:r>
      <w:r>
        <w:rPr>
          <w:rFonts w:hint="eastAsia" w:ascii="宋体" w:hAnsi="宋体" w:eastAsia="宋体" w:cs="宋体"/>
          <w:sz w:val="24"/>
          <w:szCs w:val="24"/>
          <w:highlight w:val="none"/>
          <w:u w:val="none"/>
          <w:lang w:bidi="zh-CN"/>
        </w:rPr>
        <w:t>法定代表人</w:t>
      </w:r>
      <w:r>
        <w:rPr>
          <w:rFonts w:hint="eastAsia" w:ascii="宋体" w:hAnsi="宋体" w:eastAsia="宋体" w:cs="宋体"/>
          <w:sz w:val="24"/>
          <w:szCs w:val="24"/>
          <w:highlight w:val="none"/>
          <w:u w:val="none"/>
          <w:lang w:val="en-US" w:eastAsia="zh-CN" w:bidi="zh-CN"/>
        </w:rPr>
        <w:t>或授权委托人</w:t>
      </w:r>
      <w:r>
        <w:rPr>
          <w:rFonts w:hint="eastAsia" w:ascii="宋体" w:hAnsi="宋体" w:eastAsia="宋体" w:cs="宋体"/>
          <w:sz w:val="24"/>
          <w:szCs w:val="24"/>
          <w:highlight w:val="none"/>
          <w:u w:val="none"/>
          <w:lang w:bidi="zh-CN"/>
        </w:rPr>
        <w:t>（电子签章）：</w:t>
      </w:r>
      <w:r>
        <w:rPr>
          <w:rFonts w:hint="eastAsia" w:ascii="宋体" w:hAnsi="宋体" w:eastAsia="宋体" w:cs="宋体"/>
          <w:sz w:val="24"/>
          <w:szCs w:val="24"/>
          <w:highlight w:val="none"/>
          <w:u w:val="single"/>
          <w:lang w:bidi="zh-CN"/>
        </w:rPr>
        <w:t xml:space="preserve">   </w:t>
      </w:r>
      <w:r>
        <w:rPr>
          <w:rFonts w:hint="eastAsia" w:ascii="宋体" w:hAnsi="宋体" w:eastAsia="宋体" w:cs="宋体"/>
          <w:sz w:val="24"/>
          <w:szCs w:val="24"/>
          <w:highlight w:val="none"/>
          <w:u w:val="single"/>
          <w:lang w:val="en-US" w:bidi="zh-CN"/>
        </w:rPr>
        <w:t xml:space="preserve">  </w:t>
      </w:r>
      <w:r>
        <w:rPr>
          <w:rFonts w:hint="eastAsia" w:ascii="宋体" w:hAnsi="宋体" w:eastAsia="宋体" w:cs="宋体"/>
          <w:sz w:val="24"/>
          <w:szCs w:val="24"/>
          <w:highlight w:val="none"/>
          <w:u w:val="single"/>
          <w:lang w:bidi="zh-CN"/>
        </w:rPr>
        <w:t xml:space="preserve">   </w:t>
      </w:r>
    </w:p>
    <w:p w14:paraId="1FB7A8B9">
      <w:pPr>
        <w:spacing w:line="360" w:lineRule="auto"/>
        <w:ind w:firstLine="182" w:firstLineChars="76"/>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 xml:space="preserve">                     </w:t>
      </w:r>
      <w:r>
        <w:rPr>
          <w:rFonts w:hint="eastAsia" w:ascii="宋体" w:hAnsi="宋体" w:eastAsia="宋体" w:cs="Times New Roman"/>
          <w:sz w:val="24"/>
          <w:szCs w:val="24"/>
          <w:highlight w:val="none"/>
        </w:rPr>
        <w:t>日   期：      年     月     日</w:t>
      </w:r>
    </w:p>
    <w:p w14:paraId="1937B0D8">
      <w:pPr>
        <w:spacing w:line="480" w:lineRule="auto"/>
        <w:jc w:val="center"/>
        <w:rPr>
          <w:rFonts w:hint="eastAsia" w:ascii="宋体" w:hAnsi="宋体" w:eastAsia="宋体" w:cs="宋体"/>
          <w:b/>
          <w:bCs/>
          <w:color w:val="000000"/>
          <w:sz w:val="32"/>
          <w:szCs w:val="32"/>
        </w:rPr>
      </w:pPr>
      <w:r>
        <w:rPr>
          <w:rFonts w:hint="eastAsia" w:ascii="宋体" w:hAnsi="宋体" w:cs="仿宋_GB2312"/>
          <w:color w:val="000000"/>
          <w:kern w:val="0"/>
          <w:szCs w:val="21"/>
        </w:rPr>
        <w:br w:type="page"/>
      </w:r>
      <w:r>
        <w:rPr>
          <w:rFonts w:hint="eastAsia" w:ascii="宋体" w:hAnsi="宋体" w:eastAsia="宋体" w:cs="宋体"/>
          <w:b/>
          <w:bCs/>
          <w:color w:val="000000"/>
          <w:sz w:val="32"/>
          <w:szCs w:val="32"/>
          <w:lang w:val="en-US" w:eastAsia="zh-CN"/>
        </w:rPr>
        <w:t>九</w:t>
      </w:r>
      <w:r>
        <w:rPr>
          <w:rFonts w:hint="eastAsia" w:ascii="宋体" w:hAnsi="宋体" w:eastAsia="宋体" w:cs="宋体"/>
          <w:b/>
          <w:bCs/>
          <w:color w:val="000000"/>
          <w:sz w:val="32"/>
          <w:szCs w:val="32"/>
        </w:rPr>
        <w:t>、中小企业声明函</w:t>
      </w:r>
    </w:p>
    <w:p w14:paraId="40E20E1A">
      <w:pPr>
        <w:tabs>
          <w:tab w:val="left" w:pos="1680"/>
        </w:tabs>
        <w:outlineLvl w:val="9"/>
        <w:rPr>
          <w:rFonts w:hint="eastAsia" w:ascii="宋体" w:hAnsi="宋体" w:eastAsia="宋体" w:cs="宋体"/>
          <w:b/>
          <w:bCs/>
          <w:sz w:val="22"/>
          <w:szCs w:val="21"/>
          <w:lang w:val="en-US" w:eastAsia="zh-CN"/>
        </w:rPr>
      </w:pPr>
    </w:p>
    <w:p w14:paraId="6FBFB08E">
      <w:pPr>
        <w:keepNext w:val="0"/>
        <w:keepLines w:val="0"/>
        <w:pageBreakBefore w:val="0"/>
        <w:widowControl w:val="0"/>
        <w:kinsoku/>
        <w:wordWrap/>
        <w:overflowPunct/>
        <w:topLinePunct w:val="0"/>
        <w:autoSpaceDE/>
        <w:autoSpaceDN/>
        <w:bidi w:val="0"/>
        <w:adjustRightInd/>
        <w:snapToGrid/>
        <w:spacing w:before="120" w:after="120" w:line="360" w:lineRule="auto"/>
        <w:ind w:firstLine="0" w:firstLineChars="0"/>
        <w:jc w:val="center"/>
        <w:textAlignment w:val="auto"/>
        <w:outlineLvl w:val="9"/>
        <w:rPr>
          <w:rFonts w:hint="eastAsia" w:ascii="宋体" w:hAnsi="宋体" w:cs="宋体"/>
          <w:color w:val="auto"/>
          <w:sz w:val="24"/>
          <w:szCs w:val="20"/>
          <w:highlight w:val="none"/>
        </w:rPr>
      </w:pPr>
      <w:bookmarkStart w:id="355" w:name="_Toc26106"/>
      <w:bookmarkStart w:id="356" w:name="_Toc19318"/>
      <w:bookmarkStart w:id="357" w:name="_Toc12857"/>
      <w:bookmarkStart w:id="358" w:name="_Toc24443"/>
      <w:r>
        <w:rPr>
          <w:rFonts w:hint="eastAsia" w:ascii="宋体" w:hAnsi="宋体" w:eastAsia="宋体" w:cs="宋体"/>
          <w:b/>
          <w:bCs/>
          <w:color w:val="000000"/>
          <w:sz w:val="22"/>
          <w:szCs w:val="22"/>
          <w:highlight w:val="none"/>
          <w:lang w:eastAsia="zh-CN"/>
        </w:rPr>
        <w:t>（</w:t>
      </w:r>
      <w:r>
        <w:rPr>
          <w:rFonts w:hint="eastAsia" w:ascii="宋体" w:hAnsi="宋体" w:eastAsia="宋体" w:cs="宋体"/>
          <w:b/>
          <w:bCs/>
          <w:color w:val="000000"/>
          <w:sz w:val="22"/>
          <w:szCs w:val="22"/>
          <w:highlight w:val="none"/>
          <w:lang w:val="en-US" w:eastAsia="zh-CN"/>
        </w:rPr>
        <w:t>1</w:t>
      </w:r>
      <w:r>
        <w:rPr>
          <w:rFonts w:hint="eastAsia" w:ascii="宋体" w:hAnsi="宋体" w:eastAsia="宋体" w:cs="宋体"/>
          <w:b/>
          <w:bCs/>
          <w:color w:val="000000"/>
          <w:sz w:val="22"/>
          <w:szCs w:val="22"/>
          <w:highlight w:val="none"/>
          <w:lang w:eastAsia="zh-CN"/>
        </w:rPr>
        <w:t>）中小微企业声明函</w:t>
      </w:r>
      <w:bookmarkEnd w:id="355"/>
      <w:bookmarkEnd w:id="356"/>
      <w:bookmarkEnd w:id="357"/>
      <w:bookmarkEnd w:id="358"/>
      <w:bookmarkStart w:id="359" w:name="_Toc5391"/>
      <w:bookmarkStart w:id="360" w:name="_Toc3380"/>
      <w:bookmarkStart w:id="361" w:name="_Toc9156"/>
    </w:p>
    <w:p w14:paraId="0CD13D9F">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本公司（联合体）郑重声明，参考《政府采购促进中小企业发展管理办法》（财库﹝2020﹞46号）的规定，本公司（联合体）参加</w:t>
      </w:r>
      <w:r>
        <w:rPr>
          <w:rFonts w:hint="eastAsia" w:ascii="宋体" w:hAnsi="宋体" w:cs="宋体"/>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采购活动，服务全部由符合政策要求的中小企业承接。相关企业（含联合体中的中小企业、签订分包意向协议的中小企业）的具体情况如下：</w:t>
      </w:r>
    </w:p>
    <w:p w14:paraId="015A8207">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（标的名称）</w:t>
      </w:r>
      <w:r>
        <w:rPr>
          <w:rFonts w:hint="eastAsia" w:ascii="宋体" w:hAnsi="宋体" w:cs="宋体"/>
          <w:color w:val="auto"/>
          <w:sz w:val="24"/>
          <w:szCs w:val="24"/>
          <w:highlight w:val="none"/>
        </w:rPr>
        <w:t>，属于</w:t>
      </w:r>
      <w:r>
        <w:rPr>
          <w:rFonts w:hint="eastAsia" w:ascii="宋体" w:hAnsi="宋体" w:cs="宋体"/>
          <w:color w:val="auto"/>
          <w:sz w:val="24"/>
          <w:szCs w:val="24"/>
          <w:highlight w:val="none"/>
          <w:u w:val="single"/>
        </w:rPr>
        <w:t>（采购文件中明确的所属行业）</w:t>
      </w:r>
      <w:r>
        <w:rPr>
          <w:rFonts w:hint="eastAsia" w:ascii="宋体" w:hAnsi="宋体" w:cs="宋体"/>
          <w:color w:val="auto"/>
          <w:sz w:val="24"/>
          <w:szCs w:val="24"/>
          <w:highlight w:val="none"/>
        </w:rPr>
        <w:t>；承建（承接）企业为</w:t>
      </w:r>
      <w:r>
        <w:rPr>
          <w:rFonts w:hint="eastAsia" w:ascii="宋体" w:hAnsi="宋体" w:cs="宋体"/>
          <w:color w:val="auto"/>
          <w:sz w:val="24"/>
          <w:szCs w:val="24"/>
          <w:highlight w:val="none"/>
          <w:u w:val="single"/>
        </w:rPr>
        <w:t>（企业名称）</w:t>
      </w:r>
      <w:r>
        <w:rPr>
          <w:rFonts w:hint="eastAsia"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w:t>
      </w:r>
      <w:r>
        <w:rPr>
          <w:rFonts w:hint="eastAsia" w:ascii="宋体" w:hAnsi="宋体" w:cs="宋体"/>
          <w:color w:val="auto"/>
          <w:sz w:val="24"/>
          <w:szCs w:val="24"/>
          <w:highlight w:val="none"/>
          <w:vertAlign w:val="superscript"/>
        </w:rPr>
        <w:t>1</w:t>
      </w:r>
      <w:r>
        <w:rPr>
          <w:rFonts w:hint="eastAsia" w:ascii="宋体" w:hAnsi="宋体" w:cs="宋体"/>
          <w:color w:val="auto"/>
          <w:sz w:val="24"/>
          <w:szCs w:val="24"/>
          <w:highlight w:val="none"/>
        </w:rPr>
        <w:t>，属于</w:t>
      </w:r>
      <w:r>
        <w:rPr>
          <w:rFonts w:hint="eastAsia" w:ascii="宋体" w:hAnsi="宋体" w:cs="宋体"/>
          <w:color w:val="auto"/>
          <w:sz w:val="24"/>
          <w:szCs w:val="24"/>
          <w:highlight w:val="none"/>
          <w:u w:val="single"/>
        </w:rPr>
        <w:t>（中型企业、小型企业、微型企业）</w:t>
      </w:r>
      <w:r>
        <w:rPr>
          <w:rFonts w:hint="eastAsia" w:ascii="宋体" w:hAnsi="宋体" w:cs="宋体"/>
          <w:color w:val="auto"/>
          <w:sz w:val="24"/>
          <w:szCs w:val="24"/>
          <w:highlight w:val="none"/>
        </w:rPr>
        <w:t xml:space="preserve">； </w:t>
      </w:r>
    </w:p>
    <w:p w14:paraId="62BD9818">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以上企业，不属于大企业的分支机构，不存在控股股东为大企业的情形，也不存在与大企业的负责人为同一人的情形。 </w:t>
      </w:r>
    </w:p>
    <w:p w14:paraId="64D4E962">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02E980EA">
      <w:pPr>
        <w:spacing w:line="500" w:lineRule="exact"/>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企业名称（公章签章）：</w:t>
      </w:r>
    </w:p>
    <w:p w14:paraId="21907414">
      <w:pPr>
        <w:spacing w:line="500" w:lineRule="exact"/>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日 期：</w:t>
      </w:r>
    </w:p>
    <w:p w14:paraId="562CD945">
      <w:pPr>
        <w:spacing w:line="500" w:lineRule="exact"/>
        <w:ind w:firstLine="480" w:firstLineChars="200"/>
        <w:rPr>
          <w:rFonts w:hint="eastAsia" w:ascii="宋体" w:hAnsi="宋体" w:cs="宋体"/>
          <w:color w:val="auto"/>
          <w:sz w:val="24"/>
          <w:highlight w:val="none"/>
        </w:rPr>
      </w:pPr>
    </w:p>
    <w:p w14:paraId="46DF7BA0">
      <w:pPr>
        <w:pStyle w:val="7"/>
        <w:rPr>
          <w:rFonts w:hint="eastAsia" w:ascii="宋体" w:hAnsi="宋体" w:eastAsia="宋体"/>
          <w:color w:val="auto"/>
          <w:highlight w:val="none"/>
        </w:rPr>
      </w:pPr>
    </w:p>
    <w:p w14:paraId="04517F8C">
      <w:pPr>
        <w:spacing w:line="360" w:lineRule="auto"/>
        <w:jc w:val="left"/>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注：1、从业人员、营业收入、资产总额填报上一年度数据，无上一年度数据的新成立企业可不填报。</w:t>
      </w:r>
    </w:p>
    <w:p w14:paraId="55708147">
      <w:pPr>
        <w:spacing w:line="360" w:lineRule="auto"/>
        <w:ind w:firstLine="482" w:firstLineChars="200"/>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2、中小企业划分标准见工业和信息化部国家统计局国家发展和改革委员财政部《关于印发中小企业划型标准规定的通知》（工信部联企业【2011】300号）。</w:t>
      </w:r>
    </w:p>
    <w:p w14:paraId="07AEFA45">
      <w:pPr>
        <w:keepNext w:val="0"/>
        <w:keepLines w:val="0"/>
        <w:pageBreakBefore w:val="0"/>
        <w:widowControl w:val="0"/>
        <w:kinsoku/>
        <w:wordWrap/>
        <w:overflowPunct/>
        <w:topLinePunct w:val="0"/>
        <w:autoSpaceDE/>
        <w:autoSpaceDN/>
        <w:bidi w:val="0"/>
        <w:adjustRightInd/>
        <w:snapToGrid/>
        <w:spacing w:before="120" w:after="120" w:line="360" w:lineRule="auto"/>
        <w:ind w:firstLine="0" w:firstLineChars="0"/>
        <w:jc w:val="center"/>
        <w:textAlignment w:val="auto"/>
        <w:outlineLvl w:val="9"/>
        <w:rPr>
          <w:rFonts w:hint="eastAsia" w:ascii="Times New Roman" w:hAnsi="Times New Roman" w:cs="Times New Roman"/>
          <w:color w:val="000000"/>
          <w:sz w:val="24"/>
          <w:szCs w:val="28"/>
          <w:lang w:eastAsia="zh-CN"/>
        </w:rPr>
      </w:pPr>
      <w:r>
        <w:rPr>
          <w:rFonts w:hint="eastAsia" w:ascii="Times New Roman" w:hAnsi="Times New Roman" w:cs="Times New Roman"/>
          <w:color w:val="000000"/>
          <w:sz w:val="24"/>
          <w:szCs w:val="28"/>
          <w:lang w:eastAsia="zh-CN"/>
        </w:rPr>
        <w:br w:type="page"/>
      </w:r>
      <w:r>
        <w:rPr>
          <w:rFonts w:hint="eastAsia" w:ascii="宋体" w:hAnsi="宋体" w:eastAsia="宋体" w:cs="宋体"/>
          <w:b/>
          <w:bCs/>
          <w:color w:val="000000"/>
          <w:sz w:val="22"/>
          <w:szCs w:val="22"/>
          <w:highlight w:val="none"/>
          <w:lang w:eastAsia="zh-CN"/>
        </w:rPr>
        <w:t>（</w:t>
      </w:r>
      <w:r>
        <w:rPr>
          <w:rFonts w:hint="eastAsia" w:ascii="宋体" w:hAnsi="宋体" w:eastAsia="宋体" w:cs="宋体"/>
          <w:b/>
          <w:bCs/>
          <w:color w:val="000000"/>
          <w:sz w:val="22"/>
          <w:szCs w:val="22"/>
          <w:highlight w:val="none"/>
          <w:lang w:val="en-US" w:eastAsia="zh-CN"/>
        </w:rPr>
        <w:t>2</w:t>
      </w:r>
      <w:r>
        <w:rPr>
          <w:rFonts w:hint="eastAsia" w:ascii="宋体" w:hAnsi="宋体" w:eastAsia="宋体" w:cs="宋体"/>
          <w:b/>
          <w:bCs/>
          <w:color w:val="000000"/>
          <w:sz w:val="22"/>
          <w:szCs w:val="22"/>
          <w:highlight w:val="none"/>
          <w:lang w:eastAsia="zh-CN"/>
        </w:rPr>
        <w:t>）残疾人福利性单位声明函</w:t>
      </w:r>
    </w:p>
    <w:p w14:paraId="0E90C8A8">
      <w:pPr>
        <w:spacing w:line="360" w:lineRule="auto"/>
        <w:ind w:firstLine="442" w:firstLineChars="200"/>
        <w:outlineLvl w:val="9"/>
        <w:rPr>
          <w:rFonts w:hint="eastAsia" w:ascii="宋体" w:hAnsi="宋体" w:eastAsia="宋体" w:cs="宋体"/>
          <w:b/>
          <w:bCs w:val="0"/>
          <w:sz w:val="22"/>
          <w:szCs w:val="21"/>
        </w:rPr>
      </w:pPr>
      <w:r>
        <w:rPr>
          <w:rFonts w:hint="eastAsia" w:ascii="宋体" w:hAnsi="宋体" w:eastAsia="宋体" w:cs="宋体"/>
          <w:b/>
          <w:bCs w:val="0"/>
          <w:sz w:val="22"/>
          <w:szCs w:val="21"/>
        </w:rPr>
        <w:t>（属于残疾人福利性单位的填写，不属于的无需填写此项内容）</w:t>
      </w:r>
    </w:p>
    <w:p w14:paraId="117E4B5E">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bCs/>
          <w:sz w:val="22"/>
          <w:szCs w:val="21"/>
          <w:u w:val="single"/>
        </w:rPr>
        <w:t xml:space="preserve">       </w:t>
      </w:r>
      <w:r>
        <w:rPr>
          <w:rFonts w:hint="eastAsia" w:ascii="宋体" w:hAnsi="宋体" w:eastAsia="宋体" w:cs="宋体"/>
          <w:bCs/>
          <w:sz w:val="22"/>
          <w:szCs w:val="21"/>
        </w:rPr>
        <w:t xml:space="preserve">单位的 </w:t>
      </w:r>
      <w:r>
        <w:rPr>
          <w:rFonts w:hint="eastAsia" w:ascii="宋体" w:hAnsi="宋体" w:eastAsia="宋体" w:cs="宋体"/>
          <w:bCs/>
          <w:sz w:val="22"/>
          <w:szCs w:val="21"/>
          <w:u w:val="single"/>
        </w:rPr>
        <w:t xml:space="preserve">  </w:t>
      </w:r>
      <w:r>
        <w:rPr>
          <w:rFonts w:hint="eastAsia" w:ascii="宋体" w:hAnsi="宋体" w:eastAsia="宋体" w:cs="宋体"/>
          <w:bCs/>
          <w:sz w:val="22"/>
          <w:szCs w:val="21"/>
          <w:u w:val="single"/>
          <w:lang w:val="en-US" w:eastAsia="zh-CN"/>
        </w:rPr>
        <w:t xml:space="preserve">    </w:t>
      </w:r>
      <w:r>
        <w:rPr>
          <w:rFonts w:hint="eastAsia" w:ascii="宋体" w:hAnsi="宋体" w:eastAsia="宋体" w:cs="宋体"/>
          <w:bCs/>
          <w:sz w:val="22"/>
          <w:szCs w:val="21"/>
          <w:u w:val="single"/>
        </w:rPr>
        <w:t xml:space="preserve">   </w:t>
      </w:r>
      <w:r>
        <w:rPr>
          <w:rFonts w:hint="eastAsia" w:ascii="宋体" w:hAnsi="宋体" w:eastAsia="宋体" w:cs="宋体"/>
          <w:bCs/>
          <w:sz w:val="22"/>
          <w:szCs w:val="21"/>
        </w:rPr>
        <w:t>项目采购活动提供本单位制造的货物（由本单位承担工程/提供服务），或者提供其他残疾人福利性单位制造的货物（不包括使用非残疾人福利性单位注册商标的货物）。</w:t>
      </w:r>
    </w:p>
    <w:p w14:paraId="7D31E74B">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本单位对上述声明的真实性负责。如有虚假，将依法承担相应责任。</w:t>
      </w:r>
    </w:p>
    <w:p w14:paraId="1E5E4C29">
      <w:pPr>
        <w:spacing w:line="360" w:lineRule="auto"/>
        <w:ind w:firstLine="440" w:firstLineChars="200"/>
        <w:outlineLvl w:val="9"/>
        <w:rPr>
          <w:rFonts w:hint="eastAsia" w:ascii="宋体" w:hAnsi="宋体" w:eastAsia="宋体" w:cs="宋体"/>
          <w:bCs/>
          <w:sz w:val="22"/>
          <w:szCs w:val="21"/>
        </w:rPr>
      </w:pPr>
    </w:p>
    <w:p w14:paraId="4C57CFC2">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 xml:space="preserve"> </w:t>
      </w:r>
      <w:r>
        <w:rPr>
          <w:rFonts w:hint="eastAsia" w:ascii="宋体" w:hAnsi="宋体" w:eastAsia="宋体" w:cs="宋体"/>
          <w:bCs/>
          <w:sz w:val="22"/>
          <w:szCs w:val="21"/>
          <w:lang w:val="en-US" w:eastAsia="zh-CN"/>
        </w:rPr>
        <w:t xml:space="preserve">          </w:t>
      </w:r>
      <w:r>
        <w:rPr>
          <w:rFonts w:hint="eastAsia" w:ascii="宋体" w:hAnsi="宋体" w:eastAsia="宋体" w:cs="宋体"/>
          <w:bCs/>
          <w:sz w:val="22"/>
          <w:szCs w:val="21"/>
        </w:rPr>
        <w:t xml:space="preserve"> </w:t>
      </w:r>
      <w:r>
        <w:rPr>
          <w:rFonts w:hint="eastAsia" w:ascii="宋体" w:hAnsi="宋体" w:eastAsia="宋体" w:cs="宋体"/>
          <w:bCs/>
          <w:sz w:val="22"/>
          <w:szCs w:val="21"/>
          <w:lang w:val="en-US" w:eastAsia="zh-CN"/>
        </w:rPr>
        <w:t xml:space="preserve">       </w:t>
      </w:r>
      <w:r>
        <w:rPr>
          <w:rFonts w:hint="eastAsia" w:ascii="宋体" w:hAnsi="宋体" w:eastAsia="宋体" w:cs="宋体"/>
          <w:bCs/>
          <w:sz w:val="22"/>
          <w:szCs w:val="21"/>
        </w:rPr>
        <w:t xml:space="preserve"> 企业：         (公章签章) </w:t>
      </w:r>
    </w:p>
    <w:p w14:paraId="74C80BCF">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 xml:space="preserve">             </w:t>
      </w:r>
      <w:r>
        <w:rPr>
          <w:rFonts w:hint="eastAsia" w:ascii="宋体" w:hAnsi="宋体" w:eastAsia="宋体" w:cs="宋体"/>
          <w:bCs/>
          <w:sz w:val="22"/>
          <w:szCs w:val="21"/>
          <w:lang w:val="en-US" w:eastAsia="zh-CN"/>
        </w:rPr>
        <w:t xml:space="preserve">     </w:t>
      </w:r>
      <w:r>
        <w:rPr>
          <w:rFonts w:hint="eastAsia" w:ascii="宋体" w:hAnsi="宋体" w:eastAsia="宋体" w:cs="宋体"/>
          <w:bCs/>
          <w:sz w:val="22"/>
          <w:szCs w:val="21"/>
        </w:rPr>
        <w:t>日期：      年     月     日</w:t>
      </w:r>
    </w:p>
    <w:p w14:paraId="41448309">
      <w:pPr>
        <w:tabs>
          <w:tab w:val="left" w:pos="4860"/>
        </w:tabs>
        <w:spacing w:line="360" w:lineRule="auto"/>
        <w:ind w:right="1560" w:firstLine="442" w:firstLineChars="200"/>
        <w:jc w:val="center"/>
        <w:rPr>
          <w:rFonts w:ascii="宋体" w:hAnsi="宋体" w:cs="宋体"/>
          <w:b/>
          <w:sz w:val="22"/>
          <w:szCs w:val="21"/>
        </w:rPr>
      </w:pPr>
    </w:p>
    <w:p w14:paraId="16B23658">
      <w:pPr>
        <w:widowControl/>
        <w:spacing w:line="360" w:lineRule="auto"/>
        <w:ind w:firstLine="442" w:firstLineChars="200"/>
        <w:rPr>
          <w:rFonts w:ascii="宋体" w:hAnsi="宋体" w:cs="宋体"/>
          <w:b/>
          <w:sz w:val="22"/>
          <w:szCs w:val="21"/>
        </w:rPr>
      </w:pPr>
      <w:r>
        <w:rPr>
          <w:rFonts w:hint="eastAsia" w:ascii="宋体" w:hAnsi="宋体" w:cs="宋体"/>
          <w:b/>
          <w:sz w:val="22"/>
          <w:szCs w:val="21"/>
        </w:rPr>
        <w:t>（提醒：如果</w:t>
      </w:r>
      <w:r>
        <w:rPr>
          <w:rFonts w:hint="eastAsia" w:ascii="宋体" w:hAnsi="宋体" w:cs="宋体"/>
          <w:b/>
          <w:sz w:val="22"/>
          <w:szCs w:val="21"/>
          <w:lang w:eastAsia="zh-CN"/>
        </w:rPr>
        <w:t>响应人</w:t>
      </w:r>
      <w:r>
        <w:rPr>
          <w:rFonts w:hint="eastAsia" w:ascii="宋体" w:hAnsi="宋体" w:cs="宋体"/>
          <w:b/>
          <w:spacing w:val="10"/>
          <w:kern w:val="0"/>
          <w:sz w:val="22"/>
          <w:szCs w:val="21"/>
        </w:rPr>
        <w:t>不是残疾人福利性单位</w:t>
      </w:r>
      <w:r>
        <w:rPr>
          <w:rFonts w:hint="eastAsia" w:ascii="宋体" w:hAnsi="宋体" w:cs="宋体"/>
          <w:b/>
          <w:sz w:val="22"/>
          <w:szCs w:val="21"/>
        </w:rPr>
        <w:t>，则不需要提供《残疾人福利性单位声明函》。否则，因此导致虚假</w:t>
      </w:r>
      <w:r>
        <w:rPr>
          <w:rFonts w:hint="eastAsia" w:ascii="宋体" w:hAnsi="宋体" w:cs="宋体"/>
          <w:b/>
          <w:sz w:val="22"/>
          <w:szCs w:val="21"/>
          <w:lang w:eastAsia="zh-CN"/>
        </w:rPr>
        <w:t>磋商</w:t>
      </w:r>
      <w:r>
        <w:rPr>
          <w:rFonts w:hint="eastAsia" w:ascii="宋体" w:hAnsi="宋体" w:cs="宋体"/>
          <w:b/>
          <w:sz w:val="22"/>
          <w:szCs w:val="21"/>
        </w:rPr>
        <w:t>的后果由</w:t>
      </w:r>
      <w:r>
        <w:rPr>
          <w:rFonts w:hint="eastAsia" w:ascii="宋体" w:hAnsi="宋体" w:cs="宋体"/>
          <w:b/>
          <w:sz w:val="22"/>
          <w:szCs w:val="21"/>
          <w:lang w:eastAsia="zh-CN"/>
        </w:rPr>
        <w:t>响应人</w:t>
      </w:r>
      <w:r>
        <w:rPr>
          <w:rFonts w:hint="eastAsia" w:ascii="宋体" w:hAnsi="宋体" w:cs="宋体"/>
          <w:b/>
          <w:sz w:val="22"/>
          <w:szCs w:val="21"/>
        </w:rPr>
        <w:t>自行承担。）</w:t>
      </w:r>
    </w:p>
    <w:p w14:paraId="01347718">
      <w:pPr>
        <w:tabs>
          <w:tab w:val="left" w:pos="840"/>
        </w:tabs>
        <w:autoSpaceDE w:val="0"/>
        <w:autoSpaceDN w:val="0"/>
        <w:adjustRightInd w:val="0"/>
        <w:spacing w:line="360" w:lineRule="auto"/>
        <w:rPr>
          <w:rFonts w:ascii="宋体" w:hAnsi="宋体" w:cs="宋体"/>
          <w:b/>
          <w:sz w:val="22"/>
          <w:szCs w:val="21"/>
        </w:rPr>
      </w:pPr>
    </w:p>
    <w:p w14:paraId="7C445DEC">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《财政部民政部中国残疾人联合会关于促进残疾人就业政府采购政策的通知》（财库2017〔141〕号）的规定：</w:t>
      </w:r>
    </w:p>
    <w:p w14:paraId="000A5DBD">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1. 享受政府采购支持政策的残疾人福利性单位应当同时满足以下条件：</w:t>
      </w:r>
    </w:p>
    <w:p w14:paraId="317AF691">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（1）安置的残疾人占本单位在职职工人数的比例不低于25%（含25%），并且安置的残疾人人数不少于10人（含10人）；</w:t>
      </w:r>
    </w:p>
    <w:p w14:paraId="5D536426">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（2）依法与安置的每位残疾人签订了一年以上（含一年）的劳动合同或服务协议；</w:t>
      </w:r>
    </w:p>
    <w:p w14:paraId="24B9A958">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（3）为安置的每位残疾人按月足额缴纳了基本养老保险、基本医疗保险、失业保险、工伤保险和生育保险等社会保险费；</w:t>
      </w:r>
    </w:p>
    <w:p w14:paraId="2BB537BD">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（4）通过银行等金融机构向安置的每位残疾人，按月支付了不低于单位所在区县适用的经省级人民政府批准的月最低工资标准的工资；</w:t>
      </w:r>
    </w:p>
    <w:p w14:paraId="0D1242C2">
      <w:pPr>
        <w:spacing w:line="360" w:lineRule="auto"/>
        <w:ind w:firstLine="440" w:firstLineChars="200"/>
        <w:outlineLvl w:val="9"/>
        <w:rPr>
          <w:rFonts w:hint="eastAsia" w:ascii="宋体" w:hAnsi="宋体" w:eastAsia="宋体" w:cs="宋体"/>
          <w:bCs/>
          <w:sz w:val="22"/>
          <w:szCs w:val="21"/>
        </w:rPr>
      </w:pPr>
      <w:r>
        <w:rPr>
          <w:rFonts w:hint="eastAsia" w:ascii="宋体" w:hAnsi="宋体" w:eastAsia="宋体" w:cs="宋体"/>
          <w:bCs/>
          <w:sz w:val="22"/>
          <w:szCs w:val="21"/>
        </w:rPr>
        <w:t>（5）提供本单位制造的货物、承担的工程或者服务（以下简称产品），或者提供其他残疾人福利性单位制造的货物（不包括使用非残疾人福利性单位注册商标的货物）。</w:t>
      </w:r>
    </w:p>
    <w:p w14:paraId="0A3D9BC4">
      <w:pPr>
        <w:rPr>
          <w:rFonts w:hint="eastAsia" w:ascii="宋体" w:hAnsi="宋体" w:eastAsia="仿宋" w:cs="宋体"/>
          <w:kern w:val="2"/>
          <w:sz w:val="24"/>
          <w:szCs w:val="24"/>
          <w:lang w:val="en-US" w:eastAsia="zh-CN" w:bidi="ar-SA"/>
        </w:rPr>
      </w:pPr>
      <w:r>
        <w:rPr>
          <w:rFonts w:hint="eastAsia" w:ascii="宋体" w:hAnsi="宋体" w:eastAsia="宋体" w:cs="宋体"/>
          <w:bCs/>
          <w:sz w:val="22"/>
          <w:szCs w:val="21"/>
        </w:rPr>
        <w:t>2. 成交人为残疾人福利性单位的，采购人或者其委托的采购代理机构应当随成交、成交结果同时公告其《残疾人福利性单位声明函》，接受社会监督。</w:t>
      </w:r>
    </w:p>
    <w:p w14:paraId="256D368F">
      <w:pPr>
        <w:pStyle w:val="5"/>
        <w:rPr>
          <w:rFonts w:hint="eastAsia" w:eastAsia="宋体"/>
          <w:color w:val="auto"/>
          <w:highlight w:val="none"/>
          <w:lang w:eastAsia="zh-CN"/>
        </w:rPr>
      </w:pPr>
      <w:r>
        <w:rPr>
          <w:rFonts w:hint="eastAsia" w:ascii="宋体" w:hAnsi="宋体" w:eastAsia="宋体" w:cs="宋体"/>
          <w:b/>
          <w:bCs/>
          <w:sz w:val="28"/>
          <w:szCs w:val="28"/>
        </w:rPr>
        <w:br w:type="page"/>
      </w:r>
      <w:bookmarkEnd w:id="359"/>
      <w:bookmarkEnd w:id="360"/>
      <w:bookmarkEnd w:id="361"/>
      <w:r>
        <w:rPr>
          <w:rFonts w:hint="eastAsia" w:eastAsia="宋体"/>
          <w:color w:val="auto"/>
          <w:highlight w:val="none"/>
          <w:lang w:eastAsia="zh-CN"/>
        </w:rPr>
        <w:drawing>
          <wp:inline distT="0" distB="0" distL="114300" distR="114300">
            <wp:extent cx="5754370" cy="8140065"/>
            <wp:effectExtent l="0" t="0" r="17780" b="13335"/>
            <wp:docPr id="6" name="图片 1"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工信部300号文关于印发中小企业划型标准规定的通知 （工信部联企业〔2011..._01"/>
                    <pic:cNvPicPr>
                      <a:picLocks noChangeAspect="1"/>
                    </pic:cNvPicPr>
                  </pic:nvPicPr>
                  <pic:blipFill>
                    <a:blip r:embed="rId14"/>
                    <a:stretch>
                      <a:fillRect/>
                    </a:stretch>
                  </pic:blipFill>
                  <pic:spPr>
                    <a:xfrm>
                      <a:off x="0" y="0"/>
                      <a:ext cx="5754370" cy="81400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754370" cy="8140065"/>
            <wp:effectExtent l="0" t="0" r="17780" b="13335"/>
            <wp:docPr id="7" name="图片 2"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工信部300号文关于印发中小企业划型标准规定的通知 （工信部联企业〔2011..._02"/>
                    <pic:cNvPicPr>
                      <a:picLocks noChangeAspect="1"/>
                    </pic:cNvPicPr>
                  </pic:nvPicPr>
                  <pic:blipFill>
                    <a:blip r:embed="rId15"/>
                    <a:stretch>
                      <a:fillRect/>
                    </a:stretch>
                  </pic:blipFill>
                  <pic:spPr>
                    <a:xfrm>
                      <a:off x="0" y="0"/>
                      <a:ext cx="5754370" cy="81400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754370" cy="8140065"/>
            <wp:effectExtent l="0" t="0" r="17780" b="13335"/>
            <wp:docPr id="1" name="图片 3"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工信部300号文关于印发中小企业划型标准规定的通知 （工信部联企业〔2011..._03"/>
                    <pic:cNvPicPr>
                      <a:picLocks noChangeAspect="1"/>
                    </pic:cNvPicPr>
                  </pic:nvPicPr>
                  <pic:blipFill>
                    <a:blip r:embed="rId16"/>
                    <a:stretch>
                      <a:fillRect/>
                    </a:stretch>
                  </pic:blipFill>
                  <pic:spPr>
                    <a:xfrm>
                      <a:off x="0" y="0"/>
                      <a:ext cx="5754370" cy="81400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754370" cy="8140065"/>
            <wp:effectExtent l="0" t="0" r="17780" b="13335"/>
            <wp:docPr id="4" name="图片 4"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4"/>
                    <pic:cNvPicPr>
                      <a:picLocks noChangeAspect="1"/>
                    </pic:cNvPicPr>
                  </pic:nvPicPr>
                  <pic:blipFill>
                    <a:blip r:embed="rId17"/>
                    <a:stretch>
                      <a:fillRect/>
                    </a:stretch>
                  </pic:blipFill>
                  <pic:spPr>
                    <a:xfrm>
                      <a:off x="0" y="0"/>
                      <a:ext cx="5754370" cy="8140065"/>
                    </a:xfrm>
                    <a:prstGeom prst="rect">
                      <a:avLst/>
                    </a:prstGeom>
                    <a:noFill/>
                    <a:ln>
                      <a:noFill/>
                    </a:ln>
                  </pic:spPr>
                </pic:pic>
              </a:graphicData>
            </a:graphic>
          </wp:inline>
        </w:drawing>
      </w:r>
    </w:p>
    <w:p w14:paraId="44D2B9D5">
      <w:pPr>
        <w:rPr>
          <w:rFonts w:hint="eastAsia" w:ascii="宋体" w:hAnsi="宋体" w:cs="仿宋_GB2312"/>
          <w:color w:val="000000"/>
          <w:kern w:val="0"/>
          <w:szCs w:val="21"/>
        </w:rPr>
      </w:pPr>
    </w:p>
    <w:p w14:paraId="48E94F93"/>
    <w:sectPr>
      <w:headerReference r:id="rId10" w:type="default"/>
      <w:footerReference r:id="rId11" w:type="default"/>
      <w:pgSz w:w="11906" w:h="16838"/>
      <w:pgMar w:top="964" w:right="1247" w:bottom="964" w:left="124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C2C0E">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C6F1">
    <w:pPr>
      <w:pStyle w:val="10"/>
      <w:framePr w:wrap="around" w:vAnchor="text" w:hAnchor="margin" w:xAlign="right" w:y="1"/>
      <w:rPr>
        <w:rStyle w:val="19"/>
      </w:rPr>
    </w:pPr>
    <w:r>
      <w:fldChar w:fldCharType="begin"/>
    </w:r>
    <w:r>
      <w:rPr>
        <w:rStyle w:val="19"/>
      </w:rPr>
      <w:instrText xml:space="preserve">PAGE  </w:instrText>
    </w:r>
    <w:r>
      <w:fldChar w:fldCharType="separate"/>
    </w:r>
    <w:r>
      <w:rPr>
        <w:rStyle w:val="19"/>
      </w:rPr>
      <w:t>5</w:t>
    </w:r>
    <w:r>
      <w:fldChar w:fldCharType="end"/>
    </w:r>
  </w:p>
  <w:p w14:paraId="6AFCAAE3">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B55D8">
    <w:pPr>
      <w:pStyle w:val="10"/>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BF0E9C5">
                          <w:pPr>
                            <w:snapToGrid w:val="0"/>
                            <w:rPr>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&#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G6pIMNYBAACwAwAADgAAAAAAAAABACAAAAAe&#10;AQAAZHJzL2Uyb0RvYy54bWxQSwUGAAAAAAYABgBZAQAAZgUAAAAA&#10;">
              <v:fill on="f" focussize="0,0"/>
              <v:stroke on="f"/>
              <v:imagedata o:title=""/>
              <o:lock v:ext="edit" aspectratio="f"/>
              <v:textbox inset="0mm,0mm,0mm,0mm" style="mso-fit-shape-to-text:t;">
                <w:txbxContent>
                  <w:p w14:paraId="4BF0E9C5">
                    <w:pPr>
                      <w:snapToGrid w:val="0"/>
                      <w:rPr>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C999">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4D25C">
    <w:pPr>
      <w:spacing w:line="14" w:lineRule="auto"/>
      <w:rPr>
        <w:sz w:val="18"/>
        <w:szCs w:val="18"/>
      </w:rPr>
    </w:pPr>
    <w:r>
      <w:rPr>
        <w:sz w:val="18"/>
        <w:szCs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184F37">
                          <w:pPr>
                            <w:pStyle w:val="10"/>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QIElW9IBAACiAwAADgAAAAAAAAABACAAAAAfAQAA&#10;ZHJzL2Uyb0RvYy54bWxQSwUGAAAAAAYABgBZAQAAYwUAAAAA&#10;">
              <v:fill on="f" focussize="0,0"/>
              <v:stroke on="f" weight="0.5pt"/>
              <v:imagedata o:title=""/>
              <o:lock v:ext="edit" aspectratio="f"/>
              <v:textbox inset="0mm,0mm,0mm,0mm" style="mso-fit-shape-to-text:t;">
                <w:txbxContent>
                  <w:p w14:paraId="4C184F37">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83699">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8C08A7">
                          <w:pPr>
                            <w:pStyle w:val="10"/>
                          </w:pPr>
                          <w:r>
                            <w:fldChar w:fldCharType="begin"/>
                          </w:r>
                          <w:r>
                            <w:instrText xml:space="preserve"> PAGE  \* MERGEFORMAT </w:instrText>
                          </w:r>
                          <w:r>
                            <w:fldChar w:fldCharType="separate"/>
                          </w:r>
                          <w:r>
                            <w:t>48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98C08A7">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DD0A">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53C1">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FC4EB">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EE261"/>
    <w:multiLevelType w:val="singleLevel"/>
    <w:tmpl w:val="8D9EE261"/>
    <w:lvl w:ilvl="0" w:tentative="0">
      <w:start w:val="1"/>
      <w:numFmt w:val="decimal"/>
      <w:lvlText w:val="%1."/>
      <w:lvlJc w:val="left"/>
      <w:pPr>
        <w:ind w:left="425" w:hanging="425"/>
      </w:pPr>
      <w:rPr>
        <w:rFonts w:hint="default"/>
      </w:rPr>
    </w:lvl>
  </w:abstractNum>
  <w:abstractNum w:abstractNumId="1">
    <w:nsid w:val="B64F5E0E"/>
    <w:multiLevelType w:val="singleLevel"/>
    <w:tmpl w:val="B64F5E0E"/>
    <w:lvl w:ilvl="0" w:tentative="0">
      <w:start w:val="5"/>
      <w:numFmt w:val="chineseCounting"/>
      <w:suff w:val="space"/>
      <w:lvlText w:val="第%1章"/>
      <w:lvlJc w:val="left"/>
      <w:rPr>
        <w:rFonts w:hint="eastAsia"/>
      </w:rPr>
    </w:lvl>
  </w:abstractNum>
  <w:abstractNum w:abstractNumId="2">
    <w:nsid w:val="E78A5D1F"/>
    <w:multiLevelType w:val="singleLevel"/>
    <w:tmpl w:val="E78A5D1F"/>
    <w:lvl w:ilvl="0" w:tentative="0">
      <w:start w:val="2"/>
      <w:numFmt w:val="decimal"/>
      <w:suff w:val="nothing"/>
      <w:lvlText w:val="（%1）"/>
      <w:lvlJc w:val="left"/>
    </w:lvl>
  </w:abstractNum>
  <w:abstractNum w:abstractNumId="3">
    <w:nsid w:val="0FACA99A"/>
    <w:multiLevelType w:val="singleLevel"/>
    <w:tmpl w:val="0FACA99A"/>
    <w:lvl w:ilvl="0" w:tentative="0">
      <w:start w:val="1"/>
      <w:numFmt w:val="chineseCounting"/>
      <w:suff w:val="nothing"/>
      <w:lvlText w:val="%1、"/>
      <w:lvlJc w:val="left"/>
      <w:rPr>
        <w:rFonts w:hint="eastAsia"/>
      </w:rPr>
    </w:lvl>
  </w:abstractNum>
  <w:abstractNum w:abstractNumId="4">
    <w:nsid w:val="2EEC4B40"/>
    <w:multiLevelType w:val="singleLevel"/>
    <w:tmpl w:val="2EEC4B40"/>
    <w:lvl w:ilvl="0" w:tentative="0">
      <w:start w:val="1"/>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Z51bMto/DqKNOvkSwejOm9zo0UE=" w:salt="8EYhWq36uCbZWJ6dcxz6dw=="/>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66E96"/>
    <w:rsid w:val="007D0F25"/>
    <w:rsid w:val="04275350"/>
    <w:rsid w:val="0D1D5845"/>
    <w:rsid w:val="1074723A"/>
    <w:rsid w:val="14CA62B3"/>
    <w:rsid w:val="16D73E12"/>
    <w:rsid w:val="19600F94"/>
    <w:rsid w:val="1AD0448D"/>
    <w:rsid w:val="20287B4B"/>
    <w:rsid w:val="21B41FC2"/>
    <w:rsid w:val="22673453"/>
    <w:rsid w:val="259A0181"/>
    <w:rsid w:val="28097CC4"/>
    <w:rsid w:val="298339EA"/>
    <w:rsid w:val="310C2B63"/>
    <w:rsid w:val="31FE14EB"/>
    <w:rsid w:val="33FE6D31"/>
    <w:rsid w:val="3B8D77A5"/>
    <w:rsid w:val="420D7AA8"/>
    <w:rsid w:val="46A20D04"/>
    <w:rsid w:val="4B9701A3"/>
    <w:rsid w:val="4CD80866"/>
    <w:rsid w:val="4E7042DD"/>
    <w:rsid w:val="514A5CD9"/>
    <w:rsid w:val="514F7FBE"/>
    <w:rsid w:val="51604C05"/>
    <w:rsid w:val="521435D1"/>
    <w:rsid w:val="53E3381A"/>
    <w:rsid w:val="57515F31"/>
    <w:rsid w:val="58655DA3"/>
    <w:rsid w:val="5A2275C4"/>
    <w:rsid w:val="5F3A0157"/>
    <w:rsid w:val="62721266"/>
    <w:rsid w:val="675E59B4"/>
    <w:rsid w:val="6BE92B24"/>
    <w:rsid w:val="6D1D062D"/>
    <w:rsid w:val="70237A3B"/>
    <w:rsid w:val="754D42EF"/>
    <w:rsid w:val="776C0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spacing w:line="415" w:lineRule="auto"/>
      <w:outlineLvl w:val="1"/>
    </w:pPr>
    <w:rPr>
      <w:rFonts w:ascii="Arial" w:hAnsi="Arial" w:eastAsia="黑体"/>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spacing w:line="240" w:lineRule="auto"/>
      <w:ind w:firstLine="560" w:firstLineChars="200"/>
    </w:pPr>
    <w:rPr>
      <w:rFonts w:ascii="Times New Roman" w:hAnsi="Times New Roman" w:eastAsia="宋体" w:cs="Times New Roman"/>
      <w:sz w:val="28"/>
      <w:szCs w:val="20"/>
    </w:rPr>
  </w:style>
  <w:style w:type="paragraph" w:styleId="5">
    <w:name w:val="Body Text"/>
    <w:basedOn w:val="1"/>
    <w:qFormat/>
    <w:uiPriority w:val="99"/>
    <w:pPr>
      <w:adjustRightInd w:val="0"/>
      <w:spacing w:after="60" w:line="360" w:lineRule="atLeast"/>
      <w:ind w:left="72" w:leftChars="30" w:right="30" w:rightChars="30"/>
      <w:jc w:val="center"/>
      <w:textAlignment w:val="baseline"/>
    </w:pPr>
    <w:rPr>
      <w:kern w:val="0"/>
      <w:sz w:val="20"/>
      <w:szCs w:val="20"/>
    </w:rPr>
  </w:style>
  <w:style w:type="paragraph" w:styleId="6">
    <w:name w:val="Body Text Indent"/>
    <w:basedOn w:val="1"/>
    <w:qFormat/>
    <w:uiPriority w:val="99"/>
    <w:pPr>
      <w:spacing w:after="120"/>
      <w:ind w:left="420" w:leftChars="200"/>
    </w:pPr>
  </w:style>
  <w:style w:type="paragraph" w:styleId="7">
    <w:name w:val="Plain Text"/>
    <w:basedOn w:val="1"/>
    <w:next w:val="8"/>
    <w:qFormat/>
    <w:uiPriority w:val="0"/>
    <w:rPr>
      <w:rFonts w:ascii="Courier New" w:hAnsi="Courier New"/>
      <w:szCs w:val="20"/>
    </w:rPr>
  </w:style>
  <w:style w:type="paragraph" w:styleId="8">
    <w:name w:val="index 9"/>
    <w:basedOn w:val="1"/>
    <w:next w:val="1"/>
    <w:qFormat/>
    <w:uiPriority w:val="99"/>
    <w:pPr>
      <w:ind w:left="3360"/>
    </w:pPr>
    <w:rPr>
      <w:rFonts w:cs="等线"/>
    </w:rPr>
  </w:style>
  <w:style w:type="paragraph" w:styleId="9">
    <w:name w:val="Body Text Indent 2"/>
    <w:basedOn w:val="1"/>
    <w:qFormat/>
    <w:uiPriority w:val="0"/>
    <w:pPr>
      <w:spacing w:line="500" w:lineRule="exact"/>
      <w:ind w:firstLine="420" w:firstLineChars="200"/>
    </w:pPr>
    <w:rPr>
      <w:rFonts w:ascii="Calibri" w:hAnsi="Calibri" w:eastAsia="宋体" w:cs="Times New Roman"/>
      <w:kern w:val="0"/>
      <w:sz w:val="24"/>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Body Text First Indent"/>
    <w:basedOn w:val="5"/>
    <w:qFormat/>
    <w:uiPriority w:val="0"/>
    <w:pPr>
      <w:adjustRightInd/>
      <w:spacing w:after="120" w:line="240" w:lineRule="auto"/>
      <w:ind w:left="0" w:leftChars="0" w:right="0" w:rightChars="0" w:firstLine="420"/>
      <w:jc w:val="both"/>
      <w:textAlignment w:val="auto"/>
    </w:pPr>
    <w:rPr>
      <w:rFonts w:eastAsia="楷体_GB2312"/>
      <w:kern w:val="2"/>
      <w:sz w:val="32"/>
    </w:rPr>
  </w:style>
  <w:style w:type="paragraph" w:styleId="15">
    <w:name w:val="Body Text First Indent 2"/>
    <w:basedOn w:val="6"/>
    <w:next w:val="14"/>
    <w:qFormat/>
    <w:uiPriority w:val="0"/>
    <w:pPr>
      <w:spacing w:before="100" w:beforeAutospacing="1" w:after="120" w:line="360" w:lineRule="auto"/>
      <w:ind w:left="420" w:firstLine="420"/>
    </w:pPr>
    <w:rPr>
      <w:rFonts w:eastAsia="Arial Unicode MS"/>
      <w:color w:val="000000"/>
      <w:kern w:val="0"/>
      <w:sz w:val="20"/>
      <w:szCs w:val="20"/>
    </w:rPr>
  </w:style>
  <w:style w:type="table" w:styleId="17">
    <w:name w:val="Table Grid"/>
    <w:basedOn w:val="16"/>
    <w:qFormat/>
    <w:uiPriority w:val="99"/>
    <w:pPr>
      <w:widowControl w:val="0"/>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paragraph" w:customStyle="1" w:styleId="20">
    <w:name w:val="Default"/>
    <w:basedOn w:val="7"/>
    <w:next w:val="11"/>
    <w:qFormat/>
    <w:uiPriority w:val="0"/>
    <w:pPr>
      <w:widowControl w:val="0"/>
      <w:autoSpaceDE w:val="0"/>
      <w:autoSpaceDN w:val="0"/>
      <w:adjustRightInd w:val="0"/>
    </w:pPr>
    <w:rPr>
      <w:rFonts w:ascii="宋体" w:hAnsi="微软雅黑" w:cs="宋体"/>
      <w:color w:val="000000"/>
      <w:sz w:val="24"/>
      <w:szCs w:val="24"/>
      <w:lang w:val="en-US" w:eastAsia="zh-CN" w:bidi="ar-SA"/>
    </w:rPr>
  </w:style>
  <w:style w:type="paragraph" w:customStyle="1" w:styleId="21">
    <w:name w:val="Table Text"/>
    <w:basedOn w:val="1"/>
    <w:semiHidden/>
    <w:qFormat/>
    <w:uiPriority w:val="0"/>
    <w:rPr>
      <w:rFonts w:ascii="宋体" w:hAnsi="宋体" w:eastAsia="宋体" w:cs="宋体"/>
      <w:sz w:val="24"/>
      <w:szCs w:val="24"/>
      <w:lang w:val="en-US" w:eastAsia="en-US" w:bidi="ar-SA"/>
    </w:rPr>
  </w:style>
  <w:style w:type="paragraph" w:customStyle="1" w:styleId="2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
    <w:name w:val="标题 1 字符"/>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27236</Words>
  <Characters>29485</Characters>
  <Lines>0</Lines>
  <Paragraphs>0</Paragraphs>
  <TotalTime>46</TotalTime>
  <ScaleCrop>false</ScaleCrop>
  <LinksUpToDate>false</LinksUpToDate>
  <CharactersWithSpaces>30984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2026-02-26T11:09:00Z</dcterms:created>
  <dc:creator>Administrator</dc:creator>
  <cp:lastModifiedBy>-</cp:lastModifiedBy>
  <dcterms:modified xsi:type="dcterms:W3CDTF">2026-02-28T07:29:47Z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eyJoZGlkIjoiNDQ1OTUwMDNmM2M2YTQ3MmQxODUyZWU1MjNkNDFhY2EiLCJ1c2VySWQiOiIyOTQ1NTMzNDQifQ==</vt:lpwstr>
  </property>
  <property fmtid="{D5CDD505-2E9C-101B-9397-08002B2CF9AE}" pid="4" name="ICV">
    <vt:lpwstr>36DBDA295859499080EAC1EA7D83B82D_13</vt:lpwstr>
  </property>
</Properties>
</file>