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8E25B">
      <w:pPr>
        <w:pageBreakBefore w:val="0"/>
        <w:kinsoku/>
        <w:wordWrap w:val="0"/>
        <w:overflowPunct/>
        <w:topLinePunct w:val="0"/>
        <w:bidi w:val="0"/>
        <w:adjustRightInd w:val="0"/>
        <w:snapToGrid w:val="0"/>
        <w:spacing w:line="360" w:lineRule="auto"/>
        <w:ind w:left="-200" w:leftChars="-100" w:firstLine="0" w:firstLineChars="0"/>
        <w:jc w:val="both"/>
        <w:rPr>
          <w:rFonts w:hint="eastAsia" w:ascii="宋体" w:hAnsi="宋体" w:cs="宋体"/>
          <w:b/>
          <w:color w:val="auto"/>
          <w:kern w:val="2"/>
          <w:sz w:val="44"/>
          <w:szCs w:val="44"/>
          <w:lang w:val="en-US" w:eastAsia="zh-CN" w:bidi="ar-SA"/>
        </w:rPr>
      </w:pPr>
      <w:bookmarkStart w:id="0" w:name="_Toc152042303"/>
      <w:bookmarkEnd w:id="0"/>
      <w:bookmarkStart w:id="1" w:name="_Toc179632544"/>
      <w:bookmarkEnd w:id="1"/>
      <w:bookmarkStart w:id="2" w:name="_Toc144974495"/>
      <w:bookmarkEnd w:id="2"/>
      <w:bookmarkStart w:id="3" w:name="_Toc26856"/>
      <w:bookmarkStart w:id="4" w:name="_Toc22293"/>
    </w:p>
    <w:p w14:paraId="5E4F4116">
      <w:pPr>
        <w:pageBreakBefore w:val="0"/>
        <w:kinsoku/>
        <w:wordWrap w:val="0"/>
        <w:overflowPunct/>
        <w:topLinePunct w:val="0"/>
        <w:bidi w:val="0"/>
        <w:spacing w:line="600" w:lineRule="exact"/>
        <w:jc w:val="center"/>
        <w:rPr>
          <w:rFonts w:hint="eastAsia" w:ascii="宋体" w:hAnsi="宋体" w:cs="黑体"/>
          <w:color w:val="auto"/>
          <w:sz w:val="52"/>
          <w:szCs w:val="52"/>
        </w:rPr>
      </w:pPr>
      <w:r>
        <w:rPr>
          <w:rFonts w:hint="eastAsia" w:ascii="宋体" w:hAnsi="宋体" w:cs="黑体"/>
          <w:sz w:val="52"/>
          <w:szCs w:val="52"/>
          <w:lang w:eastAsia="zh-CN"/>
        </w:rPr>
        <w:t>卢氏县2025年高标准农田建设项目（杜关镇）</w:t>
      </w:r>
      <w:bookmarkStart w:id="5" w:name="_Toc8032"/>
      <w:r>
        <w:rPr>
          <w:rFonts w:hint="eastAsia" w:ascii="宋体" w:hAnsi="宋体" w:cs="黑体"/>
          <w:color w:val="auto"/>
          <w:sz w:val="52"/>
          <w:szCs w:val="52"/>
        </w:rPr>
        <w:t>竞争性磋商文件</w:t>
      </w:r>
      <w:bookmarkEnd w:id="5"/>
    </w:p>
    <w:p w14:paraId="2A541591">
      <w:pPr>
        <w:pageBreakBefore w:val="0"/>
        <w:kinsoku/>
        <w:wordWrap w:val="0"/>
        <w:overflowPunct/>
        <w:topLinePunct w:val="0"/>
        <w:bidi w:val="0"/>
        <w:spacing w:line="600" w:lineRule="exact"/>
        <w:jc w:val="center"/>
        <w:rPr>
          <w:rFonts w:hint="eastAsia" w:ascii="宋体" w:hAnsi="宋体" w:cs="黑体"/>
          <w:color w:val="auto"/>
          <w:sz w:val="48"/>
          <w:szCs w:val="48"/>
        </w:rPr>
      </w:pPr>
    </w:p>
    <w:p w14:paraId="5165F1C5">
      <w:pPr>
        <w:pStyle w:val="4"/>
        <w:pageBreakBefore w:val="0"/>
        <w:kinsoku/>
        <w:wordWrap w:val="0"/>
        <w:overflowPunct/>
        <w:topLinePunct w:val="0"/>
        <w:bidi w:val="0"/>
        <w:jc w:val="both"/>
        <w:rPr>
          <w:rFonts w:hint="eastAsia" w:ascii="宋体" w:hAnsi="宋体" w:eastAsia="宋体" w:cs="宋体"/>
          <w:color w:val="auto"/>
          <w:sz w:val="36"/>
          <w:szCs w:val="36"/>
        </w:rPr>
      </w:pPr>
    </w:p>
    <w:p w14:paraId="7D96FCEE">
      <w:pPr>
        <w:pStyle w:val="4"/>
        <w:pageBreakBefore w:val="0"/>
        <w:kinsoku/>
        <w:wordWrap w:val="0"/>
        <w:overflowPunct/>
        <w:topLinePunct w:val="0"/>
        <w:bidi w:val="0"/>
        <w:jc w:val="both"/>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rPr>
        <w:t>项目编号：</w:t>
      </w:r>
      <w:r>
        <w:rPr>
          <w:rFonts w:hint="eastAsia" w:ascii="宋体" w:hAnsi="宋体" w:eastAsia="宋体" w:cs="宋体"/>
          <w:color w:val="auto"/>
          <w:sz w:val="36"/>
          <w:szCs w:val="36"/>
          <w:lang w:val="en-US" w:eastAsia="zh-CN"/>
        </w:rPr>
        <w:t>三卢竞磋采购-2026-10、LSGZ[2026]027-ZC020</w:t>
      </w:r>
    </w:p>
    <w:p w14:paraId="16AE6B05">
      <w:pPr>
        <w:pStyle w:val="4"/>
        <w:pageBreakBefore w:val="0"/>
        <w:kinsoku/>
        <w:wordWrap w:val="0"/>
        <w:overflowPunct/>
        <w:topLinePunct w:val="0"/>
        <w:bidi w:val="0"/>
        <w:jc w:val="center"/>
        <w:rPr>
          <w:rFonts w:hint="eastAsia" w:ascii="宋体" w:hAnsi="宋体" w:cs="Times New Roman"/>
          <w:color w:val="auto"/>
          <w:sz w:val="32"/>
          <w:szCs w:val="22"/>
          <w:lang w:val="en-US" w:eastAsia="zh-CN"/>
        </w:rPr>
      </w:pPr>
    </w:p>
    <w:p w14:paraId="0E66F9C2">
      <w:pPr>
        <w:pStyle w:val="4"/>
        <w:pageBreakBefore w:val="0"/>
        <w:kinsoku/>
        <w:wordWrap w:val="0"/>
        <w:overflowPunct/>
        <w:topLinePunct w:val="0"/>
        <w:bidi w:val="0"/>
        <w:jc w:val="center"/>
        <w:rPr>
          <w:rFonts w:hint="eastAsia" w:ascii="宋体" w:hAnsi="宋体" w:cs="Times New Roman"/>
          <w:color w:val="auto"/>
          <w:sz w:val="32"/>
          <w:szCs w:val="22"/>
          <w:lang w:val="en-US" w:eastAsia="zh-CN"/>
        </w:rPr>
      </w:pPr>
    </w:p>
    <w:p w14:paraId="34B73694">
      <w:pPr>
        <w:pStyle w:val="4"/>
        <w:pageBreakBefore w:val="0"/>
        <w:kinsoku/>
        <w:wordWrap w:val="0"/>
        <w:overflowPunct/>
        <w:topLinePunct w:val="0"/>
        <w:bidi w:val="0"/>
        <w:jc w:val="center"/>
        <w:rPr>
          <w:rFonts w:ascii="宋体" w:hAnsi="宋体" w:eastAsia="宋体" w:cs="宋体"/>
          <w:b/>
          <w:color w:val="auto"/>
          <w:spacing w:val="-6"/>
          <w:sz w:val="32"/>
          <w:szCs w:val="32"/>
        </w:rPr>
      </w:pPr>
      <w:r>
        <w:rPr>
          <w:rFonts w:hint="eastAsia" w:ascii="宋体" w:hAnsi="宋体" w:eastAsia="宋体" w:cs="黑体"/>
          <w:color w:val="auto"/>
          <w:sz w:val="22"/>
          <w:szCs w:val="22"/>
          <w:highlight w:val="none"/>
          <w:lang w:eastAsia="zh-CN"/>
        </w:rPr>
        <w:drawing>
          <wp:inline distT="0" distB="0" distL="114300" distR="114300">
            <wp:extent cx="3487420" cy="3487420"/>
            <wp:effectExtent l="0" t="0" r="17780" b="177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4"/>
                    <a:stretch>
                      <a:fillRect/>
                    </a:stretch>
                  </pic:blipFill>
                  <pic:spPr>
                    <a:xfrm>
                      <a:off x="0" y="0"/>
                      <a:ext cx="3487420" cy="3487420"/>
                    </a:xfrm>
                    <a:prstGeom prst="rect">
                      <a:avLst/>
                    </a:prstGeom>
                    <a:noFill/>
                    <a:ln>
                      <a:noFill/>
                    </a:ln>
                  </pic:spPr>
                </pic:pic>
              </a:graphicData>
            </a:graphic>
          </wp:inline>
        </w:drawing>
      </w:r>
    </w:p>
    <w:p w14:paraId="1531C382">
      <w:pPr>
        <w:pageBreakBefore w:val="0"/>
        <w:tabs>
          <w:tab w:val="left" w:pos="-1155"/>
          <w:tab w:val="left" w:pos="-1050"/>
        </w:tabs>
        <w:kinsoku/>
        <w:wordWrap w:val="0"/>
        <w:overflowPunct/>
        <w:topLinePunct w:val="0"/>
        <w:bidi w:val="0"/>
        <w:adjustRightInd w:val="0"/>
        <w:snapToGrid w:val="0"/>
        <w:spacing w:line="360" w:lineRule="auto"/>
        <w:ind w:firstLine="2165" w:firstLineChars="700"/>
        <w:jc w:val="left"/>
        <w:rPr>
          <w:rFonts w:ascii="宋体" w:hAnsi="宋体" w:eastAsia="宋体" w:cs="宋体"/>
          <w:b/>
          <w:color w:val="auto"/>
          <w:spacing w:val="-6"/>
          <w:sz w:val="32"/>
          <w:szCs w:val="32"/>
        </w:rPr>
      </w:pPr>
    </w:p>
    <w:p w14:paraId="136DB239">
      <w:pPr>
        <w:pageBreakBefore w:val="0"/>
        <w:kinsoku/>
        <w:wordWrap w:val="0"/>
        <w:overflowPunct/>
        <w:topLinePunct w:val="0"/>
        <w:bidi w:val="0"/>
        <w:spacing w:line="600" w:lineRule="exact"/>
        <w:ind w:left="0" w:leftChars="0" w:firstLine="1797" w:firstLineChars="642"/>
        <w:jc w:val="both"/>
        <w:rPr>
          <w:rFonts w:hint="eastAsia" w:ascii="宋体" w:hAnsi="宋体" w:eastAsia="宋体"/>
          <w:bCs/>
          <w:spacing w:val="-20"/>
          <w:sz w:val="32"/>
          <w:szCs w:val="32"/>
          <w:lang w:eastAsia="zh-CN"/>
        </w:rPr>
      </w:pPr>
      <w:r>
        <w:rPr>
          <w:rFonts w:hint="eastAsia" w:ascii="宋体" w:hAnsi="宋体"/>
          <w:bCs/>
          <w:spacing w:val="-20"/>
          <w:sz w:val="32"/>
          <w:szCs w:val="32"/>
        </w:rPr>
        <w:t>采购人：</w:t>
      </w:r>
      <w:r>
        <w:rPr>
          <w:rFonts w:hint="eastAsia" w:ascii="宋体" w:hAnsi="宋体"/>
          <w:bCs/>
          <w:spacing w:val="-20"/>
          <w:sz w:val="32"/>
          <w:szCs w:val="32"/>
          <w:lang w:eastAsia="zh-CN"/>
        </w:rPr>
        <w:t>卢氏县杜关镇人民政府</w:t>
      </w:r>
    </w:p>
    <w:p w14:paraId="652406F6">
      <w:pPr>
        <w:pageBreakBefore w:val="0"/>
        <w:kinsoku/>
        <w:wordWrap w:val="0"/>
        <w:overflowPunct/>
        <w:topLinePunct w:val="0"/>
        <w:bidi w:val="0"/>
        <w:spacing w:line="600" w:lineRule="exact"/>
        <w:ind w:left="0" w:leftChars="0" w:firstLine="1797" w:firstLineChars="642"/>
        <w:jc w:val="both"/>
        <w:rPr>
          <w:rFonts w:hint="eastAsia" w:ascii="宋体" w:hAnsi="宋体"/>
          <w:bCs/>
          <w:spacing w:val="-20"/>
          <w:sz w:val="32"/>
          <w:szCs w:val="32"/>
          <w:lang w:eastAsia="zh-CN"/>
        </w:rPr>
      </w:pPr>
      <w:r>
        <w:rPr>
          <w:rFonts w:hint="eastAsia" w:ascii="宋体" w:hAnsi="宋体"/>
          <w:bCs/>
          <w:spacing w:val="-20"/>
          <w:sz w:val="32"/>
          <w:szCs w:val="32"/>
        </w:rPr>
        <w:t>代理机构：</w:t>
      </w:r>
      <w:r>
        <w:rPr>
          <w:rFonts w:hint="eastAsia" w:ascii="宋体" w:hAnsi="宋体"/>
          <w:bCs/>
          <w:spacing w:val="-20"/>
          <w:sz w:val="32"/>
          <w:szCs w:val="32"/>
          <w:lang w:eastAsia="zh-CN"/>
        </w:rPr>
        <w:t>河南良智行工程管理咨询有限公司</w:t>
      </w:r>
    </w:p>
    <w:p w14:paraId="6A2A3BD3">
      <w:pPr>
        <w:pageBreakBefore w:val="0"/>
        <w:kinsoku/>
        <w:wordWrap w:val="0"/>
        <w:overflowPunct/>
        <w:topLinePunct w:val="0"/>
        <w:bidi w:val="0"/>
        <w:spacing w:line="600" w:lineRule="exact"/>
        <w:ind w:left="0" w:leftChars="0" w:firstLine="1797" w:firstLineChars="642"/>
        <w:jc w:val="both"/>
        <w:rPr>
          <w:rFonts w:ascii="宋体" w:hAnsi="宋体"/>
          <w:bCs/>
          <w:spacing w:val="-20"/>
          <w:sz w:val="32"/>
          <w:szCs w:val="32"/>
        </w:rPr>
        <w:sectPr>
          <w:headerReference r:id="rId3" w:type="default"/>
          <w:footerReference r:id="rId4" w:type="default"/>
          <w:pgSz w:w="11906" w:h="16838"/>
          <w:pgMar w:top="1440" w:right="805" w:bottom="1440" w:left="1501" w:header="851" w:footer="992" w:gutter="0"/>
          <w:pgNumType w:fmt="decimal"/>
          <w:cols w:space="720" w:num="1"/>
          <w:docGrid w:type="lines" w:linePitch="312" w:charSpace="0"/>
        </w:sectPr>
      </w:pPr>
      <w:r>
        <w:rPr>
          <w:rFonts w:hint="eastAsia" w:ascii="宋体" w:hAnsi="宋体"/>
          <w:bCs/>
          <w:spacing w:val="-20"/>
          <w:sz w:val="32"/>
          <w:szCs w:val="32"/>
          <w:lang w:eastAsia="zh-CN"/>
        </w:rPr>
        <w:t>日</w:t>
      </w:r>
      <w:r>
        <w:rPr>
          <w:rFonts w:hint="eastAsia" w:ascii="宋体" w:hAnsi="宋体"/>
          <w:bCs/>
          <w:spacing w:val="-20"/>
          <w:sz w:val="32"/>
          <w:szCs w:val="32"/>
          <w:lang w:val="en-US" w:eastAsia="zh-CN"/>
        </w:rPr>
        <w:t xml:space="preserve">   </w:t>
      </w:r>
      <w:r>
        <w:rPr>
          <w:rFonts w:hint="eastAsia" w:ascii="宋体" w:hAnsi="宋体"/>
          <w:bCs/>
          <w:spacing w:val="-20"/>
          <w:sz w:val="32"/>
          <w:szCs w:val="32"/>
        </w:rPr>
        <w:t>期：二零二</w:t>
      </w:r>
      <w:r>
        <w:rPr>
          <w:rFonts w:hint="eastAsia" w:ascii="宋体" w:hAnsi="宋体"/>
          <w:bCs/>
          <w:spacing w:val="-20"/>
          <w:sz w:val="32"/>
          <w:szCs w:val="32"/>
          <w:lang w:val="en-US" w:eastAsia="zh-CN"/>
        </w:rPr>
        <w:t>六</w:t>
      </w:r>
      <w:r>
        <w:rPr>
          <w:rFonts w:hint="eastAsia" w:ascii="宋体" w:hAnsi="宋体"/>
          <w:bCs/>
          <w:spacing w:val="-20"/>
          <w:sz w:val="32"/>
          <w:szCs w:val="32"/>
        </w:rPr>
        <w:t>年</w:t>
      </w:r>
      <w:r>
        <w:rPr>
          <w:rFonts w:hint="eastAsia" w:ascii="宋体" w:hAnsi="宋体"/>
          <w:bCs/>
          <w:spacing w:val="-20"/>
          <w:sz w:val="32"/>
          <w:szCs w:val="32"/>
          <w:lang w:val="en-US" w:eastAsia="zh-CN"/>
        </w:rPr>
        <w:t>二</w:t>
      </w:r>
      <w:r>
        <w:rPr>
          <w:rFonts w:hint="eastAsia" w:ascii="宋体" w:hAnsi="宋体"/>
          <w:bCs/>
          <w:spacing w:val="-20"/>
          <w:sz w:val="32"/>
          <w:szCs w:val="32"/>
        </w:rPr>
        <w:t>月</w:t>
      </w:r>
    </w:p>
    <w:p w14:paraId="11148189">
      <w:pPr>
        <w:pageBreakBefore w:val="0"/>
        <w:kinsoku/>
        <w:wordWrap w:val="0"/>
        <w:overflowPunct/>
        <w:topLinePunct w:val="0"/>
        <w:bidi w:val="0"/>
        <w:adjustRightInd w:val="0"/>
        <w:snapToGrid w:val="0"/>
        <w:spacing w:line="360" w:lineRule="auto"/>
        <w:jc w:val="center"/>
        <w:rPr>
          <w:rFonts w:ascii="宋体" w:hAnsi="宋体" w:eastAsia="宋体" w:cs="宋体"/>
          <w:b/>
          <w:kern w:val="44"/>
          <w:sz w:val="32"/>
          <w:szCs w:val="32"/>
        </w:rPr>
      </w:pPr>
      <w:r>
        <w:rPr>
          <w:rFonts w:hint="eastAsia" w:ascii="宋体" w:hAnsi="宋体" w:eastAsia="宋体" w:cs="宋体"/>
          <w:b/>
          <w:kern w:val="44"/>
          <w:sz w:val="32"/>
          <w:szCs w:val="32"/>
        </w:rPr>
        <w:t>目  录</w:t>
      </w:r>
      <w:bookmarkEnd w:id="3"/>
      <w:bookmarkEnd w:id="4"/>
    </w:p>
    <w:p w14:paraId="53B26A2A">
      <w:pPr>
        <w:pStyle w:val="33"/>
        <w:pageBreakBefore w:val="0"/>
        <w:kinsoku/>
        <w:wordWrap w:val="0"/>
        <w:overflowPunct/>
        <w:topLinePunct w:val="0"/>
        <w:bidi w:val="0"/>
        <w:snapToGrid w:val="0"/>
        <w:spacing w:after="0" w:line="360" w:lineRule="auto"/>
        <w:rPr>
          <w:color w:val="auto"/>
        </w:rPr>
      </w:pPr>
    </w:p>
    <w:p w14:paraId="18D0AC56">
      <w:pPr>
        <w:pStyle w:val="11"/>
        <w:pageBreakBefore w:val="0"/>
        <w:tabs>
          <w:tab w:val="right" w:leader="dot" w:pos="9072"/>
        </w:tabs>
        <w:kinsoku/>
        <w:wordWrap w:val="0"/>
        <w:overflowPunct/>
        <w:topLinePunct w:val="0"/>
        <w:bidi w:val="0"/>
        <w:adjustRightInd w:val="0"/>
        <w:snapToGrid w:val="0"/>
        <w:spacing w:line="360" w:lineRule="auto"/>
        <w:rPr>
          <w:sz w:val="32"/>
          <w:szCs w:val="32"/>
        </w:rPr>
      </w:pPr>
      <w:r>
        <w:rPr>
          <w:rFonts w:hint="eastAsia" w:ascii="宋体" w:hAnsi="宋体" w:eastAsia="宋体" w:cs="宋体"/>
          <w:bCs/>
          <w:sz w:val="32"/>
          <w:szCs w:val="32"/>
        </w:rPr>
        <w:fldChar w:fldCharType="begin"/>
      </w:r>
      <w:r>
        <w:rPr>
          <w:rFonts w:hint="eastAsia" w:ascii="宋体" w:hAnsi="宋体" w:eastAsia="宋体" w:cs="宋体"/>
          <w:bCs/>
          <w:sz w:val="32"/>
          <w:szCs w:val="32"/>
        </w:rPr>
        <w:instrText xml:space="preserve">TOC \o "1-1" \h \u </w:instrText>
      </w:r>
      <w:r>
        <w:rPr>
          <w:rFonts w:hint="eastAsia" w:ascii="宋体" w:hAnsi="宋体" w:eastAsia="宋体" w:cs="宋体"/>
          <w:bCs/>
          <w:sz w:val="32"/>
          <w:szCs w:val="32"/>
        </w:rPr>
        <w:fldChar w:fldCharType="separate"/>
      </w:r>
      <w:r>
        <w:fldChar w:fldCharType="begin"/>
      </w:r>
      <w:r>
        <w:instrText xml:space="preserve"> HYPERLINK \l "_Toc8929" </w:instrText>
      </w:r>
      <w:r>
        <w:fldChar w:fldCharType="separate"/>
      </w:r>
      <w:r>
        <w:rPr>
          <w:rFonts w:hint="eastAsia" w:ascii="宋体" w:hAnsi="宋体" w:eastAsia="宋体" w:cs="宋体"/>
          <w:bCs/>
          <w:sz w:val="32"/>
          <w:szCs w:val="32"/>
        </w:rPr>
        <w:t>第一章 竞争性磋商公告</w:t>
      </w:r>
      <w:r>
        <w:rPr>
          <w:sz w:val="32"/>
          <w:szCs w:val="32"/>
        </w:rPr>
        <w:tab/>
      </w:r>
      <w:r>
        <w:rPr>
          <w:rFonts w:hint="eastAsia"/>
          <w:sz w:val="32"/>
          <w:szCs w:val="32"/>
          <w:lang w:val="en-US" w:eastAsia="zh-CN"/>
        </w:rPr>
        <w:t>1</w:t>
      </w:r>
      <w:r>
        <w:rPr>
          <w:sz w:val="32"/>
          <w:szCs w:val="32"/>
        </w:rPr>
        <w:fldChar w:fldCharType="end"/>
      </w:r>
    </w:p>
    <w:p w14:paraId="5EB5C202">
      <w:pPr>
        <w:pStyle w:val="11"/>
        <w:pageBreakBefore w:val="0"/>
        <w:tabs>
          <w:tab w:val="right" w:leader="dot" w:pos="9072"/>
        </w:tabs>
        <w:kinsoku/>
        <w:wordWrap w:val="0"/>
        <w:overflowPunct/>
        <w:topLinePunct w:val="0"/>
        <w:bidi w:val="0"/>
        <w:adjustRightInd w:val="0"/>
        <w:snapToGrid w:val="0"/>
        <w:spacing w:line="360" w:lineRule="auto"/>
        <w:rPr>
          <w:sz w:val="32"/>
          <w:szCs w:val="32"/>
        </w:rPr>
      </w:pPr>
      <w:r>
        <w:fldChar w:fldCharType="begin"/>
      </w:r>
      <w:r>
        <w:instrText xml:space="preserve"> HYPERLINK \l "_Toc7461" </w:instrText>
      </w:r>
      <w:r>
        <w:fldChar w:fldCharType="separate"/>
      </w:r>
      <w:r>
        <w:rPr>
          <w:rFonts w:hint="eastAsia" w:ascii="宋体" w:hAnsi="宋体" w:eastAsia="宋体" w:cs="宋体"/>
          <w:bCs/>
          <w:sz w:val="32"/>
          <w:szCs w:val="32"/>
        </w:rPr>
        <w:t>第二章 供应商须知</w:t>
      </w:r>
      <w:r>
        <w:rPr>
          <w:sz w:val="32"/>
          <w:szCs w:val="32"/>
        </w:rPr>
        <w:tab/>
      </w:r>
      <w:r>
        <w:rPr>
          <w:rFonts w:hint="eastAsia"/>
          <w:sz w:val="32"/>
          <w:szCs w:val="32"/>
          <w:lang w:val="en-US" w:eastAsia="zh-CN"/>
        </w:rPr>
        <w:t>7</w:t>
      </w:r>
      <w:r>
        <w:rPr>
          <w:rFonts w:hint="eastAsia"/>
          <w:sz w:val="32"/>
          <w:szCs w:val="32"/>
        </w:rPr>
        <w:fldChar w:fldCharType="end"/>
      </w:r>
    </w:p>
    <w:p w14:paraId="3E7E53CF">
      <w:pPr>
        <w:pStyle w:val="11"/>
        <w:pageBreakBefore w:val="0"/>
        <w:tabs>
          <w:tab w:val="right" w:leader="dot" w:pos="9072"/>
        </w:tabs>
        <w:kinsoku/>
        <w:wordWrap w:val="0"/>
        <w:overflowPunct/>
        <w:topLinePunct w:val="0"/>
        <w:bidi w:val="0"/>
        <w:adjustRightInd w:val="0"/>
        <w:snapToGrid w:val="0"/>
        <w:spacing w:line="360" w:lineRule="auto"/>
        <w:rPr>
          <w:rFonts w:hint="eastAsia" w:eastAsia="宋体"/>
          <w:sz w:val="32"/>
          <w:szCs w:val="32"/>
          <w:lang w:val="en-US" w:eastAsia="zh-CN"/>
        </w:rPr>
      </w:pPr>
      <w:r>
        <w:fldChar w:fldCharType="begin"/>
      </w:r>
      <w:r>
        <w:instrText xml:space="preserve"> HYPERLINK \l "_Toc18532" </w:instrText>
      </w:r>
      <w:r>
        <w:fldChar w:fldCharType="separate"/>
      </w:r>
      <w:r>
        <w:rPr>
          <w:rFonts w:hint="eastAsia" w:ascii="宋体" w:hAnsi="宋体" w:eastAsia="宋体" w:cs="宋体"/>
          <w:bCs/>
          <w:sz w:val="32"/>
          <w:szCs w:val="32"/>
        </w:rPr>
        <w:t xml:space="preserve">第三章 </w:t>
      </w:r>
      <w:r>
        <w:rPr>
          <w:rFonts w:hint="eastAsia" w:ascii="宋体" w:hAnsi="宋体" w:cs="宋体"/>
          <w:bCs/>
          <w:sz w:val="32"/>
          <w:szCs w:val="32"/>
          <w:lang w:eastAsia="zh-CN"/>
        </w:rPr>
        <w:t>评审标准</w:t>
      </w:r>
      <w:r>
        <w:rPr>
          <w:sz w:val="32"/>
          <w:szCs w:val="32"/>
        </w:rPr>
        <w:tab/>
      </w:r>
      <w:r>
        <w:rPr>
          <w:rFonts w:hint="eastAsia"/>
          <w:sz w:val="32"/>
          <w:szCs w:val="32"/>
          <w:lang w:val="en-US" w:eastAsia="zh-CN"/>
        </w:rPr>
        <w:t>2</w:t>
      </w:r>
      <w:r>
        <w:rPr>
          <w:sz w:val="32"/>
          <w:szCs w:val="32"/>
        </w:rPr>
        <w:fldChar w:fldCharType="end"/>
      </w:r>
      <w:r>
        <w:rPr>
          <w:rFonts w:hint="eastAsia"/>
          <w:sz w:val="32"/>
          <w:szCs w:val="32"/>
          <w:lang w:val="en-US" w:eastAsia="zh-CN"/>
        </w:rPr>
        <w:t>5</w:t>
      </w:r>
    </w:p>
    <w:p w14:paraId="5756F0A5">
      <w:pPr>
        <w:pStyle w:val="11"/>
        <w:pageBreakBefore w:val="0"/>
        <w:tabs>
          <w:tab w:val="right" w:leader="dot" w:pos="9072"/>
        </w:tabs>
        <w:kinsoku/>
        <w:wordWrap w:val="0"/>
        <w:overflowPunct/>
        <w:topLinePunct w:val="0"/>
        <w:bidi w:val="0"/>
        <w:adjustRightInd w:val="0"/>
        <w:snapToGrid w:val="0"/>
        <w:spacing w:line="360" w:lineRule="auto"/>
        <w:rPr>
          <w:rFonts w:hint="default" w:eastAsia="宋体"/>
          <w:sz w:val="32"/>
          <w:szCs w:val="32"/>
          <w:lang w:val="en-US" w:eastAsia="zh-CN"/>
        </w:rPr>
      </w:pPr>
      <w:r>
        <w:fldChar w:fldCharType="begin"/>
      </w:r>
      <w:r>
        <w:instrText xml:space="preserve"> HYPERLINK \l "_Toc6637" </w:instrText>
      </w:r>
      <w:r>
        <w:fldChar w:fldCharType="separate"/>
      </w:r>
      <w:r>
        <w:rPr>
          <w:rFonts w:hint="eastAsia" w:ascii="宋体" w:hAnsi="宋体" w:eastAsia="宋体" w:cs="宋体"/>
          <w:bCs/>
          <w:sz w:val="32"/>
          <w:szCs w:val="32"/>
        </w:rPr>
        <w:t xml:space="preserve">第四章 </w:t>
      </w:r>
      <w:r>
        <w:rPr>
          <w:rFonts w:hint="eastAsia" w:ascii="宋体" w:hAnsi="宋体" w:eastAsia="宋体" w:cs="宋体"/>
          <w:bCs/>
          <w:sz w:val="32"/>
          <w:szCs w:val="32"/>
          <w:lang w:val="zh-CN" w:eastAsia="zh-CN"/>
        </w:rPr>
        <w:t>合同条款及格式</w:t>
      </w:r>
      <w:r>
        <w:rPr>
          <w:sz w:val="32"/>
          <w:szCs w:val="32"/>
        </w:rPr>
        <w:tab/>
      </w:r>
      <w:r>
        <w:rPr>
          <w:sz w:val="32"/>
          <w:szCs w:val="32"/>
        </w:rPr>
        <w:fldChar w:fldCharType="end"/>
      </w:r>
      <w:r>
        <w:rPr>
          <w:rFonts w:hint="eastAsia"/>
          <w:sz w:val="32"/>
          <w:szCs w:val="32"/>
          <w:lang w:val="en-US" w:eastAsia="zh-CN"/>
        </w:rPr>
        <w:t>33</w:t>
      </w:r>
    </w:p>
    <w:p w14:paraId="6685CA60">
      <w:pPr>
        <w:pStyle w:val="11"/>
        <w:pageBreakBefore w:val="0"/>
        <w:tabs>
          <w:tab w:val="right" w:leader="dot" w:pos="9072"/>
        </w:tabs>
        <w:kinsoku/>
        <w:wordWrap w:val="0"/>
        <w:overflowPunct/>
        <w:topLinePunct w:val="0"/>
        <w:bidi w:val="0"/>
        <w:adjustRightInd w:val="0"/>
        <w:snapToGrid w:val="0"/>
        <w:spacing w:line="360" w:lineRule="auto"/>
        <w:rPr>
          <w:rFonts w:hint="default" w:eastAsia="宋体"/>
          <w:sz w:val="32"/>
          <w:szCs w:val="32"/>
          <w:lang w:val="en-US" w:eastAsia="zh-CN"/>
        </w:rPr>
      </w:pPr>
      <w:r>
        <w:fldChar w:fldCharType="begin"/>
      </w:r>
      <w:r>
        <w:instrText xml:space="preserve"> HYPERLINK \l "_Toc10207" </w:instrText>
      </w:r>
      <w:r>
        <w:fldChar w:fldCharType="separate"/>
      </w:r>
      <w:r>
        <w:rPr>
          <w:rFonts w:hint="eastAsia" w:ascii="宋体" w:hAnsi="宋体" w:eastAsia="宋体" w:cs="宋体"/>
          <w:bCs/>
          <w:sz w:val="32"/>
          <w:szCs w:val="32"/>
        </w:rPr>
        <w:t xml:space="preserve">第五章 </w:t>
      </w:r>
      <w:r>
        <w:rPr>
          <w:rFonts w:hint="eastAsia" w:ascii="宋体" w:hAnsi="宋体" w:cs="宋体"/>
          <w:bCs/>
          <w:kern w:val="2"/>
          <w:sz w:val="30"/>
          <w:szCs w:val="30"/>
        </w:rPr>
        <w:t>工程量清单</w:t>
      </w:r>
      <w:r>
        <w:rPr>
          <w:rFonts w:hint="eastAsia" w:ascii="宋体" w:hAnsi="宋体" w:cs="宋体"/>
          <w:bCs/>
          <w:kern w:val="2"/>
          <w:sz w:val="30"/>
          <w:szCs w:val="30"/>
          <w:lang w:eastAsia="zh-CN"/>
        </w:rPr>
        <w:t>及图纸</w:t>
      </w:r>
      <w:r>
        <w:rPr>
          <w:sz w:val="32"/>
          <w:szCs w:val="32"/>
        </w:rPr>
        <w:tab/>
      </w:r>
      <w:r>
        <w:rPr>
          <w:sz w:val="32"/>
          <w:szCs w:val="32"/>
        </w:rPr>
        <w:fldChar w:fldCharType="end"/>
      </w:r>
      <w:r>
        <w:rPr>
          <w:rFonts w:hint="eastAsia"/>
          <w:sz w:val="32"/>
          <w:szCs w:val="32"/>
          <w:lang w:val="en-US" w:eastAsia="zh-CN"/>
        </w:rPr>
        <w:t>52</w:t>
      </w:r>
    </w:p>
    <w:p w14:paraId="5A09F81A">
      <w:pPr>
        <w:pStyle w:val="11"/>
        <w:pageBreakBefore w:val="0"/>
        <w:tabs>
          <w:tab w:val="right" w:leader="dot" w:pos="9072"/>
        </w:tabs>
        <w:kinsoku/>
        <w:wordWrap w:val="0"/>
        <w:overflowPunct/>
        <w:topLinePunct w:val="0"/>
        <w:bidi w:val="0"/>
        <w:adjustRightInd w:val="0"/>
        <w:snapToGrid w:val="0"/>
        <w:spacing w:line="360" w:lineRule="auto"/>
        <w:rPr>
          <w:rFonts w:hint="default" w:eastAsia="宋体"/>
          <w:sz w:val="32"/>
          <w:szCs w:val="32"/>
          <w:lang w:val="en-US" w:eastAsia="zh-CN"/>
        </w:rPr>
      </w:pPr>
      <w:r>
        <w:fldChar w:fldCharType="begin"/>
      </w:r>
      <w:r>
        <w:instrText xml:space="preserve"> HYPERLINK \l "_Toc7428" </w:instrText>
      </w:r>
      <w:r>
        <w:fldChar w:fldCharType="separate"/>
      </w:r>
      <w:r>
        <w:rPr>
          <w:rFonts w:hint="eastAsia" w:ascii="宋体" w:hAnsi="宋体" w:eastAsia="宋体" w:cs="宋体"/>
          <w:bCs/>
          <w:sz w:val="32"/>
          <w:szCs w:val="32"/>
        </w:rPr>
        <w:t>第</w:t>
      </w:r>
      <w:r>
        <w:rPr>
          <w:rFonts w:hint="eastAsia" w:ascii="宋体" w:hAnsi="宋体" w:cs="宋体"/>
          <w:bCs/>
          <w:sz w:val="32"/>
          <w:szCs w:val="32"/>
          <w:lang w:eastAsia="zh-CN"/>
        </w:rPr>
        <w:t>六</w:t>
      </w:r>
      <w:r>
        <w:rPr>
          <w:rFonts w:hint="eastAsia" w:ascii="宋体" w:hAnsi="宋体" w:eastAsia="宋体" w:cs="宋体"/>
          <w:bCs/>
          <w:sz w:val="32"/>
          <w:szCs w:val="32"/>
        </w:rPr>
        <w:t>章 响应文件格式</w:t>
      </w:r>
      <w:r>
        <w:rPr>
          <w:sz w:val="32"/>
          <w:szCs w:val="32"/>
        </w:rPr>
        <w:tab/>
      </w:r>
      <w:r>
        <w:rPr>
          <w:sz w:val="32"/>
          <w:szCs w:val="32"/>
        </w:rPr>
        <w:fldChar w:fldCharType="end"/>
      </w:r>
      <w:r>
        <w:rPr>
          <w:rFonts w:hint="eastAsia"/>
          <w:sz w:val="32"/>
          <w:szCs w:val="32"/>
          <w:lang w:val="en-US" w:eastAsia="zh-CN"/>
        </w:rPr>
        <w:t>53</w:t>
      </w:r>
    </w:p>
    <w:p w14:paraId="3F473BC2">
      <w:pPr>
        <w:pageBreakBefore w:val="0"/>
        <w:kinsoku/>
        <w:wordWrap w:val="0"/>
        <w:overflowPunct/>
        <w:topLinePunct w:val="0"/>
        <w:bidi w:val="0"/>
        <w:adjustRightInd w:val="0"/>
        <w:snapToGrid w:val="0"/>
        <w:spacing w:line="360" w:lineRule="auto"/>
        <w:rPr>
          <w:rFonts w:ascii="宋体" w:hAnsi="宋体" w:eastAsia="宋体" w:cs="宋体"/>
          <w:b/>
          <w:bCs/>
          <w:sz w:val="30"/>
          <w:szCs w:val="30"/>
        </w:rPr>
      </w:pPr>
      <w:r>
        <w:rPr>
          <w:rFonts w:hint="eastAsia" w:ascii="宋体" w:hAnsi="宋体" w:eastAsia="宋体" w:cs="宋体"/>
          <w:bCs/>
          <w:sz w:val="32"/>
          <w:szCs w:val="32"/>
        </w:rPr>
        <w:fldChar w:fldCharType="end"/>
      </w:r>
    </w:p>
    <w:p w14:paraId="06F458BE">
      <w:pPr>
        <w:pageBreakBefore w:val="0"/>
        <w:kinsoku/>
        <w:wordWrap w:val="0"/>
        <w:overflowPunct/>
        <w:topLinePunct w:val="0"/>
        <w:bidi w:val="0"/>
        <w:adjustRightInd w:val="0"/>
        <w:snapToGrid w:val="0"/>
        <w:spacing w:line="360" w:lineRule="auto"/>
        <w:jc w:val="center"/>
        <w:rPr>
          <w:rFonts w:ascii="宋体" w:hAnsi="宋体" w:eastAsia="宋体" w:cs="宋体"/>
          <w:b/>
          <w:sz w:val="32"/>
          <w:szCs w:val="32"/>
        </w:rPr>
      </w:pPr>
    </w:p>
    <w:p w14:paraId="67C791D7">
      <w:pPr>
        <w:pageBreakBefore w:val="0"/>
        <w:shd w:val="clear" w:color="auto" w:fill="FFFFFF"/>
        <w:kinsoku/>
        <w:wordWrap w:val="0"/>
        <w:overflowPunct/>
        <w:topLinePunct w:val="0"/>
        <w:bidi w:val="0"/>
        <w:spacing w:line="600" w:lineRule="exact"/>
        <w:ind w:firstLine="360" w:firstLineChars="150"/>
        <w:jc w:val="center"/>
        <w:rPr>
          <w:rFonts w:ascii="宋体" w:hAnsi="宋体" w:cs="宋体"/>
          <w:sz w:val="24"/>
          <w:szCs w:val="24"/>
          <w:shd w:val="clear" w:color="auto" w:fill="FFFFFF"/>
        </w:rPr>
      </w:pPr>
    </w:p>
    <w:p w14:paraId="507B00B1">
      <w:pPr>
        <w:pageBreakBefore w:val="0"/>
        <w:kinsoku/>
        <w:wordWrap w:val="0"/>
        <w:overflowPunct/>
        <w:topLinePunct w:val="0"/>
        <w:bidi w:val="0"/>
        <w:spacing w:line="600" w:lineRule="exact"/>
        <w:jc w:val="center"/>
        <w:outlineLvl w:val="0"/>
        <w:rPr>
          <w:rFonts w:ascii="黑体" w:cs="宋体"/>
          <w:bCs/>
          <w:kern w:val="2"/>
          <w:sz w:val="24"/>
          <w:szCs w:val="24"/>
        </w:rPr>
        <w:sectPr>
          <w:headerReference r:id="rId5" w:type="default"/>
          <w:footerReference r:id="rId6" w:type="default"/>
          <w:pgSz w:w="11906" w:h="16838"/>
          <w:pgMar w:top="1135" w:right="1196" w:bottom="1135" w:left="1418" w:header="720" w:footer="720" w:gutter="0"/>
          <w:pgNumType w:fmt="decimal" w:start="1"/>
          <w:cols w:space="720" w:num="1"/>
          <w:docGrid w:type="lines" w:linePitch="312" w:charSpace="0"/>
        </w:sectPr>
      </w:pPr>
      <w:bookmarkStart w:id="6" w:name="_Toc16152"/>
      <w:bookmarkStart w:id="7" w:name="_Toc15562"/>
    </w:p>
    <w:p w14:paraId="65FB295F">
      <w:pPr>
        <w:keepNext w:val="0"/>
        <w:keepLines w:val="0"/>
        <w:pageBreakBefore w:val="0"/>
        <w:widowControl/>
        <w:kinsoku/>
        <w:wordWrap w:val="0"/>
        <w:overflowPunct/>
        <w:topLinePunct w:val="0"/>
        <w:autoSpaceDE/>
        <w:autoSpaceDN/>
        <w:bidi w:val="0"/>
        <w:spacing w:line="600" w:lineRule="exact"/>
        <w:ind w:firstLine="640" w:firstLineChars="200"/>
        <w:jc w:val="center"/>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第一章    竞争性磋商公告</w:t>
      </w:r>
      <w:bookmarkEnd w:id="6"/>
      <w:bookmarkEnd w:id="7"/>
    </w:p>
    <w:p w14:paraId="6D5738B6">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河南良智行工程管理咨询有限公司受卢氏县杜关镇人民政府的委托，就卢氏县2025年高标准农田建设项目（杜关镇）进行竞争性磋商，项目已具备磋商条件，欢迎符合资格条件的响应人参加磋商。</w:t>
      </w:r>
    </w:p>
    <w:p w14:paraId="0DF9DAD8">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一、项目概况</w:t>
      </w:r>
    </w:p>
    <w:p w14:paraId="7E51AA14">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1、采购人：卢氏县杜关镇人民政府</w:t>
      </w:r>
    </w:p>
    <w:p w14:paraId="1579D2D2">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2、项目名称：卢氏县2025年高标准农田建设项目（杜关镇）</w:t>
      </w:r>
    </w:p>
    <w:p w14:paraId="20CCD2F2">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3、项目编号：三卢竞磋采购-2026-10、LSGZ[2026]027-ZC020</w:t>
      </w:r>
    </w:p>
    <w:p w14:paraId="1B62161D">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bookmarkStart w:id="8" w:name="_Toc32606"/>
      <w:r>
        <w:rPr>
          <w:rFonts w:hint="eastAsia" w:ascii="宋体" w:hAnsi="宋体" w:eastAsia="宋体" w:cs="宋体"/>
          <w:color w:val="auto"/>
          <w:sz w:val="32"/>
          <w:szCs w:val="22"/>
          <w:lang w:val="en-US" w:eastAsia="zh-CN"/>
        </w:rPr>
        <w:t>4、标段划分：本项目不划分标段</w:t>
      </w:r>
    </w:p>
    <w:p w14:paraId="224F6458">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5、项目内容及规模：新建高标准农田面积1110亩；新建拦水堰2座，铺设PE地埋管道22.948km，阀门井37座，出水口250套；项目区公示牌1套（详见工程量清单内容）；</w:t>
      </w:r>
    </w:p>
    <w:p w14:paraId="102C3FB2">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6、招标控制价：￥1655682元</w:t>
      </w:r>
    </w:p>
    <w:p w14:paraId="2E6DEA00">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7、资金来源：财政资金，已落实</w:t>
      </w:r>
    </w:p>
    <w:p w14:paraId="253FA0E6">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8、计划工期：90日历天</w:t>
      </w:r>
    </w:p>
    <w:p w14:paraId="28D5F5C2">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9、质量要求：达到国家现行建设工程施工质量验收规范合格标准</w:t>
      </w:r>
    </w:p>
    <w:p w14:paraId="17ACC787">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10、建设地点：卢氏县杜关镇</w:t>
      </w:r>
    </w:p>
    <w:p w14:paraId="5201E29D">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11、磋商范围：竞争性磋商文件、工程量清单及图纸所包含的全部内容。</w:t>
      </w:r>
    </w:p>
    <w:p w14:paraId="3E30E936">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12、落实政府采购政策满足的资格要求：根据《政府采购促进中小企业发展管理办法》（财库〔2020〕46号）规定，本项目专门面向中小企业采购,同时响应人须提供《中小企业声明函》。</w:t>
      </w:r>
    </w:p>
    <w:p w14:paraId="11FFDFF2">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二、供应商资格要求</w:t>
      </w:r>
      <w:bookmarkEnd w:id="8"/>
    </w:p>
    <w:p w14:paraId="38935BF1">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bookmarkStart w:id="9" w:name="_Toc16513"/>
      <w:r>
        <w:rPr>
          <w:rFonts w:hint="eastAsia" w:ascii="宋体" w:hAnsi="宋体" w:eastAsia="宋体" w:cs="宋体"/>
          <w:color w:val="auto"/>
          <w:sz w:val="32"/>
          <w:szCs w:val="22"/>
          <w:lang w:val="en-US" w:eastAsia="zh-CN"/>
        </w:rPr>
        <w:t>1、在中华人民共和国境内注册且持有国家工商行政管理部门核发的真实有效的营业执照；</w:t>
      </w:r>
    </w:p>
    <w:p w14:paraId="1EE2CEB2">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 xml:space="preserve">2、供应商须具有水利水电工程施工总承包叁级及以上资质，具有有效的安全生产许可证，并在人员、设备、资金等方面具有相应的施工能力； </w:t>
      </w:r>
    </w:p>
    <w:p w14:paraId="539F812E">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3、拟派项目经理须具备水利水电工程专业二级及以上注册建造师资格，具有有效的安全生产考核证，为本单位员工（提供劳动合同），提供近半年连续三个月参加社会养老保险的缴费证明且未在其他在建工程项目中担任项目经理；</w:t>
      </w:r>
    </w:p>
    <w:p w14:paraId="47CCCA5C">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4、拟派技术负责人须具备工程相关专业中级及以上技术职称，提供近半年连续三个月参加社会养老保险的缴费证明；</w:t>
      </w:r>
    </w:p>
    <w:p w14:paraId="16AD3F99">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5、须提供企业近半年连续三个月（新成立的企业从成立之日起计算）依法缴纳税收的证明资料：主要是指缴纳增值税或企业所得税或企业附加税的完税证明，依法免税的投标响应人，应提供相应文件证明其依法免税；同时需提供企业法人、项目经理、被委托人近半年连续三个月（新成立企业从成立之日起计算）社保证明；</w:t>
      </w:r>
    </w:p>
    <w:p w14:paraId="5AEF2B9B">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6、具有良好的财务状况：供应商须提供近三年任意一年的经第三方审计机构出具的审计报告,供应商成立不满三年的提供公司成立以来第三方审计机构出具的审计报告，供应商成立不满一年的提供最近一个月的财务报表；</w:t>
      </w:r>
    </w:p>
    <w:p w14:paraId="5E167C05">
      <w:pPr>
        <w:keepNext w:val="0"/>
        <w:keepLines w:val="0"/>
        <w:pageBreakBefore w:val="0"/>
        <w:widowControl/>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kern w:val="0"/>
          <w:sz w:val="32"/>
          <w:szCs w:val="32"/>
        </w:rPr>
      </w:pPr>
      <w:r>
        <w:rPr>
          <w:rFonts w:hint="eastAsia" w:ascii="宋体" w:hAnsi="宋体" w:eastAsia="宋体" w:cs="宋体"/>
          <w:color w:val="auto"/>
          <w:sz w:val="32"/>
          <w:szCs w:val="22"/>
          <w:lang w:val="en-US" w:eastAsia="zh-CN"/>
        </w:rPr>
        <w:t>7、参加政府采购活动前3年内无商业贿赂、不正当竞争行为、骗取中标、严重</w:t>
      </w:r>
      <w:r>
        <w:rPr>
          <w:rFonts w:hint="eastAsia" w:ascii="宋体" w:hAnsi="宋体" w:eastAsia="宋体" w:cs="宋体"/>
          <w:kern w:val="0"/>
          <w:sz w:val="32"/>
          <w:szCs w:val="32"/>
        </w:rPr>
        <w:t>违约及重大工程质量等问题，提供企业注册地工商管理部门出具的无商业贿赂和不正当竞争行为的查询证明或供应商出具的承诺书（开具时间在有效期内）；</w:t>
      </w:r>
    </w:p>
    <w:p w14:paraId="63ABC2AD">
      <w:pPr>
        <w:keepNext w:val="0"/>
        <w:keepLines w:val="0"/>
        <w:pageBreakBefore w:val="0"/>
        <w:widowControl/>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kern w:val="0"/>
          <w:sz w:val="32"/>
          <w:szCs w:val="32"/>
        </w:rPr>
      </w:pPr>
      <w:r>
        <w:rPr>
          <w:rFonts w:hint="eastAsia" w:ascii="宋体" w:hAnsi="宋体" w:eastAsia="宋体" w:cs="宋体"/>
          <w:kern w:val="0"/>
          <w:sz w:val="32"/>
          <w:szCs w:val="32"/>
          <w:lang w:val="en-US" w:eastAsia="zh-CN"/>
        </w:rPr>
        <w:t>8、参加政府采购活动前3年内无行贿犯罪记录（提供《中国裁判文书网》查询结果网页截图或供应商自行承诺的无行贿犯罪承诺书，查询&lt;或承诺&gt;对象为“企业，法定代表人，项目经理”）</w:t>
      </w:r>
    </w:p>
    <w:p w14:paraId="4C497777">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9、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2C831415">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10、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p w14:paraId="39AB6E3F">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11、本项目实行资格后审；</w:t>
      </w:r>
    </w:p>
    <w:p w14:paraId="192ECD43">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12、本项目不接受联合体投标。</w:t>
      </w:r>
    </w:p>
    <w:p w14:paraId="6FA07743">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13、本项目专门面向中小企业采购,供应商须提供《中小企业声明函》；</w:t>
      </w:r>
    </w:p>
    <w:p w14:paraId="4546831F">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注：被列入失信被执行人及重大税收违法失信主体的企业做无效标处理。采购人或采购代理机构有权对供应商信用记录进行甄别和复查。</w:t>
      </w:r>
    </w:p>
    <w:p w14:paraId="352AF8CD">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三、磋商文件获取方式</w:t>
      </w:r>
      <w:bookmarkEnd w:id="9"/>
    </w:p>
    <w:p w14:paraId="688034ED">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bookmarkStart w:id="10" w:name="_Toc12451"/>
      <w:r>
        <w:rPr>
          <w:rFonts w:hint="eastAsia" w:ascii="宋体" w:hAnsi="宋体" w:eastAsia="宋体" w:cs="宋体"/>
          <w:color w:val="auto"/>
          <w:sz w:val="32"/>
          <w:szCs w:val="22"/>
          <w:lang w:val="en-US" w:eastAsia="zh-CN"/>
        </w:rPr>
        <w:t>1、本项目没有报名环节，供应商凭CA数字证书通过三门峡市公共资源交易中心网（网址：http://gzjy.smx.gov.cn/），点击交易平台选择“市场主体登录”，在所参与项目右侧点击参与投标，即可直接下载本项目招标文件及其相关资料；</w:t>
      </w:r>
    </w:p>
    <w:p w14:paraId="5ED7A78E">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具体操作请查看以下链接：http://gzjy.smx.gov.cn/bzzx/008001/moreinfo.html</w:t>
      </w:r>
    </w:p>
    <w:p w14:paraId="42C1EEDB">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办理CA证书http://gzjy.smx.gov.cn/bzzx/008001/moreinfo.html</w:t>
      </w:r>
    </w:p>
    <w:p w14:paraId="71C6A0DE">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2、文件下载时间：2026年3月</w:t>
      </w:r>
      <w:r>
        <w:rPr>
          <w:rFonts w:hint="eastAsia" w:ascii="宋体" w:hAnsi="宋体" w:cs="宋体"/>
          <w:color w:val="auto"/>
          <w:sz w:val="32"/>
          <w:szCs w:val="22"/>
          <w:lang w:val="en-US" w:eastAsia="zh-CN"/>
        </w:rPr>
        <w:t>4</w:t>
      </w:r>
      <w:r>
        <w:rPr>
          <w:rFonts w:hint="eastAsia" w:ascii="宋体" w:hAnsi="宋体" w:eastAsia="宋体" w:cs="宋体"/>
          <w:color w:val="auto"/>
          <w:sz w:val="32"/>
          <w:szCs w:val="22"/>
          <w:lang w:val="en-US" w:eastAsia="zh-CN"/>
        </w:rPr>
        <w:t>日08时00分至2026年3月16日08时40分；</w:t>
      </w:r>
    </w:p>
    <w:p w14:paraId="72B9C91E">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3、本项目为不见面开标项目。开标当日，供应商无需到开标现场参加开标会议，供应商应当在投标截止时间前，</w:t>
      </w:r>
      <w:r>
        <w:rPr>
          <w:rFonts w:hint="eastAsia" w:ascii="宋体" w:hAnsi="宋体" w:cs="宋体"/>
          <w:color w:val="auto"/>
          <w:sz w:val="32"/>
          <w:szCs w:val="22"/>
          <w:lang w:val="en-US" w:eastAsia="zh-CN"/>
        </w:rPr>
        <w:t>登录</w:t>
      </w:r>
      <w:r>
        <w:rPr>
          <w:rFonts w:hint="eastAsia" w:ascii="宋体" w:hAnsi="宋体" w:eastAsia="宋体" w:cs="宋体"/>
          <w:color w:val="auto"/>
          <w:sz w:val="32"/>
          <w:szCs w:val="22"/>
          <w:lang w:val="en-US" w:eastAsia="zh-CN"/>
        </w:rPr>
        <w:t>不见面开标大厅选择</w:t>
      </w:r>
      <w:r>
        <w:rPr>
          <w:rFonts w:hint="eastAsia" w:ascii="宋体" w:hAnsi="宋体" w:cs="宋体"/>
          <w:color w:val="auto"/>
          <w:sz w:val="32"/>
          <w:szCs w:val="22"/>
          <w:lang w:val="en-US" w:eastAsia="zh-CN"/>
        </w:rPr>
        <w:t>登录</w:t>
      </w:r>
      <w:r>
        <w:rPr>
          <w:rFonts w:hint="eastAsia" w:ascii="宋体" w:hAnsi="宋体" w:eastAsia="宋体" w:cs="宋体"/>
          <w:color w:val="auto"/>
          <w:sz w:val="32"/>
          <w:szCs w:val="22"/>
          <w:lang w:val="en-US" w:eastAsia="zh-CN"/>
        </w:rPr>
        <w:t>三门峡市公共资源电子招投标系统进行</w:t>
      </w:r>
      <w:r>
        <w:rPr>
          <w:rFonts w:hint="eastAsia" w:ascii="宋体" w:hAnsi="宋体" w:cs="宋体"/>
          <w:color w:val="auto"/>
          <w:sz w:val="32"/>
          <w:szCs w:val="22"/>
          <w:lang w:val="en-US" w:eastAsia="zh-CN"/>
        </w:rPr>
        <w:t>登录</w:t>
      </w:r>
      <w:r>
        <w:rPr>
          <w:rFonts w:hint="eastAsia" w:ascii="宋体" w:hAnsi="宋体" w:eastAsia="宋体" w:cs="宋体"/>
          <w:color w:val="auto"/>
          <w:sz w:val="32"/>
          <w:szCs w:val="22"/>
          <w:lang w:val="en-US" w:eastAsia="zh-CN"/>
        </w:rPr>
        <w:t>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4EA8420">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4、本项目为全电子招标，不再收取招标文件费用。</w:t>
      </w:r>
    </w:p>
    <w:p w14:paraId="4F62320B">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四、磋商保证金</w:t>
      </w:r>
      <w:bookmarkEnd w:id="10"/>
    </w:p>
    <w:p w14:paraId="457D2C7C">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bookmarkStart w:id="11" w:name="_Toc13329"/>
      <w:r>
        <w:rPr>
          <w:rFonts w:hint="eastAsia" w:ascii="宋体" w:hAnsi="宋体" w:eastAsia="宋体" w:cs="宋体"/>
          <w:color w:val="auto"/>
          <w:sz w:val="32"/>
          <w:szCs w:val="22"/>
          <w:lang w:val="en-US" w:eastAsia="zh-CN"/>
        </w:rPr>
        <w:t>按照《河南省财政厅关于优化政府采购营商环境有关问题的通知》（豫财购[2019]4号文）的要求本项目不再收取磋商保证金。</w:t>
      </w:r>
    </w:p>
    <w:p w14:paraId="2F41C2A7">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五、供应商资料的提交</w:t>
      </w:r>
      <w:bookmarkEnd w:id="11"/>
    </w:p>
    <w:p w14:paraId="5EBD94FA">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bookmarkStart w:id="12" w:name="_Toc8949"/>
      <w:r>
        <w:rPr>
          <w:rFonts w:hint="eastAsia" w:ascii="宋体" w:hAnsi="宋体" w:eastAsia="宋体" w:cs="宋体"/>
          <w:color w:val="auto"/>
          <w:sz w:val="32"/>
          <w:szCs w:val="22"/>
          <w:lang w:val="en-US" w:eastAsia="zh-CN"/>
        </w:rPr>
        <w:t>本项目实行资格后审，审查内容以投标截止时间前在三门峡市公共资源交易系统上传的投标文件的信息为准。其上传资料真实性由供应商自行承担，同时，供应商需要完善主体库信息。否则，由此造成应得分而未得分或资格审查不合格等情况的，由供应商承担责任。</w:t>
      </w:r>
    </w:p>
    <w:p w14:paraId="6D7E9B61">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六、</w:t>
      </w:r>
      <w:bookmarkEnd w:id="12"/>
      <w:r>
        <w:rPr>
          <w:rFonts w:hint="eastAsia" w:ascii="宋体" w:hAnsi="宋体" w:eastAsia="宋体" w:cs="宋体"/>
          <w:color w:val="auto"/>
          <w:sz w:val="32"/>
          <w:szCs w:val="22"/>
          <w:lang w:val="en-US" w:eastAsia="zh-CN"/>
        </w:rPr>
        <w:t>响应文件的递交截止时间及开评标地点</w:t>
      </w:r>
    </w:p>
    <w:p w14:paraId="1A2976E0">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1、磋商文件递交的截止时间（开标时间）为2026年3月16日08时40分；</w:t>
      </w:r>
    </w:p>
    <w:p w14:paraId="3B18D041">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2、开标地点：卢氏县公共资源交易中心四楼第二开标室；</w:t>
      </w:r>
    </w:p>
    <w:p w14:paraId="459B8C87">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3、评标地点：卢氏县公共资源交易中心二楼第二评标室。</w:t>
      </w:r>
    </w:p>
    <w:p w14:paraId="4EC29F53">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bookmarkStart w:id="13" w:name="_Toc19627"/>
      <w:r>
        <w:rPr>
          <w:rFonts w:hint="eastAsia" w:ascii="宋体" w:hAnsi="宋体" w:eastAsia="宋体" w:cs="宋体"/>
          <w:color w:val="auto"/>
          <w:sz w:val="32"/>
          <w:szCs w:val="22"/>
          <w:lang w:val="en-US" w:eastAsia="zh-CN"/>
        </w:rPr>
        <w:t>七、其他事项</w:t>
      </w:r>
      <w:bookmarkEnd w:id="13"/>
    </w:p>
    <w:p w14:paraId="0DE3E322">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1、供应商应仔细阅读操作手册，在本公告中要求的截止时间前完成。并充分考虑人为操作等因素，因供应商操作不当等问题造成的无法报名、无法下载磋商文件、无法投标等一切后果，由供应商自行承担；</w:t>
      </w:r>
    </w:p>
    <w:p w14:paraId="45A5D037">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2、投标所发生一切费用由各供应商自行承担，并承担相应的风险和责任；</w:t>
      </w:r>
    </w:p>
    <w:p w14:paraId="6DDF6542">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3、供应商递交的投标文件不论中标与否均不予退还。</w:t>
      </w:r>
    </w:p>
    <w:p w14:paraId="716A639D">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温馨提示：本项目为电子化、无纸化交易项目，开标时不再</w:t>
      </w:r>
      <w:r>
        <w:rPr>
          <w:rFonts w:hint="eastAsia" w:ascii="宋体" w:hAnsi="宋体" w:cs="宋体"/>
          <w:color w:val="auto"/>
          <w:sz w:val="32"/>
          <w:szCs w:val="22"/>
          <w:lang w:val="en-US" w:eastAsia="zh-CN"/>
        </w:rPr>
        <w:t>接收</w:t>
      </w:r>
      <w:r>
        <w:rPr>
          <w:rFonts w:hint="eastAsia" w:ascii="宋体" w:hAnsi="宋体" w:eastAsia="宋体" w:cs="宋体"/>
          <w:color w:val="auto"/>
          <w:sz w:val="32"/>
          <w:szCs w:val="22"/>
          <w:lang w:val="en-US" w:eastAsia="zh-CN"/>
        </w:rPr>
        <w:t>任何纸质资料，为保证您能投标成功，请需仔细阅读招标文件和三门峡市公共资源交易中心官网业务办理指南。</w:t>
      </w:r>
    </w:p>
    <w:p w14:paraId="3CE5D73E">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八、发布公告的媒介</w:t>
      </w:r>
    </w:p>
    <w:p w14:paraId="77D6B163">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本次磋商公告同时在《中国采购与招标网》、《河南省政府采购网》、《三门峡市公共资源交易中心网》上发布。</w:t>
      </w:r>
    </w:p>
    <w:p w14:paraId="03227224">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九、联系方式</w:t>
      </w:r>
    </w:p>
    <w:p w14:paraId="4C6832FE">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bookmarkStart w:id="14" w:name="_Toc6968"/>
      <w:bookmarkStart w:id="15" w:name="_Toc14037"/>
      <w:r>
        <w:rPr>
          <w:rFonts w:hint="eastAsia" w:ascii="宋体" w:hAnsi="宋体" w:eastAsia="宋体" w:cs="宋体"/>
          <w:color w:val="auto"/>
          <w:sz w:val="32"/>
          <w:szCs w:val="22"/>
          <w:lang w:val="en-US" w:eastAsia="zh-CN"/>
        </w:rPr>
        <w:t xml:space="preserve">监督单位：卢氏县政府采购办公室 </w:t>
      </w:r>
    </w:p>
    <w:p w14:paraId="621601B5">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联系人：郭亚楠</w:t>
      </w:r>
    </w:p>
    <w:p w14:paraId="474656B3">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电话：0398-7863556</w:t>
      </w:r>
    </w:p>
    <w:p w14:paraId="10242E32">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 xml:space="preserve">地址：卢氏县城关镇解放路中段 </w:t>
      </w:r>
    </w:p>
    <w:p w14:paraId="171C309A">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 xml:space="preserve">监督单位：卢氏县农业农村局 </w:t>
      </w:r>
    </w:p>
    <w:p w14:paraId="219806A6">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联系人：莫渊</w:t>
      </w:r>
    </w:p>
    <w:p w14:paraId="0AEDA3D2">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 xml:space="preserve">电话：13303986861、0398-7872655 </w:t>
      </w:r>
    </w:p>
    <w:p w14:paraId="1F107203">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地址：卢氏县西街二街坊 62 号</w:t>
      </w:r>
    </w:p>
    <w:p w14:paraId="61CAE720">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采购人：卢氏县杜关镇人民政府   </w:t>
      </w:r>
    </w:p>
    <w:p w14:paraId="3CC8E147">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姓名：陈展</w:t>
      </w:r>
    </w:p>
    <w:p w14:paraId="33CC20FB">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电话：15903981026</w:t>
      </w:r>
    </w:p>
    <w:p w14:paraId="5BE14577">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地址：卢氏县杜关镇杜关街</w:t>
      </w:r>
    </w:p>
    <w:p w14:paraId="3794EC8D">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招标代理：河南良智行工程管理咨询有限公司</w:t>
      </w:r>
    </w:p>
    <w:p w14:paraId="2A941D94">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联系人：陈瑞鸽</w:t>
      </w:r>
    </w:p>
    <w:p w14:paraId="1D19315F">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电话：13323983558</w:t>
      </w:r>
    </w:p>
    <w:p w14:paraId="625076F2">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宋体" w:hAnsi="宋体" w:eastAsia="宋体" w:cs="宋体"/>
          <w:color w:val="auto"/>
          <w:sz w:val="32"/>
          <w:szCs w:val="22"/>
          <w:lang w:val="en-US" w:eastAsia="zh-CN"/>
        </w:rPr>
      </w:pPr>
      <w:r>
        <w:rPr>
          <w:rFonts w:hint="eastAsia" w:ascii="宋体" w:hAnsi="宋体" w:eastAsia="宋体" w:cs="宋体"/>
          <w:color w:val="auto"/>
          <w:sz w:val="32"/>
          <w:szCs w:val="22"/>
          <w:lang w:val="en-US" w:eastAsia="zh-CN"/>
        </w:rPr>
        <w:t>地址：河南省郑州市惠济区江山路西、008乡道南弘泰小区1号楼1单元3层302号</w:t>
      </w:r>
    </w:p>
    <w:p w14:paraId="71C67330">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p>
    <w:p w14:paraId="4B08B571">
      <w:pPr>
        <w:pageBreakBefore w:val="0"/>
        <w:kinsoku/>
        <w:wordWrap w:val="0"/>
        <w:overflowPunct/>
        <w:topLinePunct w:val="0"/>
        <w:bidi w:val="0"/>
        <w:spacing w:line="600" w:lineRule="exact"/>
        <w:jc w:val="center"/>
        <w:outlineLvl w:val="0"/>
        <w:rPr>
          <w:rFonts w:ascii="宋体" w:hAnsi="宋体" w:cs="宋体"/>
          <w:bCs/>
          <w:kern w:val="2"/>
          <w:sz w:val="30"/>
          <w:szCs w:val="30"/>
        </w:rPr>
      </w:pPr>
      <w:r>
        <w:rPr>
          <w:rFonts w:hint="eastAsia" w:ascii="宋体" w:hAnsi="宋体" w:cs="宋体"/>
          <w:bCs/>
          <w:kern w:val="2"/>
          <w:sz w:val="30"/>
          <w:szCs w:val="30"/>
        </w:rPr>
        <w:t>第二章    供应商须知</w:t>
      </w:r>
      <w:bookmarkEnd w:id="14"/>
      <w:bookmarkEnd w:id="15"/>
    </w:p>
    <w:p w14:paraId="073D3F36">
      <w:pPr>
        <w:keepNext/>
        <w:keepLines/>
        <w:pageBreakBefore w:val="0"/>
        <w:widowControl w:val="0"/>
        <w:kinsoku/>
        <w:wordWrap w:val="0"/>
        <w:overflowPunct/>
        <w:topLinePunct w:val="0"/>
        <w:bidi w:val="0"/>
        <w:spacing w:line="600" w:lineRule="exact"/>
        <w:jc w:val="center"/>
        <w:outlineLvl w:val="1"/>
        <w:rPr>
          <w:rFonts w:ascii="宋体" w:hAnsi="宋体"/>
          <w:b/>
          <w:sz w:val="24"/>
          <w:szCs w:val="24"/>
        </w:rPr>
      </w:pPr>
      <w:bookmarkStart w:id="16" w:name="_Toc461977413"/>
      <w:bookmarkEnd w:id="16"/>
      <w:bookmarkStart w:id="17" w:name="_Toc5034"/>
      <w:bookmarkStart w:id="18" w:name="_Toc18723"/>
      <w:r>
        <w:rPr>
          <w:rFonts w:hint="eastAsia" w:ascii="宋体" w:hAnsi="宋体" w:cs="宋体"/>
          <w:b/>
          <w:kern w:val="2"/>
          <w:sz w:val="24"/>
          <w:szCs w:val="24"/>
        </w:rPr>
        <w:t>供应商须知前附表</w:t>
      </w:r>
      <w:bookmarkEnd w:id="17"/>
      <w:bookmarkEnd w:id="18"/>
    </w:p>
    <w:tbl>
      <w:tblPr>
        <w:tblStyle w:val="17"/>
        <w:tblW w:w="9810" w:type="dxa"/>
        <w:tblInd w:w="-224" w:type="dxa"/>
        <w:tblLayout w:type="fixed"/>
        <w:tblCellMar>
          <w:top w:w="0" w:type="dxa"/>
          <w:left w:w="108" w:type="dxa"/>
          <w:bottom w:w="0" w:type="dxa"/>
          <w:right w:w="108" w:type="dxa"/>
        </w:tblCellMar>
      </w:tblPr>
      <w:tblGrid>
        <w:gridCol w:w="772"/>
        <w:gridCol w:w="2715"/>
        <w:gridCol w:w="6323"/>
      </w:tblGrid>
      <w:tr w14:paraId="575C5733">
        <w:tblPrEx>
          <w:tblCellMar>
            <w:top w:w="0" w:type="dxa"/>
            <w:left w:w="108" w:type="dxa"/>
            <w:bottom w:w="0" w:type="dxa"/>
            <w:right w:w="108" w:type="dxa"/>
          </w:tblCellMar>
        </w:tblPrEx>
        <w:trPr>
          <w:cantSplit/>
          <w:trHeight w:val="697" w:hRule="atLeast"/>
        </w:trPr>
        <w:tc>
          <w:tcPr>
            <w:tcW w:w="772" w:type="dxa"/>
            <w:tcBorders>
              <w:top w:val="single" w:color="auto" w:sz="12" w:space="0"/>
              <w:left w:val="single" w:color="auto" w:sz="12" w:space="0"/>
              <w:bottom w:val="single" w:color="auto" w:sz="6" w:space="0"/>
              <w:right w:val="single" w:color="auto" w:sz="6" w:space="0"/>
            </w:tcBorders>
            <w:vAlign w:val="center"/>
          </w:tcPr>
          <w:p w14:paraId="00453561">
            <w:pPr>
              <w:pageBreakBefore w:val="0"/>
              <w:kinsoku/>
              <w:wordWrap w:val="0"/>
              <w:overflowPunct/>
              <w:topLinePunct w:val="0"/>
              <w:bidi w:val="0"/>
              <w:adjustRightInd w:val="0"/>
              <w:spacing w:line="600" w:lineRule="exact"/>
              <w:ind w:left="3" w:hanging="2" w:hangingChars="1"/>
              <w:jc w:val="center"/>
              <w:rPr>
                <w:rFonts w:ascii="宋体" w:hAnsi="宋体" w:cs="宋体"/>
                <w:spacing w:val="6"/>
                <w:kern w:val="2"/>
                <w:sz w:val="24"/>
                <w:szCs w:val="24"/>
              </w:rPr>
            </w:pPr>
            <w:r>
              <w:rPr>
                <w:rFonts w:ascii="宋体" w:hAnsi="宋体" w:cs="宋体"/>
                <w:spacing w:val="6"/>
                <w:kern w:val="2"/>
                <w:sz w:val="24"/>
                <w:szCs w:val="24"/>
              </w:rPr>
              <w:t>条款</w:t>
            </w:r>
          </w:p>
        </w:tc>
        <w:tc>
          <w:tcPr>
            <w:tcW w:w="2715" w:type="dxa"/>
            <w:tcBorders>
              <w:top w:val="single" w:color="auto" w:sz="12" w:space="0"/>
              <w:left w:val="single" w:color="auto" w:sz="6" w:space="0"/>
              <w:bottom w:val="single" w:color="auto" w:sz="6" w:space="0"/>
              <w:right w:val="single" w:color="auto" w:sz="6" w:space="0"/>
            </w:tcBorders>
            <w:vAlign w:val="center"/>
          </w:tcPr>
          <w:p w14:paraId="48914765">
            <w:pPr>
              <w:pageBreakBefore w:val="0"/>
              <w:kinsoku/>
              <w:wordWrap w:val="0"/>
              <w:overflowPunct/>
              <w:topLinePunct w:val="0"/>
              <w:bidi w:val="0"/>
              <w:adjustRightInd w:val="0"/>
              <w:spacing w:line="600" w:lineRule="exact"/>
              <w:ind w:left="3" w:hanging="2" w:hangingChars="1"/>
              <w:jc w:val="center"/>
              <w:rPr>
                <w:rFonts w:ascii="宋体" w:hAnsi="宋体" w:cs="宋体"/>
                <w:spacing w:val="6"/>
                <w:kern w:val="2"/>
                <w:sz w:val="24"/>
                <w:szCs w:val="24"/>
              </w:rPr>
            </w:pPr>
            <w:r>
              <w:rPr>
                <w:rFonts w:ascii="宋体" w:hAnsi="宋体" w:cs="宋体"/>
                <w:spacing w:val="6"/>
                <w:kern w:val="2"/>
                <w:sz w:val="24"/>
                <w:szCs w:val="24"/>
              </w:rPr>
              <w:t>条款号</w:t>
            </w:r>
          </w:p>
        </w:tc>
        <w:tc>
          <w:tcPr>
            <w:tcW w:w="6323" w:type="dxa"/>
            <w:tcBorders>
              <w:top w:val="single" w:color="auto" w:sz="12" w:space="0"/>
              <w:left w:val="single" w:color="auto" w:sz="6" w:space="0"/>
              <w:bottom w:val="single" w:color="auto" w:sz="6" w:space="0"/>
              <w:right w:val="single" w:color="auto" w:sz="12" w:space="0"/>
            </w:tcBorders>
            <w:vAlign w:val="center"/>
          </w:tcPr>
          <w:p w14:paraId="20EE739F">
            <w:pPr>
              <w:pageBreakBefore w:val="0"/>
              <w:kinsoku/>
              <w:wordWrap w:val="0"/>
              <w:overflowPunct/>
              <w:topLinePunct w:val="0"/>
              <w:bidi w:val="0"/>
              <w:adjustRightInd w:val="0"/>
              <w:spacing w:line="600" w:lineRule="exact"/>
              <w:ind w:left="3" w:hanging="2" w:hangingChars="1"/>
              <w:jc w:val="center"/>
              <w:rPr>
                <w:rFonts w:ascii="宋体" w:hAnsi="宋体" w:cs="宋体"/>
                <w:spacing w:val="6"/>
                <w:kern w:val="2"/>
                <w:sz w:val="24"/>
                <w:szCs w:val="24"/>
              </w:rPr>
            </w:pPr>
            <w:r>
              <w:rPr>
                <w:rFonts w:ascii="宋体" w:hAnsi="宋体" w:cs="宋体"/>
                <w:spacing w:val="6"/>
                <w:kern w:val="2"/>
                <w:sz w:val="24"/>
                <w:szCs w:val="24"/>
              </w:rPr>
              <w:t>编列内容</w:t>
            </w:r>
          </w:p>
        </w:tc>
      </w:tr>
      <w:tr w14:paraId="7A722E24">
        <w:tblPrEx>
          <w:tblCellMar>
            <w:top w:w="0" w:type="dxa"/>
            <w:left w:w="108" w:type="dxa"/>
            <w:bottom w:w="0" w:type="dxa"/>
            <w:right w:w="108" w:type="dxa"/>
          </w:tblCellMar>
        </w:tblPrEx>
        <w:trPr>
          <w:cantSplit/>
          <w:trHeight w:val="563" w:hRule="atLeast"/>
        </w:trPr>
        <w:tc>
          <w:tcPr>
            <w:tcW w:w="772" w:type="dxa"/>
            <w:tcBorders>
              <w:top w:val="single" w:color="auto" w:sz="6" w:space="0"/>
              <w:left w:val="single" w:color="auto" w:sz="12" w:space="0"/>
              <w:bottom w:val="single" w:color="auto" w:sz="6" w:space="0"/>
              <w:right w:val="single" w:color="auto" w:sz="6" w:space="0"/>
            </w:tcBorders>
            <w:vAlign w:val="center"/>
          </w:tcPr>
          <w:p w14:paraId="17AE6AFB">
            <w:pPr>
              <w:pageBreakBefore w:val="0"/>
              <w:widowControl w:val="0"/>
              <w:kinsoku/>
              <w:wordWrap w:val="0"/>
              <w:overflowPunct/>
              <w:topLinePunct w:val="0"/>
              <w:bidi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1</w:t>
            </w:r>
          </w:p>
        </w:tc>
        <w:tc>
          <w:tcPr>
            <w:tcW w:w="2715" w:type="dxa"/>
            <w:tcBorders>
              <w:top w:val="single" w:color="auto" w:sz="6" w:space="0"/>
              <w:left w:val="single" w:color="auto" w:sz="6" w:space="0"/>
              <w:bottom w:val="single" w:color="auto" w:sz="6" w:space="0"/>
              <w:right w:val="single" w:color="auto" w:sz="6" w:space="0"/>
            </w:tcBorders>
            <w:vAlign w:val="center"/>
          </w:tcPr>
          <w:p w14:paraId="3923E545">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采购人</w:t>
            </w:r>
          </w:p>
        </w:tc>
        <w:tc>
          <w:tcPr>
            <w:tcW w:w="6323" w:type="dxa"/>
            <w:tcBorders>
              <w:top w:val="single" w:color="auto" w:sz="6" w:space="0"/>
              <w:left w:val="single" w:color="auto" w:sz="6" w:space="0"/>
              <w:bottom w:val="single" w:color="auto" w:sz="6" w:space="0"/>
              <w:right w:val="single" w:color="auto" w:sz="12" w:space="0"/>
            </w:tcBorders>
            <w:vAlign w:val="center"/>
          </w:tcPr>
          <w:p w14:paraId="036F186D">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采购人：卢氏县杜关镇人民政府   </w:t>
            </w:r>
          </w:p>
          <w:p w14:paraId="5B2D8A94">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姓名：陈展</w:t>
            </w:r>
          </w:p>
          <w:p w14:paraId="7B749DB2">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电话：15903981026</w:t>
            </w:r>
          </w:p>
          <w:p w14:paraId="4E61E8AB">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地址：卢氏县杜关镇杜关街</w:t>
            </w:r>
          </w:p>
        </w:tc>
      </w:tr>
      <w:tr w14:paraId="58E76AD2">
        <w:tblPrEx>
          <w:tblCellMar>
            <w:top w:w="0" w:type="dxa"/>
            <w:left w:w="108" w:type="dxa"/>
            <w:bottom w:w="0" w:type="dxa"/>
            <w:right w:w="108" w:type="dxa"/>
          </w:tblCellMar>
        </w:tblPrEx>
        <w:trPr>
          <w:cantSplit/>
          <w:trHeight w:val="563" w:hRule="atLeast"/>
        </w:trPr>
        <w:tc>
          <w:tcPr>
            <w:tcW w:w="772" w:type="dxa"/>
            <w:tcBorders>
              <w:top w:val="single" w:color="auto" w:sz="6" w:space="0"/>
              <w:left w:val="single" w:color="auto" w:sz="12" w:space="0"/>
              <w:bottom w:val="single" w:color="auto" w:sz="6" w:space="0"/>
              <w:right w:val="single" w:color="auto" w:sz="6" w:space="0"/>
            </w:tcBorders>
            <w:vAlign w:val="center"/>
          </w:tcPr>
          <w:p w14:paraId="312FDDF6">
            <w:pPr>
              <w:pageBreakBefore w:val="0"/>
              <w:widowControl w:val="0"/>
              <w:kinsoku/>
              <w:wordWrap w:val="0"/>
              <w:overflowPunct/>
              <w:topLinePunct w:val="0"/>
              <w:bidi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2</w:t>
            </w:r>
          </w:p>
        </w:tc>
        <w:tc>
          <w:tcPr>
            <w:tcW w:w="2715" w:type="dxa"/>
            <w:tcBorders>
              <w:top w:val="single" w:color="auto" w:sz="6" w:space="0"/>
              <w:left w:val="single" w:color="auto" w:sz="6" w:space="0"/>
              <w:bottom w:val="single" w:color="auto" w:sz="6" w:space="0"/>
              <w:right w:val="single" w:color="auto" w:sz="6" w:space="0"/>
            </w:tcBorders>
            <w:vAlign w:val="center"/>
          </w:tcPr>
          <w:p w14:paraId="1FDAAA3C">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代理机构</w:t>
            </w:r>
          </w:p>
        </w:tc>
        <w:tc>
          <w:tcPr>
            <w:tcW w:w="6323" w:type="dxa"/>
            <w:tcBorders>
              <w:top w:val="single" w:color="auto" w:sz="6" w:space="0"/>
              <w:left w:val="single" w:color="auto" w:sz="6" w:space="0"/>
              <w:bottom w:val="single" w:color="auto" w:sz="6" w:space="0"/>
              <w:right w:val="single" w:color="auto" w:sz="12" w:space="0"/>
            </w:tcBorders>
            <w:vAlign w:val="center"/>
          </w:tcPr>
          <w:p w14:paraId="4CCAC02B">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招标代理：河南良智行工程管理咨询有限公司</w:t>
            </w:r>
          </w:p>
          <w:p w14:paraId="32BFBC26">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联系人：陈瑞鸽</w:t>
            </w:r>
          </w:p>
          <w:p w14:paraId="5E0626E0">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电话：13323983558</w:t>
            </w:r>
          </w:p>
          <w:p w14:paraId="052F63BD">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地址：河南省郑州市惠济区江山路西、008乡道南弘泰小区1号楼1单元3层302号</w:t>
            </w:r>
          </w:p>
        </w:tc>
      </w:tr>
      <w:tr w14:paraId="5DB68424">
        <w:tblPrEx>
          <w:tblCellMar>
            <w:top w:w="0" w:type="dxa"/>
            <w:left w:w="108" w:type="dxa"/>
            <w:bottom w:w="0" w:type="dxa"/>
            <w:right w:w="108" w:type="dxa"/>
          </w:tblCellMar>
        </w:tblPrEx>
        <w:trPr>
          <w:cantSplit/>
          <w:trHeight w:val="525" w:hRule="atLeast"/>
        </w:trPr>
        <w:tc>
          <w:tcPr>
            <w:tcW w:w="772" w:type="dxa"/>
            <w:tcBorders>
              <w:top w:val="single" w:color="auto" w:sz="6" w:space="0"/>
              <w:left w:val="single" w:color="auto" w:sz="12" w:space="0"/>
              <w:bottom w:val="single" w:color="auto" w:sz="6" w:space="0"/>
              <w:right w:val="single" w:color="auto" w:sz="6" w:space="0"/>
            </w:tcBorders>
            <w:vAlign w:val="center"/>
          </w:tcPr>
          <w:p w14:paraId="07428ADE">
            <w:pPr>
              <w:pageBreakBefore w:val="0"/>
              <w:widowControl w:val="0"/>
              <w:kinsoku/>
              <w:wordWrap w:val="0"/>
              <w:overflowPunct/>
              <w:topLinePunct w:val="0"/>
              <w:bidi w:val="0"/>
              <w:adjustRightInd w:val="0"/>
              <w:jc w:val="center"/>
              <w:rPr>
                <w:rFonts w:ascii="宋体" w:hAnsi="宋体" w:cs="宋体"/>
                <w:spacing w:val="6"/>
                <w:kern w:val="2"/>
                <w:sz w:val="24"/>
                <w:szCs w:val="24"/>
              </w:rPr>
            </w:pPr>
            <w:r>
              <w:rPr>
                <w:rFonts w:hint="eastAsia" w:ascii="宋体" w:hAnsi="宋体" w:cs="宋体"/>
                <w:spacing w:val="6"/>
                <w:kern w:val="2"/>
                <w:sz w:val="24"/>
                <w:szCs w:val="24"/>
              </w:rPr>
              <w:t>3</w:t>
            </w:r>
          </w:p>
        </w:tc>
        <w:tc>
          <w:tcPr>
            <w:tcW w:w="2715" w:type="dxa"/>
            <w:tcBorders>
              <w:top w:val="single" w:color="auto" w:sz="6" w:space="0"/>
              <w:left w:val="single" w:color="auto" w:sz="6" w:space="0"/>
              <w:bottom w:val="single" w:color="auto" w:sz="6" w:space="0"/>
              <w:right w:val="single" w:color="auto" w:sz="6" w:space="0"/>
            </w:tcBorders>
            <w:vAlign w:val="center"/>
          </w:tcPr>
          <w:p w14:paraId="73B19CA9">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项目名称</w:t>
            </w:r>
          </w:p>
        </w:tc>
        <w:tc>
          <w:tcPr>
            <w:tcW w:w="6323" w:type="dxa"/>
            <w:tcBorders>
              <w:top w:val="single" w:color="auto" w:sz="6" w:space="0"/>
              <w:left w:val="single" w:color="auto" w:sz="6" w:space="0"/>
              <w:bottom w:val="single" w:color="auto" w:sz="6" w:space="0"/>
              <w:right w:val="single" w:color="auto" w:sz="12" w:space="0"/>
            </w:tcBorders>
            <w:vAlign w:val="center"/>
          </w:tcPr>
          <w:p w14:paraId="60C9C6B4">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eastAsia="zh-CN"/>
              </w:rPr>
              <w:t>卢氏县2025年高标准农田建设项目（杜关镇）</w:t>
            </w:r>
          </w:p>
        </w:tc>
      </w:tr>
      <w:tr w14:paraId="46D59EA1">
        <w:tblPrEx>
          <w:tblCellMar>
            <w:top w:w="0" w:type="dxa"/>
            <w:left w:w="108" w:type="dxa"/>
            <w:bottom w:w="0" w:type="dxa"/>
            <w:right w:w="108" w:type="dxa"/>
          </w:tblCellMar>
        </w:tblPrEx>
        <w:trPr>
          <w:cantSplit/>
          <w:trHeight w:val="543" w:hRule="atLeast"/>
        </w:trPr>
        <w:tc>
          <w:tcPr>
            <w:tcW w:w="772" w:type="dxa"/>
            <w:tcBorders>
              <w:top w:val="single" w:color="auto" w:sz="6" w:space="0"/>
              <w:left w:val="single" w:color="auto" w:sz="12" w:space="0"/>
              <w:bottom w:val="single" w:color="auto" w:sz="6" w:space="0"/>
              <w:right w:val="single" w:color="auto" w:sz="6" w:space="0"/>
            </w:tcBorders>
            <w:vAlign w:val="center"/>
          </w:tcPr>
          <w:p w14:paraId="7D0C6916">
            <w:pPr>
              <w:pageBreakBefore w:val="0"/>
              <w:kinsoku/>
              <w:wordWrap w:val="0"/>
              <w:overflowPunct/>
              <w:topLinePunct w:val="0"/>
              <w:bidi w:val="0"/>
              <w:adjustRightInd w:val="0"/>
              <w:ind w:left="3" w:hanging="2" w:hangingChars="1"/>
              <w:jc w:val="center"/>
              <w:rPr>
                <w:rFonts w:ascii="宋体" w:hAnsi="宋体" w:cs="宋体"/>
                <w:spacing w:val="6"/>
                <w:kern w:val="2"/>
                <w:sz w:val="24"/>
                <w:szCs w:val="24"/>
              </w:rPr>
            </w:pPr>
            <w:r>
              <w:rPr>
                <w:rFonts w:hint="eastAsia" w:ascii="宋体" w:hAnsi="宋体" w:cs="宋体"/>
                <w:spacing w:val="6"/>
                <w:kern w:val="2"/>
                <w:sz w:val="24"/>
                <w:szCs w:val="24"/>
              </w:rPr>
              <w:t>4</w:t>
            </w:r>
          </w:p>
        </w:tc>
        <w:tc>
          <w:tcPr>
            <w:tcW w:w="2715" w:type="dxa"/>
            <w:tcBorders>
              <w:top w:val="single" w:color="auto" w:sz="6" w:space="0"/>
              <w:left w:val="single" w:color="auto" w:sz="6" w:space="0"/>
              <w:bottom w:val="single" w:color="auto" w:sz="6" w:space="0"/>
              <w:right w:val="single" w:color="auto" w:sz="6" w:space="0"/>
            </w:tcBorders>
            <w:vAlign w:val="center"/>
          </w:tcPr>
          <w:p w14:paraId="6DD765B3">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项目编号</w:t>
            </w:r>
          </w:p>
        </w:tc>
        <w:tc>
          <w:tcPr>
            <w:tcW w:w="6323" w:type="dxa"/>
            <w:tcBorders>
              <w:top w:val="single" w:color="auto" w:sz="6" w:space="0"/>
              <w:left w:val="single" w:color="auto" w:sz="6" w:space="0"/>
              <w:bottom w:val="single" w:color="auto" w:sz="6" w:space="0"/>
              <w:right w:val="single" w:color="auto" w:sz="12" w:space="0"/>
            </w:tcBorders>
            <w:vAlign w:val="center"/>
          </w:tcPr>
          <w:p w14:paraId="4EB51582">
            <w:pPr>
              <w:pageBreakBefore w:val="0"/>
              <w:kinsoku/>
              <w:wordWrap w:val="0"/>
              <w:overflowPunct/>
              <w:topLinePunct w:val="0"/>
              <w:bidi w:val="0"/>
              <w:spacing w:line="380" w:lineRule="exact"/>
              <w:jc w:val="left"/>
              <w:rPr>
                <w:rFonts w:hint="default" w:ascii="宋体" w:hAnsi="宋体" w:eastAsia="宋体" w:cs="宋体"/>
                <w:kern w:val="0"/>
                <w:sz w:val="21"/>
                <w:szCs w:val="21"/>
                <w:highlight w:val="none"/>
                <w:lang w:val="en-US" w:eastAsia="zh-CN"/>
              </w:rPr>
            </w:pPr>
            <w:r>
              <w:rPr>
                <w:rFonts w:hint="eastAsia" w:ascii="宋体" w:hAnsi="宋体" w:cs="宋体"/>
                <w:color w:val="auto"/>
                <w:kern w:val="0"/>
                <w:sz w:val="21"/>
                <w:szCs w:val="21"/>
                <w:highlight w:val="none"/>
                <w:lang w:eastAsia="zh-CN"/>
              </w:rPr>
              <w:t>三卢竞磋采购-2026-10</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LSGZ[2026]027-ZC020</w:t>
            </w:r>
          </w:p>
        </w:tc>
      </w:tr>
      <w:tr w14:paraId="73A7B1E1">
        <w:tblPrEx>
          <w:tblCellMar>
            <w:top w:w="0" w:type="dxa"/>
            <w:left w:w="108" w:type="dxa"/>
            <w:bottom w:w="0" w:type="dxa"/>
            <w:right w:w="108" w:type="dxa"/>
          </w:tblCellMar>
        </w:tblPrEx>
        <w:trPr>
          <w:cantSplit/>
          <w:trHeight w:val="490" w:hRule="atLeast"/>
        </w:trPr>
        <w:tc>
          <w:tcPr>
            <w:tcW w:w="772" w:type="dxa"/>
            <w:tcBorders>
              <w:top w:val="single" w:color="auto" w:sz="6" w:space="0"/>
              <w:left w:val="single" w:color="auto" w:sz="12" w:space="0"/>
              <w:bottom w:val="single" w:color="auto" w:sz="6" w:space="0"/>
              <w:right w:val="single" w:color="auto" w:sz="6" w:space="0"/>
            </w:tcBorders>
            <w:vAlign w:val="center"/>
          </w:tcPr>
          <w:p w14:paraId="6C82E287">
            <w:pPr>
              <w:pageBreakBefore w:val="0"/>
              <w:widowControl w:val="0"/>
              <w:kinsoku/>
              <w:wordWrap w:val="0"/>
              <w:overflowPunct/>
              <w:topLinePunct w:val="0"/>
              <w:bidi w:val="0"/>
              <w:adjustRightInd w:val="0"/>
              <w:jc w:val="center"/>
              <w:rPr>
                <w:rFonts w:ascii="宋体" w:hAnsi="宋体" w:cs="宋体"/>
                <w:spacing w:val="6"/>
                <w:kern w:val="2"/>
                <w:sz w:val="24"/>
                <w:szCs w:val="24"/>
              </w:rPr>
            </w:pPr>
            <w:r>
              <w:rPr>
                <w:rFonts w:hint="eastAsia" w:ascii="宋体" w:hAnsi="宋体" w:cs="宋体"/>
                <w:spacing w:val="6"/>
                <w:kern w:val="2"/>
                <w:sz w:val="24"/>
                <w:szCs w:val="24"/>
              </w:rPr>
              <w:t>5</w:t>
            </w:r>
          </w:p>
        </w:tc>
        <w:tc>
          <w:tcPr>
            <w:tcW w:w="2715" w:type="dxa"/>
            <w:tcBorders>
              <w:top w:val="single" w:color="auto" w:sz="6" w:space="0"/>
              <w:left w:val="single" w:color="auto" w:sz="6" w:space="0"/>
              <w:bottom w:val="single" w:color="auto" w:sz="6" w:space="0"/>
              <w:right w:val="single" w:color="auto" w:sz="6" w:space="0"/>
            </w:tcBorders>
            <w:vAlign w:val="center"/>
          </w:tcPr>
          <w:p w14:paraId="6BBBA315">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采购人</w:t>
            </w:r>
          </w:p>
        </w:tc>
        <w:tc>
          <w:tcPr>
            <w:tcW w:w="6323" w:type="dxa"/>
            <w:tcBorders>
              <w:top w:val="single" w:color="auto" w:sz="6" w:space="0"/>
              <w:left w:val="single" w:color="auto" w:sz="6" w:space="0"/>
              <w:bottom w:val="single" w:color="auto" w:sz="6" w:space="0"/>
              <w:right w:val="single" w:color="auto" w:sz="12" w:space="0"/>
            </w:tcBorders>
            <w:vAlign w:val="center"/>
          </w:tcPr>
          <w:p w14:paraId="1CD66E40">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卢氏县</w:t>
            </w:r>
            <w:r>
              <w:rPr>
                <w:rFonts w:hint="eastAsia" w:ascii="宋体" w:hAnsi="宋体" w:cs="宋体"/>
                <w:kern w:val="0"/>
                <w:sz w:val="21"/>
                <w:szCs w:val="21"/>
                <w:highlight w:val="none"/>
                <w:lang w:eastAsia="zh-CN"/>
              </w:rPr>
              <w:t>杜关镇</w:t>
            </w:r>
            <w:r>
              <w:rPr>
                <w:rFonts w:hint="eastAsia" w:ascii="宋体" w:hAnsi="宋体" w:eastAsia="宋体" w:cs="宋体"/>
                <w:kern w:val="0"/>
                <w:sz w:val="21"/>
                <w:szCs w:val="21"/>
                <w:highlight w:val="none"/>
                <w:lang w:eastAsia="zh-CN"/>
              </w:rPr>
              <w:t>人民政府</w:t>
            </w:r>
          </w:p>
        </w:tc>
      </w:tr>
      <w:tr w14:paraId="5E399996">
        <w:tblPrEx>
          <w:tblCellMar>
            <w:top w:w="0" w:type="dxa"/>
            <w:left w:w="108" w:type="dxa"/>
            <w:bottom w:w="0" w:type="dxa"/>
            <w:right w:w="108" w:type="dxa"/>
          </w:tblCellMar>
        </w:tblPrEx>
        <w:trPr>
          <w:cantSplit/>
          <w:trHeight w:val="840" w:hRule="atLeast"/>
        </w:trPr>
        <w:tc>
          <w:tcPr>
            <w:tcW w:w="772" w:type="dxa"/>
            <w:tcBorders>
              <w:top w:val="single" w:color="auto" w:sz="6" w:space="0"/>
              <w:left w:val="single" w:color="auto" w:sz="12" w:space="0"/>
              <w:bottom w:val="single" w:color="auto" w:sz="6" w:space="0"/>
              <w:right w:val="single" w:color="auto" w:sz="6" w:space="0"/>
            </w:tcBorders>
            <w:vAlign w:val="center"/>
          </w:tcPr>
          <w:p w14:paraId="56C414E6">
            <w:pPr>
              <w:pageBreakBefore w:val="0"/>
              <w:widowControl w:val="0"/>
              <w:kinsoku/>
              <w:wordWrap w:val="0"/>
              <w:overflowPunct/>
              <w:topLinePunct w:val="0"/>
              <w:bidi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6</w:t>
            </w:r>
          </w:p>
        </w:tc>
        <w:tc>
          <w:tcPr>
            <w:tcW w:w="2715" w:type="dxa"/>
            <w:tcBorders>
              <w:top w:val="single" w:color="auto" w:sz="6" w:space="0"/>
              <w:left w:val="single" w:color="auto" w:sz="6" w:space="0"/>
              <w:bottom w:val="single" w:color="auto" w:sz="6" w:space="0"/>
              <w:right w:val="single" w:color="auto" w:sz="6" w:space="0"/>
            </w:tcBorders>
            <w:vAlign w:val="center"/>
          </w:tcPr>
          <w:p w14:paraId="38640757">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项目内容及规模</w:t>
            </w:r>
          </w:p>
        </w:tc>
        <w:tc>
          <w:tcPr>
            <w:tcW w:w="6323" w:type="dxa"/>
            <w:tcBorders>
              <w:top w:val="single" w:color="auto" w:sz="6" w:space="0"/>
              <w:left w:val="single" w:color="auto" w:sz="6" w:space="0"/>
              <w:bottom w:val="single" w:color="auto" w:sz="6" w:space="0"/>
              <w:right w:val="single" w:color="auto" w:sz="12" w:space="0"/>
            </w:tcBorders>
            <w:vAlign w:val="center"/>
          </w:tcPr>
          <w:p w14:paraId="11AFA096">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新建高标准农田面积1110亩；新建拦水堰2座，铺设PE地埋管道22.948km，阀门井37座，出水口250套；项目区公示牌1套（详见工程量清单内容）</w:t>
            </w:r>
          </w:p>
        </w:tc>
      </w:tr>
      <w:tr w14:paraId="4712753E">
        <w:tblPrEx>
          <w:tblCellMar>
            <w:top w:w="0" w:type="dxa"/>
            <w:left w:w="108" w:type="dxa"/>
            <w:bottom w:w="0" w:type="dxa"/>
            <w:right w:w="108" w:type="dxa"/>
          </w:tblCellMar>
        </w:tblPrEx>
        <w:trPr>
          <w:trHeight w:val="579" w:hRule="atLeast"/>
        </w:trPr>
        <w:tc>
          <w:tcPr>
            <w:tcW w:w="772" w:type="dxa"/>
            <w:tcBorders>
              <w:top w:val="single" w:color="auto" w:sz="6" w:space="0"/>
              <w:left w:val="single" w:color="auto" w:sz="12" w:space="0"/>
              <w:bottom w:val="single" w:color="auto" w:sz="6" w:space="0"/>
              <w:right w:val="single" w:color="auto" w:sz="6" w:space="0"/>
            </w:tcBorders>
            <w:vAlign w:val="center"/>
          </w:tcPr>
          <w:p w14:paraId="556B62AD">
            <w:pPr>
              <w:pageBreakBefore w:val="0"/>
              <w:widowControl w:val="0"/>
              <w:kinsoku/>
              <w:wordWrap w:val="0"/>
              <w:overflowPunct/>
              <w:topLinePunct w:val="0"/>
              <w:bidi w:val="0"/>
              <w:adjustRightInd w:val="0"/>
              <w:jc w:val="center"/>
              <w:rPr>
                <w:rFonts w:ascii="宋体" w:hAnsi="宋体" w:cs="宋体"/>
                <w:spacing w:val="6"/>
                <w:kern w:val="2"/>
                <w:sz w:val="24"/>
                <w:szCs w:val="24"/>
              </w:rPr>
            </w:pPr>
            <w:r>
              <w:rPr>
                <w:rFonts w:hint="eastAsia" w:ascii="宋体" w:hAnsi="宋体" w:cs="宋体"/>
                <w:spacing w:val="6"/>
                <w:kern w:val="2"/>
                <w:sz w:val="24"/>
                <w:szCs w:val="24"/>
              </w:rPr>
              <w:t>7</w:t>
            </w:r>
          </w:p>
        </w:tc>
        <w:tc>
          <w:tcPr>
            <w:tcW w:w="2715" w:type="dxa"/>
            <w:tcBorders>
              <w:top w:val="single" w:color="auto" w:sz="6" w:space="0"/>
              <w:left w:val="single" w:color="auto" w:sz="6" w:space="0"/>
              <w:bottom w:val="single" w:color="auto" w:sz="6" w:space="0"/>
              <w:right w:val="single" w:color="auto" w:sz="6" w:space="0"/>
            </w:tcBorders>
            <w:vAlign w:val="center"/>
          </w:tcPr>
          <w:p w14:paraId="2348FCBF">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采购方式</w:t>
            </w:r>
          </w:p>
        </w:tc>
        <w:tc>
          <w:tcPr>
            <w:tcW w:w="6323" w:type="dxa"/>
            <w:tcBorders>
              <w:top w:val="single" w:color="auto" w:sz="6" w:space="0"/>
              <w:left w:val="single" w:color="auto" w:sz="6" w:space="0"/>
              <w:bottom w:val="single" w:color="auto" w:sz="6" w:space="0"/>
              <w:right w:val="single" w:color="auto" w:sz="12" w:space="0"/>
            </w:tcBorders>
            <w:vAlign w:val="center"/>
          </w:tcPr>
          <w:p w14:paraId="11C67179">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竞争性磋商</w:t>
            </w:r>
          </w:p>
        </w:tc>
      </w:tr>
      <w:tr w14:paraId="3FF1EA6C">
        <w:tblPrEx>
          <w:tblCellMar>
            <w:top w:w="0" w:type="dxa"/>
            <w:left w:w="108" w:type="dxa"/>
            <w:bottom w:w="0" w:type="dxa"/>
            <w:right w:w="108" w:type="dxa"/>
          </w:tblCellMar>
        </w:tblPrEx>
        <w:trPr>
          <w:trHeight w:val="552" w:hRule="atLeast"/>
        </w:trPr>
        <w:tc>
          <w:tcPr>
            <w:tcW w:w="772" w:type="dxa"/>
            <w:tcBorders>
              <w:top w:val="single" w:color="auto" w:sz="6" w:space="0"/>
              <w:left w:val="single" w:color="auto" w:sz="12" w:space="0"/>
              <w:bottom w:val="single" w:color="auto" w:sz="6" w:space="0"/>
              <w:right w:val="single" w:color="auto" w:sz="6" w:space="0"/>
            </w:tcBorders>
            <w:vAlign w:val="center"/>
          </w:tcPr>
          <w:p w14:paraId="3B42E0CF">
            <w:pPr>
              <w:pageBreakBefore w:val="0"/>
              <w:widowControl w:val="0"/>
              <w:kinsoku/>
              <w:wordWrap w:val="0"/>
              <w:overflowPunct/>
              <w:topLinePunct w:val="0"/>
              <w:bidi w:val="0"/>
              <w:adjustRightInd w:val="0"/>
              <w:jc w:val="center"/>
              <w:rPr>
                <w:rFonts w:ascii="宋体" w:hAnsi="宋体" w:cs="宋体"/>
                <w:spacing w:val="6"/>
                <w:kern w:val="2"/>
                <w:sz w:val="24"/>
                <w:szCs w:val="24"/>
              </w:rPr>
            </w:pPr>
            <w:r>
              <w:rPr>
                <w:rFonts w:hint="eastAsia" w:ascii="宋体" w:hAnsi="宋体" w:cs="宋体"/>
                <w:spacing w:val="6"/>
                <w:kern w:val="2"/>
                <w:sz w:val="24"/>
                <w:szCs w:val="24"/>
              </w:rPr>
              <w:t>8</w:t>
            </w:r>
          </w:p>
        </w:tc>
        <w:tc>
          <w:tcPr>
            <w:tcW w:w="2715" w:type="dxa"/>
            <w:tcBorders>
              <w:top w:val="single" w:color="auto" w:sz="6" w:space="0"/>
              <w:left w:val="single" w:color="auto" w:sz="6" w:space="0"/>
              <w:bottom w:val="single" w:color="auto" w:sz="6" w:space="0"/>
              <w:right w:val="single" w:color="auto" w:sz="6" w:space="0"/>
            </w:tcBorders>
            <w:vAlign w:val="center"/>
          </w:tcPr>
          <w:p w14:paraId="79FFCCD5">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质量要求</w:t>
            </w:r>
          </w:p>
        </w:tc>
        <w:tc>
          <w:tcPr>
            <w:tcW w:w="6323" w:type="dxa"/>
            <w:tcBorders>
              <w:top w:val="single" w:color="auto" w:sz="6" w:space="0"/>
              <w:left w:val="single" w:color="auto" w:sz="6" w:space="0"/>
              <w:bottom w:val="single" w:color="auto" w:sz="6" w:space="0"/>
              <w:right w:val="single" w:color="auto" w:sz="12" w:space="0"/>
            </w:tcBorders>
            <w:vAlign w:val="center"/>
          </w:tcPr>
          <w:p w14:paraId="2F18C906">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达到国家现行建设工程施工质量验收规范合格标准</w:t>
            </w:r>
          </w:p>
        </w:tc>
      </w:tr>
      <w:tr w14:paraId="0F78FC88">
        <w:tblPrEx>
          <w:tblCellMar>
            <w:top w:w="0" w:type="dxa"/>
            <w:left w:w="108" w:type="dxa"/>
            <w:bottom w:w="0" w:type="dxa"/>
            <w:right w:w="108" w:type="dxa"/>
          </w:tblCellMar>
        </w:tblPrEx>
        <w:trPr>
          <w:trHeight w:val="545" w:hRule="atLeast"/>
        </w:trPr>
        <w:tc>
          <w:tcPr>
            <w:tcW w:w="772" w:type="dxa"/>
            <w:tcBorders>
              <w:top w:val="single" w:color="auto" w:sz="6" w:space="0"/>
              <w:left w:val="single" w:color="auto" w:sz="12" w:space="0"/>
              <w:bottom w:val="single" w:color="auto" w:sz="6" w:space="0"/>
              <w:right w:val="single" w:color="auto" w:sz="6" w:space="0"/>
            </w:tcBorders>
            <w:vAlign w:val="center"/>
          </w:tcPr>
          <w:p w14:paraId="750D2C52">
            <w:pPr>
              <w:pageBreakBefore w:val="0"/>
              <w:kinsoku/>
              <w:wordWrap w:val="0"/>
              <w:overflowPunct/>
              <w:topLinePunct w:val="0"/>
              <w:bidi w:val="0"/>
              <w:adjustRightInd w:val="0"/>
              <w:ind w:left="3" w:hanging="2" w:hangingChars="1"/>
              <w:jc w:val="center"/>
              <w:rPr>
                <w:rFonts w:ascii="宋体" w:hAnsi="宋体" w:cs="宋体"/>
                <w:spacing w:val="6"/>
                <w:kern w:val="2"/>
                <w:sz w:val="24"/>
                <w:szCs w:val="24"/>
              </w:rPr>
            </w:pPr>
            <w:r>
              <w:rPr>
                <w:rFonts w:hint="eastAsia" w:ascii="宋体" w:hAnsi="宋体" w:cs="宋体"/>
                <w:spacing w:val="6"/>
                <w:kern w:val="2"/>
                <w:sz w:val="24"/>
                <w:szCs w:val="24"/>
              </w:rPr>
              <w:t>9</w:t>
            </w:r>
          </w:p>
        </w:tc>
        <w:tc>
          <w:tcPr>
            <w:tcW w:w="2715" w:type="dxa"/>
            <w:tcBorders>
              <w:top w:val="single" w:color="auto" w:sz="6" w:space="0"/>
              <w:left w:val="single" w:color="auto" w:sz="6" w:space="0"/>
              <w:bottom w:val="single" w:color="auto" w:sz="6" w:space="0"/>
              <w:right w:val="single" w:color="auto" w:sz="6" w:space="0"/>
            </w:tcBorders>
            <w:vAlign w:val="center"/>
          </w:tcPr>
          <w:p w14:paraId="5D70B43E">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计划工期</w:t>
            </w:r>
          </w:p>
        </w:tc>
        <w:tc>
          <w:tcPr>
            <w:tcW w:w="6323" w:type="dxa"/>
            <w:tcBorders>
              <w:top w:val="single" w:color="auto" w:sz="6" w:space="0"/>
              <w:left w:val="single" w:color="auto" w:sz="6" w:space="0"/>
              <w:bottom w:val="single" w:color="auto" w:sz="6" w:space="0"/>
              <w:right w:val="single" w:color="auto" w:sz="12" w:space="0"/>
            </w:tcBorders>
            <w:vAlign w:val="center"/>
          </w:tcPr>
          <w:p w14:paraId="78CB4413">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eastAsia="zh-CN"/>
              </w:rPr>
            </w:pPr>
            <w:r>
              <w:rPr>
                <w:rFonts w:hint="eastAsia" w:ascii="宋体" w:hAnsi="宋体" w:cs="宋体"/>
                <w:color w:val="auto"/>
                <w:kern w:val="0"/>
                <w:sz w:val="21"/>
                <w:szCs w:val="21"/>
                <w:highlight w:val="none"/>
                <w:lang w:val="en-US" w:eastAsia="zh-CN"/>
              </w:rPr>
              <w:t>90日历天</w:t>
            </w:r>
          </w:p>
        </w:tc>
      </w:tr>
      <w:tr w14:paraId="3200439E">
        <w:tblPrEx>
          <w:tblCellMar>
            <w:top w:w="0" w:type="dxa"/>
            <w:left w:w="108" w:type="dxa"/>
            <w:bottom w:w="0" w:type="dxa"/>
            <w:right w:w="108" w:type="dxa"/>
          </w:tblCellMar>
        </w:tblPrEx>
        <w:trPr>
          <w:trHeight w:val="621" w:hRule="atLeast"/>
        </w:trPr>
        <w:tc>
          <w:tcPr>
            <w:tcW w:w="772" w:type="dxa"/>
            <w:tcBorders>
              <w:top w:val="single" w:color="auto" w:sz="6" w:space="0"/>
              <w:left w:val="single" w:color="auto" w:sz="12" w:space="0"/>
              <w:bottom w:val="single" w:color="auto" w:sz="6" w:space="0"/>
              <w:right w:val="single" w:color="auto" w:sz="6" w:space="0"/>
            </w:tcBorders>
            <w:vAlign w:val="center"/>
          </w:tcPr>
          <w:p w14:paraId="484CA944">
            <w:pPr>
              <w:pageBreakBefore w:val="0"/>
              <w:widowControl w:val="0"/>
              <w:kinsoku/>
              <w:wordWrap w:val="0"/>
              <w:overflowPunct/>
              <w:topLinePunct w:val="0"/>
              <w:bidi w:val="0"/>
              <w:adjustRightInd w:val="0"/>
              <w:jc w:val="center"/>
              <w:rPr>
                <w:rFonts w:ascii="宋体" w:hAnsi="宋体" w:cs="宋体"/>
                <w:spacing w:val="6"/>
                <w:kern w:val="2"/>
                <w:sz w:val="24"/>
                <w:szCs w:val="24"/>
              </w:rPr>
            </w:pPr>
            <w:r>
              <w:rPr>
                <w:rFonts w:hint="eastAsia" w:ascii="宋体" w:hAnsi="宋体" w:cs="宋体"/>
                <w:spacing w:val="6"/>
                <w:kern w:val="2"/>
                <w:sz w:val="24"/>
                <w:szCs w:val="24"/>
              </w:rPr>
              <w:t>10</w:t>
            </w:r>
          </w:p>
        </w:tc>
        <w:tc>
          <w:tcPr>
            <w:tcW w:w="2715" w:type="dxa"/>
            <w:tcBorders>
              <w:top w:val="single" w:color="auto" w:sz="6" w:space="0"/>
              <w:left w:val="single" w:color="auto" w:sz="6" w:space="0"/>
              <w:bottom w:val="single" w:color="auto" w:sz="6" w:space="0"/>
              <w:right w:val="single" w:color="auto" w:sz="6" w:space="0"/>
            </w:tcBorders>
            <w:vAlign w:val="center"/>
          </w:tcPr>
          <w:p w14:paraId="11C06261">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资金来源</w:t>
            </w:r>
          </w:p>
        </w:tc>
        <w:tc>
          <w:tcPr>
            <w:tcW w:w="6323" w:type="dxa"/>
            <w:tcBorders>
              <w:top w:val="single" w:color="auto" w:sz="6" w:space="0"/>
              <w:left w:val="single" w:color="auto" w:sz="6" w:space="0"/>
              <w:bottom w:val="single" w:color="auto" w:sz="6" w:space="0"/>
              <w:right w:val="single" w:color="auto" w:sz="12" w:space="0"/>
            </w:tcBorders>
            <w:vAlign w:val="center"/>
          </w:tcPr>
          <w:p w14:paraId="18048D61">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财政资金</w:t>
            </w:r>
            <w:r>
              <w:rPr>
                <w:rFonts w:hint="eastAsia" w:ascii="宋体" w:hAnsi="宋体" w:eastAsia="宋体" w:cs="宋体"/>
                <w:kern w:val="0"/>
                <w:sz w:val="21"/>
                <w:szCs w:val="21"/>
                <w:highlight w:val="none"/>
              </w:rPr>
              <w:t>，已落实</w:t>
            </w:r>
          </w:p>
        </w:tc>
      </w:tr>
      <w:tr w14:paraId="34496C85">
        <w:tblPrEx>
          <w:tblCellMar>
            <w:top w:w="0" w:type="dxa"/>
            <w:left w:w="108" w:type="dxa"/>
            <w:bottom w:w="0" w:type="dxa"/>
            <w:right w:w="108" w:type="dxa"/>
          </w:tblCellMar>
        </w:tblPrEx>
        <w:trPr>
          <w:trHeight w:val="531" w:hRule="atLeast"/>
        </w:trPr>
        <w:tc>
          <w:tcPr>
            <w:tcW w:w="772" w:type="dxa"/>
            <w:tcBorders>
              <w:top w:val="single" w:color="auto" w:sz="6" w:space="0"/>
              <w:left w:val="single" w:color="auto" w:sz="12" w:space="0"/>
              <w:bottom w:val="single" w:color="auto" w:sz="6" w:space="0"/>
              <w:right w:val="single" w:color="auto" w:sz="6" w:space="0"/>
            </w:tcBorders>
            <w:vAlign w:val="center"/>
          </w:tcPr>
          <w:p w14:paraId="09620499">
            <w:pPr>
              <w:pageBreakBefore w:val="0"/>
              <w:widowControl w:val="0"/>
              <w:kinsoku/>
              <w:wordWrap w:val="0"/>
              <w:overflowPunct/>
              <w:topLinePunct w:val="0"/>
              <w:bidi w:val="0"/>
              <w:adjustRightInd w:val="0"/>
              <w:jc w:val="center"/>
              <w:rPr>
                <w:rFonts w:ascii="宋体" w:hAnsi="宋体" w:cs="宋体"/>
                <w:spacing w:val="6"/>
                <w:kern w:val="2"/>
                <w:sz w:val="24"/>
                <w:szCs w:val="24"/>
              </w:rPr>
            </w:pPr>
            <w:r>
              <w:rPr>
                <w:rFonts w:hint="eastAsia" w:ascii="宋体" w:hAnsi="宋体" w:cs="宋体"/>
                <w:spacing w:val="6"/>
                <w:kern w:val="2"/>
                <w:sz w:val="24"/>
                <w:szCs w:val="24"/>
              </w:rPr>
              <w:t>11</w:t>
            </w:r>
          </w:p>
        </w:tc>
        <w:tc>
          <w:tcPr>
            <w:tcW w:w="2715" w:type="dxa"/>
            <w:tcBorders>
              <w:top w:val="single" w:color="auto" w:sz="6" w:space="0"/>
              <w:left w:val="single" w:color="auto" w:sz="6" w:space="0"/>
              <w:bottom w:val="single" w:color="auto" w:sz="6" w:space="0"/>
              <w:right w:val="single" w:color="auto" w:sz="6" w:space="0"/>
            </w:tcBorders>
            <w:vAlign w:val="center"/>
          </w:tcPr>
          <w:p w14:paraId="75CCDC2B">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建设地点</w:t>
            </w:r>
          </w:p>
        </w:tc>
        <w:tc>
          <w:tcPr>
            <w:tcW w:w="6323" w:type="dxa"/>
            <w:tcBorders>
              <w:top w:val="single" w:color="auto" w:sz="6" w:space="0"/>
              <w:left w:val="single" w:color="auto" w:sz="6" w:space="0"/>
              <w:bottom w:val="single" w:color="auto" w:sz="6" w:space="0"/>
              <w:right w:val="single" w:color="auto" w:sz="12" w:space="0"/>
            </w:tcBorders>
            <w:vAlign w:val="center"/>
          </w:tcPr>
          <w:p w14:paraId="028591B1">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卢氏县</w:t>
            </w:r>
            <w:r>
              <w:rPr>
                <w:rFonts w:hint="eastAsia" w:ascii="宋体" w:hAnsi="宋体" w:cs="宋体"/>
                <w:kern w:val="0"/>
                <w:sz w:val="21"/>
                <w:szCs w:val="21"/>
                <w:highlight w:val="none"/>
                <w:lang w:eastAsia="zh-CN"/>
              </w:rPr>
              <w:t>杜关镇</w:t>
            </w:r>
          </w:p>
        </w:tc>
      </w:tr>
      <w:tr w14:paraId="0786D962">
        <w:tblPrEx>
          <w:tblCellMar>
            <w:top w:w="0" w:type="dxa"/>
            <w:left w:w="108" w:type="dxa"/>
            <w:bottom w:w="0" w:type="dxa"/>
            <w:right w:w="108" w:type="dxa"/>
          </w:tblCellMar>
        </w:tblPrEx>
        <w:trPr>
          <w:trHeight w:val="536" w:hRule="atLeast"/>
        </w:trPr>
        <w:tc>
          <w:tcPr>
            <w:tcW w:w="772" w:type="dxa"/>
            <w:tcBorders>
              <w:top w:val="single" w:color="auto" w:sz="6" w:space="0"/>
              <w:left w:val="single" w:color="auto" w:sz="12" w:space="0"/>
              <w:bottom w:val="single" w:color="auto" w:sz="6" w:space="0"/>
              <w:right w:val="single" w:color="auto" w:sz="6" w:space="0"/>
            </w:tcBorders>
            <w:vAlign w:val="center"/>
          </w:tcPr>
          <w:p w14:paraId="46D5808B">
            <w:pPr>
              <w:pageBreakBefore w:val="0"/>
              <w:widowControl w:val="0"/>
              <w:kinsoku/>
              <w:wordWrap w:val="0"/>
              <w:overflowPunct/>
              <w:topLinePunct w:val="0"/>
              <w:bidi w:val="0"/>
              <w:adjustRightInd w:val="0"/>
              <w:jc w:val="center"/>
              <w:rPr>
                <w:rFonts w:ascii="宋体" w:hAnsi="宋体" w:cs="宋体"/>
                <w:spacing w:val="6"/>
                <w:kern w:val="2"/>
                <w:sz w:val="24"/>
                <w:szCs w:val="24"/>
              </w:rPr>
            </w:pPr>
            <w:r>
              <w:rPr>
                <w:rFonts w:hint="eastAsia" w:ascii="宋体" w:hAnsi="宋体" w:cs="宋体"/>
                <w:spacing w:val="6"/>
                <w:kern w:val="2"/>
                <w:sz w:val="24"/>
                <w:szCs w:val="24"/>
              </w:rPr>
              <w:t>12</w:t>
            </w:r>
          </w:p>
        </w:tc>
        <w:tc>
          <w:tcPr>
            <w:tcW w:w="2715" w:type="dxa"/>
            <w:tcBorders>
              <w:top w:val="single" w:color="auto" w:sz="6" w:space="0"/>
              <w:left w:val="single" w:color="auto" w:sz="6" w:space="0"/>
              <w:bottom w:val="single" w:color="auto" w:sz="6" w:space="0"/>
              <w:right w:val="single" w:color="auto" w:sz="6" w:space="0"/>
            </w:tcBorders>
            <w:vAlign w:val="center"/>
          </w:tcPr>
          <w:p w14:paraId="015D6101">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eastAsia="zh-CN"/>
              </w:rPr>
              <w:t>招标控制价</w:t>
            </w:r>
          </w:p>
        </w:tc>
        <w:tc>
          <w:tcPr>
            <w:tcW w:w="6323" w:type="dxa"/>
            <w:tcBorders>
              <w:top w:val="single" w:color="auto" w:sz="6" w:space="0"/>
              <w:left w:val="single" w:color="auto" w:sz="6" w:space="0"/>
              <w:bottom w:val="single" w:color="auto" w:sz="6" w:space="0"/>
              <w:right w:val="single" w:color="auto" w:sz="12" w:space="0"/>
            </w:tcBorders>
            <w:vAlign w:val="center"/>
          </w:tcPr>
          <w:p w14:paraId="2C389D63">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cs="宋体"/>
                <w:kern w:val="0"/>
                <w:sz w:val="21"/>
                <w:szCs w:val="21"/>
                <w:highlight w:val="none"/>
                <w:lang w:eastAsia="zh-CN"/>
              </w:rPr>
              <w:t>招</w:t>
            </w:r>
            <w:r>
              <w:rPr>
                <w:rFonts w:hint="eastAsia" w:ascii="宋体" w:hAnsi="宋体" w:eastAsia="宋体" w:cs="宋体"/>
                <w:kern w:val="0"/>
                <w:sz w:val="21"/>
                <w:szCs w:val="21"/>
                <w:highlight w:val="none"/>
                <w:lang w:val="en-US" w:eastAsia="zh-CN"/>
              </w:rPr>
              <w:t>标控制价为￥1655682元，供应商报价超过招标控制价的，其磋商将被视为无效。</w:t>
            </w:r>
          </w:p>
        </w:tc>
      </w:tr>
      <w:tr w14:paraId="63ADF07B">
        <w:tblPrEx>
          <w:tblCellMar>
            <w:top w:w="0" w:type="dxa"/>
            <w:left w:w="108" w:type="dxa"/>
            <w:bottom w:w="0" w:type="dxa"/>
            <w:right w:w="108" w:type="dxa"/>
          </w:tblCellMar>
        </w:tblPrEx>
        <w:trPr>
          <w:trHeight w:val="536" w:hRule="atLeast"/>
        </w:trPr>
        <w:tc>
          <w:tcPr>
            <w:tcW w:w="772" w:type="dxa"/>
            <w:tcBorders>
              <w:top w:val="single" w:color="auto" w:sz="6" w:space="0"/>
              <w:left w:val="single" w:color="auto" w:sz="12" w:space="0"/>
              <w:bottom w:val="single" w:color="auto" w:sz="6" w:space="0"/>
              <w:right w:val="single" w:color="auto" w:sz="6" w:space="0"/>
            </w:tcBorders>
            <w:vAlign w:val="center"/>
          </w:tcPr>
          <w:p w14:paraId="3C75D578">
            <w:pPr>
              <w:pageBreakBefore w:val="0"/>
              <w:widowControl w:val="0"/>
              <w:kinsoku/>
              <w:wordWrap w:val="0"/>
              <w:overflowPunct/>
              <w:topLinePunct w:val="0"/>
              <w:bidi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13</w:t>
            </w:r>
          </w:p>
        </w:tc>
        <w:tc>
          <w:tcPr>
            <w:tcW w:w="2715" w:type="dxa"/>
            <w:tcBorders>
              <w:top w:val="single" w:color="auto" w:sz="6" w:space="0"/>
              <w:left w:val="single" w:color="auto" w:sz="6" w:space="0"/>
              <w:bottom w:val="single" w:color="auto" w:sz="6" w:space="0"/>
              <w:right w:val="single" w:color="auto" w:sz="6" w:space="0"/>
            </w:tcBorders>
            <w:vAlign w:val="center"/>
          </w:tcPr>
          <w:p w14:paraId="59CBA405">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磋商范围</w:t>
            </w:r>
          </w:p>
        </w:tc>
        <w:tc>
          <w:tcPr>
            <w:tcW w:w="6323" w:type="dxa"/>
            <w:tcBorders>
              <w:top w:val="single" w:color="auto" w:sz="6" w:space="0"/>
              <w:left w:val="single" w:color="auto" w:sz="6" w:space="0"/>
              <w:bottom w:val="single" w:color="auto" w:sz="6" w:space="0"/>
              <w:right w:val="single" w:color="auto" w:sz="12" w:space="0"/>
            </w:tcBorders>
            <w:vAlign w:val="center"/>
          </w:tcPr>
          <w:p w14:paraId="5ACA450E">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竞争性磋商文件、工程量清单及图纸所包含的全部内容。</w:t>
            </w:r>
          </w:p>
        </w:tc>
      </w:tr>
      <w:tr w14:paraId="0C9BBCEE">
        <w:tblPrEx>
          <w:tblCellMar>
            <w:top w:w="0" w:type="dxa"/>
            <w:left w:w="108" w:type="dxa"/>
            <w:bottom w:w="0" w:type="dxa"/>
            <w:right w:w="108" w:type="dxa"/>
          </w:tblCellMar>
        </w:tblPrEx>
        <w:trPr>
          <w:trHeight w:val="536" w:hRule="atLeast"/>
        </w:trPr>
        <w:tc>
          <w:tcPr>
            <w:tcW w:w="772" w:type="dxa"/>
            <w:tcBorders>
              <w:top w:val="single" w:color="auto" w:sz="6" w:space="0"/>
              <w:left w:val="single" w:color="auto" w:sz="12" w:space="0"/>
              <w:bottom w:val="single" w:color="auto" w:sz="6" w:space="0"/>
              <w:right w:val="single" w:color="auto" w:sz="6" w:space="0"/>
            </w:tcBorders>
            <w:vAlign w:val="center"/>
          </w:tcPr>
          <w:p w14:paraId="6F810FA5">
            <w:pPr>
              <w:pageBreakBefore w:val="0"/>
              <w:widowControl w:val="0"/>
              <w:kinsoku/>
              <w:wordWrap w:val="0"/>
              <w:overflowPunct/>
              <w:topLinePunct w:val="0"/>
              <w:bidi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14</w:t>
            </w:r>
          </w:p>
        </w:tc>
        <w:tc>
          <w:tcPr>
            <w:tcW w:w="2715" w:type="dxa"/>
            <w:tcBorders>
              <w:top w:val="single" w:color="auto" w:sz="6" w:space="0"/>
              <w:left w:val="single" w:color="auto" w:sz="6" w:space="0"/>
              <w:bottom w:val="single" w:color="auto" w:sz="6" w:space="0"/>
              <w:right w:val="single" w:color="auto" w:sz="6" w:space="0"/>
            </w:tcBorders>
            <w:vAlign w:val="center"/>
          </w:tcPr>
          <w:p w14:paraId="23365CC3">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供应商资质要求</w:t>
            </w:r>
          </w:p>
        </w:tc>
        <w:tc>
          <w:tcPr>
            <w:tcW w:w="6323" w:type="dxa"/>
            <w:tcBorders>
              <w:top w:val="single" w:color="auto" w:sz="6" w:space="0"/>
              <w:left w:val="single" w:color="auto" w:sz="6" w:space="0"/>
              <w:bottom w:val="single" w:color="auto" w:sz="6" w:space="0"/>
              <w:right w:val="single" w:color="auto" w:sz="12" w:space="0"/>
            </w:tcBorders>
            <w:vAlign w:val="center"/>
          </w:tcPr>
          <w:p w14:paraId="1D01480A">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1、在中华人民共和国境内注册且持有国家工商行政管理部门核发的真实有效的营业执照；</w:t>
            </w:r>
          </w:p>
          <w:p w14:paraId="11F8FC72">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 xml:space="preserve">2、供应商须具有水利水电工程施工总承包叁级及以上资质，具有有效的安全生产许可证，并在人员、设备、资金等方面具有相应的施工能力； </w:t>
            </w:r>
          </w:p>
          <w:p w14:paraId="21AC74D1">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拟派项目经理须具备水利水电工程专业二级及以上注册建造师资格，具有有效的安全生产考核证，为本单位员工（提供劳动合同），提供近半年连续三个月参加社会养老保险的缴费证明且未在其他在建工程项目中担任项目经理；</w:t>
            </w:r>
          </w:p>
          <w:p w14:paraId="299AC234">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4、拟派技术负责人须具备工程相关专业中级及以上技术职称，提供近半年连续三个月参加社会养老保险的缴费证明；</w:t>
            </w:r>
          </w:p>
          <w:p w14:paraId="1D893409">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须提供企业近半年连续三个月（新成立的企业从成立之日起计算）依法缴纳税收的证明资料：主要是指缴纳增值税或企业所得税或企业附加税的完税证明，依法免税的投标响应人，应提供相应文件证明其依法免税；同时需提供企业法人、项目经理、被委托人近半年连续三个月（新成立企业从成立之日起计算）社保证明；</w:t>
            </w:r>
          </w:p>
          <w:p w14:paraId="6FB5F33E">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具有良好的财务状况：供应商须提供近三年任意一年的经第三方审计机构出具的审计报告,供应商成立不满三年的提供公司成立以来第三方审计机构出具的审计报告，供应商成立不满一年的提供最近一个月的财务报表；</w:t>
            </w:r>
          </w:p>
          <w:p w14:paraId="7C929D6B">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7、参加政府采购活动前3年内无商业贿赂、不正当竞争行为、骗取中标、严重</w:t>
            </w:r>
            <w:r>
              <w:rPr>
                <w:rFonts w:hint="eastAsia" w:ascii="宋体" w:hAnsi="宋体" w:eastAsia="宋体" w:cs="宋体"/>
                <w:kern w:val="0"/>
                <w:sz w:val="21"/>
                <w:szCs w:val="21"/>
                <w:highlight w:val="none"/>
              </w:rPr>
              <w:t>违约及重大工程质量等问题，提供企业注册地工商管理部门出具的无商业贿赂和不正当竞争行为的查询证明或供应商出具的承诺书（开具时间在有效期内）；</w:t>
            </w:r>
          </w:p>
          <w:p w14:paraId="4CE3A2DF">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8、</w:t>
            </w:r>
            <w:r>
              <w:rPr>
                <w:rFonts w:hint="eastAsia" w:cs="宋体" w:asciiTheme="minorEastAsia" w:hAnsiTheme="minorEastAsia" w:eastAsiaTheme="minorEastAsia"/>
                <w:kern w:val="2"/>
                <w:sz w:val="24"/>
                <w:szCs w:val="24"/>
              </w:rPr>
              <w:t>参加政府采购活动前3年内无行贿犯罪记录（提供《中国裁判文书网》查询结果网页截图或供应商自行承诺的无行贿犯罪承诺书，查询&lt;或承诺&gt;对象为“企业，法定代表人，项目</w:t>
            </w:r>
            <w:r>
              <w:rPr>
                <w:rFonts w:hint="eastAsia" w:cs="宋体" w:asciiTheme="minorEastAsia" w:hAnsiTheme="minorEastAsia" w:eastAsiaTheme="minorEastAsia"/>
                <w:kern w:val="2"/>
                <w:sz w:val="24"/>
                <w:szCs w:val="24"/>
                <w:lang w:eastAsia="zh-CN"/>
              </w:rPr>
              <w:t>经理</w:t>
            </w:r>
            <w:r>
              <w:rPr>
                <w:rFonts w:hint="eastAsia" w:cs="宋体" w:asciiTheme="minorEastAsia" w:hAnsiTheme="minorEastAsia" w:eastAsiaTheme="minorEastAsia"/>
                <w:kern w:val="2"/>
                <w:sz w:val="24"/>
                <w:szCs w:val="24"/>
              </w:rPr>
              <w:t>”）</w:t>
            </w:r>
          </w:p>
          <w:p w14:paraId="7BEB0FDB">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22379E1D">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p w14:paraId="62CDC472">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11、本项目实行资格后审；</w:t>
            </w:r>
          </w:p>
          <w:p w14:paraId="58C8B8BB">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12、本项目不接受联合体投标。</w:t>
            </w:r>
          </w:p>
          <w:p w14:paraId="33143F73">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13、本项目专门面向中小企业采购,供应商须提供《中小企业声明函》；</w:t>
            </w:r>
          </w:p>
          <w:p w14:paraId="0FEE64CC">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注：被列入失信被执行人及重大税收违法失信主体的企业做无效标处理。采购人或采购代理机构有权对供应商信用记录进行甄别和复查。</w:t>
            </w:r>
          </w:p>
        </w:tc>
      </w:tr>
      <w:tr w14:paraId="6220329B">
        <w:tblPrEx>
          <w:tblCellMar>
            <w:top w:w="0" w:type="dxa"/>
            <w:left w:w="108" w:type="dxa"/>
            <w:bottom w:w="0" w:type="dxa"/>
            <w:right w:w="108" w:type="dxa"/>
          </w:tblCellMar>
        </w:tblPrEx>
        <w:trPr>
          <w:trHeight w:val="552" w:hRule="atLeast"/>
        </w:trPr>
        <w:tc>
          <w:tcPr>
            <w:tcW w:w="772" w:type="dxa"/>
            <w:tcBorders>
              <w:top w:val="single" w:color="auto" w:sz="6" w:space="0"/>
              <w:left w:val="single" w:color="auto" w:sz="12" w:space="0"/>
              <w:bottom w:val="single" w:color="auto" w:sz="6" w:space="0"/>
              <w:right w:val="single" w:color="auto" w:sz="6" w:space="0"/>
            </w:tcBorders>
            <w:vAlign w:val="center"/>
          </w:tcPr>
          <w:p w14:paraId="40234FEB">
            <w:pPr>
              <w:pageBreakBefore w:val="0"/>
              <w:shd w:val="clear" w:color="auto" w:fill="FFFFFF"/>
              <w:kinsoku/>
              <w:wordWrap w:val="0"/>
              <w:overflowPunct/>
              <w:topLinePunct w:val="0"/>
              <w:bidi w:val="0"/>
              <w:spacing w:line="600" w:lineRule="exact"/>
              <w:jc w:val="center"/>
              <w:rPr>
                <w:rFonts w:ascii="宋体" w:hAnsi="宋体" w:cs="宋体"/>
                <w:spacing w:val="6"/>
                <w:kern w:val="2"/>
                <w:sz w:val="24"/>
                <w:szCs w:val="24"/>
              </w:rPr>
            </w:pPr>
            <w:r>
              <w:rPr>
                <w:rFonts w:hint="eastAsia" w:ascii="宋体" w:hAnsi="宋体" w:cs="宋体"/>
                <w:color w:val="auto"/>
                <w:spacing w:val="6"/>
                <w:kern w:val="2"/>
                <w:sz w:val="24"/>
                <w:szCs w:val="24"/>
              </w:rPr>
              <w:t>15</w:t>
            </w:r>
          </w:p>
        </w:tc>
        <w:tc>
          <w:tcPr>
            <w:tcW w:w="2715" w:type="dxa"/>
            <w:tcBorders>
              <w:top w:val="single" w:color="auto" w:sz="6" w:space="0"/>
              <w:left w:val="single" w:color="auto" w:sz="6" w:space="0"/>
              <w:bottom w:val="single" w:color="auto" w:sz="6" w:space="0"/>
              <w:right w:val="single" w:color="auto" w:sz="6" w:space="0"/>
            </w:tcBorders>
            <w:vAlign w:val="center"/>
          </w:tcPr>
          <w:p w14:paraId="29327C60">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磋商保证金</w:t>
            </w:r>
          </w:p>
        </w:tc>
        <w:tc>
          <w:tcPr>
            <w:tcW w:w="6323" w:type="dxa"/>
            <w:tcBorders>
              <w:top w:val="single" w:color="auto" w:sz="6" w:space="0"/>
              <w:left w:val="single" w:color="auto" w:sz="6" w:space="0"/>
              <w:bottom w:val="single" w:color="auto" w:sz="6" w:space="0"/>
              <w:right w:val="single" w:color="auto" w:sz="12" w:space="0"/>
            </w:tcBorders>
            <w:vAlign w:val="center"/>
          </w:tcPr>
          <w:p w14:paraId="3AC49E57">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详见招标公告</w:t>
            </w:r>
          </w:p>
        </w:tc>
      </w:tr>
      <w:tr w14:paraId="37CD2649">
        <w:tblPrEx>
          <w:tblCellMar>
            <w:top w:w="0" w:type="dxa"/>
            <w:left w:w="108" w:type="dxa"/>
            <w:bottom w:w="0" w:type="dxa"/>
            <w:right w:w="108" w:type="dxa"/>
          </w:tblCellMar>
        </w:tblPrEx>
        <w:trPr>
          <w:trHeight w:val="552" w:hRule="atLeast"/>
        </w:trPr>
        <w:tc>
          <w:tcPr>
            <w:tcW w:w="772" w:type="dxa"/>
            <w:tcBorders>
              <w:top w:val="single" w:color="auto" w:sz="6" w:space="0"/>
              <w:left w:val="single" w:color="auto" w:sz="12" w:space="0"/>
              <w:bottom w:val="single" w:color="auto" w:sz="6" w:space="0"/>
              <w:right w:val="single" w:color="auto" w:sz="6" w:space="0"/>
            </w:tcBorders>
            <w:vAlign w:val="center"/>
          </w:tcPr>
          <w:p w14:paraId="1D4AD4F6">
            <w:pPr>
              <w:pageBreakBefore w:val="0"/>
              <w:widowControl w:val="0"/>
              <w:kinsoku/>
              <w:wordWrap w:val="0"/>
              <w:overflowPunct/>
              <w:topLinePunct w:val="0"/>
              <w:bidi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16</w:t>
            </w:r>
          </w:p>
        </w:tc>
        <w:tc>
          <w:tcPr>
            <w:tcW w:w="2715" w:type="dxa"/>
            <w:tcBorders>
              <w:top w:val="single" w:color="auto" w:sz="6" w:space="0"/>
              <w:left w:val="single" w:color="auto" w:sz="6" w:space="0"/>
              <w:bottom w:val="single" w:color="auto" w:sz="6" w:space="0"/>
              <w:right w:val="single" w:color="auto" w:sz="6" w:space="0"/>
            </w:tcBorders>
            <w:vAlign w:val="center"/>
          </w:tcPr>
          <w:p w14:paraId="75D64F6F">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是否接受联合体投标</w:t>
            </w:r>
          </w:p>
        </w:tc>
        <w:tc>
          <w:tcPr>
            <w:tcW w:w="6323" w:type="dxa"/>
            <w:tcBorders>
              <w:top w:val="single" w:color="auto" w:sz="6" w:space="0"/>
              <w:left w:val="single" w:color="auto" w:sz="6" w:space="0"/>
              <w:bottom w:val="single" w:color="auto" w:sz="6" w:space="0"/>
              <w:right w:val="single" w:color="auto" w:sz="12" w:space="0"/>
            </w:tcBorders>
            <w:vAlign w:val="center"/>
          </w:tcPr>
          <w:p w14:paraId="6CE62738">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不接受</w:t>
            </w:r>
          </w:p>
        </w:tc>
      </w:tr>
      <w:tr w14:paraId="0DB6E4A2">
        <w:tblPrEx>
          <w:tblCellMar>
            <w:top w:w="0" w:type="dxa"/>
            <w:left w:w="108" w:type="dxa"/>
            <w:bottom w:w="0" w:type="dxa"/>
            <w:right w:w="108" w:type="dxa"/>
          </w:tblCellMar>
        </w:tblPrEx>
        <w:trPr>
          <w:trHeight w:val="552" w:hRule="atLeast"/>
        </w:trPr>
        <w:tc>
          <w:tcPr>
            <w:tcW w:w="772" w:type="dxa"/>
            <w:tcBorders>
              <w:top w:val="single" w:color="auto" w:sz="6" w:space="0"/>
              <w:left w:val="single" w:color="auto" w:sz="12" w:space="0"/>
              <w:bottom w:val="single" w:color="auto" w:sz="6" w:space="0"/>
              <w:right w:val="single" w:color="auto" w:sz="6" w:space="0"/>
            </w:tcBorders>
            <w:vAlign w:val="center"/>
          </w:tcPr>
          <w:p w14:paraId="1845EE7D">
            <w:pPr>
              <w:pageBreakBefore w:val="0"/>
              <w:widowControl w:val="0"/>
              <w:kinsoku/>
              <w:wordWrap w:val="0"/>
              <w:overflowPunct/>
              <w:topLinePunct w:val="0"/>
              <w:bidi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17</w:t>
            </w:r>
          </w:p>
        </w:tc>
        <w:tc>
          <w:tcPr>
            <w:tcW w:w="2715" w:type="dxa"/>
            <w:tcBorders>
              <w:top w:val="single" w:color="auto" w:sz="6" w:space="0"/>
              <w:left w:val="single" w:color="auto" w:sz="6" w:space="0"/>
              <w:bottom w:val="single" w:color="auto" w:sz="6" w:space="0"/>
              <w:right w:val="single" w:color="auto" w:sz="6" w:space="0"/>
            </w:tcBorders>
            <w:vAlign w:val="center"/>
          </w:tcPr>
          <w:p w14:paraId="033E9384">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踏勘现场</w:t>
            </w:r>
          </w:p>
        </w:tc>
        <w:tc>
          <w:tcPr>
            <w:tcW w:w="6323" w:type="dxa"/>
            <w:tcBorders>
              <w:top w:val="single" w:color="auto" w:sz="6" w:space="0"/>
              <w:left w:val="single" w:color="auto" w:sz="6" w:space="0"/>
              <w:bottom w:val="single" w:color="auto" w:sz="6" w:space="0"/>
              <w:right w:val="single" w:color="auto" w:sz="12" w:space="0"/>
            </w:tcBorders>
            <w:vAlign w:val="center"/>
          </w:tcPr>
          <w:p w14:paraId="1108B549">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不组织</w:t>
            </w:r>
          </w:p>
        </w:tc>
      </w:tr>
      <w:tr w14:paraId="78417908">
        <w:tblPrEx>
          <w:tblCellMar>
            <w:top w:w="0" w:type="dxa"/>
            <w:left w:w="108" w:type="dxa"/>
            <w:bottom w:w="0" w:type="dxa"/>
            <w:right w:w="108" w:type="dxa"/>
          </w:tblCellMar>
        </w:tblPrEx>
        <w:trPr>
          <w:trHeight w:val="552" w:hRule="atLeast"/>
        </w:trPr>
        <w:tc>
          <w:tcPr>
            <w:tcW w:w="772" w:type="dxa"/>
            <w:tcBorders>
              <w:top w:val="single" w:color="auto" w:sz="6" w:space="0"/>
              <w:left w:val="single" w:color="auto" w:sz="12" w:space="0"/>
              <w:bottom w:val="single" w:color="auto" w:sz="6" w:space="0"/>
              <w:right w:val="single" w:color="auto" w:sz="6" w:space="0"/>
            </w:tcBorders>
            <w:vAlign w:val="center"/>
          </w:tcPr>
          <w:p w14:paraId="368317B6">
            <w:pPr>
              <w:pageBreakBefore w:val="0"/>
              <w:widowControl w:val="0"/>
              <w:kinsoku/>
              <w:wordWrap w:val="0"/>
              <w:overflowPunct/>
              <w:topLinePunct w:val="0"/>
              <w:bidi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18</w:t>
            </w:r>
          </w:p>
        </w:tc>
        <w:tc>
          <w:tcPr>
            <w:tcW w:w="2715" w:type="dxa"/>
            <w:tcBorders>
              <w:top w:val="single" w:color="auto" w:sz="6" w:space="0"/>
              <w:left w:val="single" w:color="auto" w:sz="6" w:space="0"/>
              <w:bottom w:val="single" w:color="auto" w:sz="6" w:space="0"/>
              <w:right w:val="single" w:color="auto" w:sz="6" w:space="0"/>
            </w:tcBorders>
            <w:vAlign w:val="center"/>
          </w:tcPr>
          <w:p w14:paraId="310D92BB">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投标预备会</w:t>
            </w:r>
          </w:p>
        </w:tc>
        <w:tc>
          <w:tcPr>
            <w:tcW w:w="6323" w:type="dxa"/>
            <w:tcBorders>
              <w:top w:val="single" w:color="auto" w:sz="6" w:space="0"/>
              <w:left w:val="single" w:color="auto" w:sz="6" w:space="0"/>
              <w:bottom w:val="single" w:color="auto" w:sz="6" w:space="0"/>
              <w:right w:val="single" w:color="auto" w:sz="12" w:space="0"/>
            </w:tcBorders>
            <w:vAlign w:val="center"/>
          </w:tcPr>
          <w:p w14:paraId="21C87DC9">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不召开</w:t>
            </w:r>
          </w:p>
        </w:tc>
      </w:tr>
      <w:tr w14:paraId="6464AAAF">
        <w:tblPrEx>
          <w:tblCellMar>
            <w:top w:w="0" w:type="dxa"/>
            <w:left w:w="108" w:type="dxa"/>
            <w:bottom w:w="0" w:type="dxa"/>
            <w:right w:w="108" w:type="dxa"/>
          </w:tblCellMar>
        </w:tblPrEx>
        <w:trPr>
          <w:trHeight w:val="552" w:hRule="atLeast"/>
        </w:trPr>
        <w:tc>
          <w:tcPr>
            <w:tcW w:w="772" w:type="dxa"/>
            <w:tcBorders>
              <w:top w:val="single" w:color="auto" w:sz="6" w:space="0"/>
              <w:left w:val="single" w:color="auto" w:sz="12" w:space="0"/>
              <w:bottom w:val="single" w:color="auto" w:sz="6" w:space="0"/>
              <w:right w:val="single" w:color="auto" w:sz="6" w:space="0"/>
            </w:tcBorders>
            <w:vAlign w:val="center"/>
          </w:tcPr>
          <w:p w14:paraId="126C24E2">
            <w:pPr>
              <w:pageBreakBefore w:val="0"/>
              <w:widowControl w:val="0"/>
              <w:kinsoku/>
              <w:wordWrap w:val="0"/>
              <w:overflowPunct/>
              <w:topLinePunct w:val="0"/>
              <w:bidi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19</w:t>
            </w:r>
          </w:p>
        </w:tc>
        <w:tc>
          <w:tcPr>
            <w:tcW w:w="2715" w:type="dxa"/>
            <w:tcBorders>
              <w:top w:val="single" w:color="auto" w:sz="6" w:space="0"/>
              <w:left w:val="single" w:color="auto" w:sz="6" w:space="0"/>
              <w:bottom w:val="single" w:color="auto" w:sz="6" w:space="0"/>
              <w:right w:val="single" w:color="auto" w:sz="6" w:space="0"/>
            </w:tcBorders>
            <w:vAlign w:val="center"/>
          </w:tcPr>
          <w:p w14:paraId="091492C2">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分包</w:t>
            </w:r>
          </w:p>
        </w:tc>
        <w:tc>
          <w:tcPr>
            <w:tcW w:w="6323" w:type="dxa"/>
            <w:tcBorders>
              <w:top w:val="single" w:color="auto" w:sz="6" w:space="0"/>
              <w:left w:val="single" w:color="auto" w:sz="6" w:space="0"/>
              <w:bottom w:val="single" w:color="auto" w:sz="6" w:space="0"/>
              <w:right w:val="single" w:color="auto" w:sz="12" w:space="0"/>
            </w:tcBorders>
            <w:vAlign w:val="center"/>
          </w:tcPr>
          <w:p w14:paraId="44F8352E">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不允许</w:t>
            </w:r>
          </w:p>
        </w:tc>
      </w:tr>
      <w:tr w14:paraId="3A791F0D">
        <w:tblPrEx>
          <w:tblCellMar>
            <w:top w:w="0" w:type="dxa"/>
            <w:left w:w="108" w:type="dxa"/>
            <w:bottom w:w="0" w:type="dxa"/>
            <w:right w:w="108" w:type="dxa"/>
          </w:tblCellMar>
        </w:tblPrEx>
        <w:trPr>
          <w:trHeight w:val="552" w:hRule="atLeast"/>
        </w:trPr>
        <w:tc>
          <w:tcPr>
            <w:tcW w:w="772" w:type="dxa"/>
            <w:tcBorders>
              <w:top w:val="single" w:color="auto" w:sz="6" w:space="0"/>
              <w:left w:val="single" w:color="auto" w:sz="12" w:space="0"/>
              <w:bottom w:val="single" w:color="auto" w:sz="6" w:space="0"/>
              <w:right w:val="single" w:color="auto" w:sz="6" w:space="0"/>
            </w:tcBorders>
            <w:vAlign w:val="center"/>
          </w:tcPr>
          <w:p w14:paraId="3F4C930A">
            <w:pPr>
              <w:pageBreakBefore w:val="0"/>
              <w:widowControl w:val="0"/>
              <w:kinsoku/>
              <w:wordWrap w:val="0"/>
              <w:overflowPunct/>
              <w:topLinePunct w:val="0"/>
              <w:bidi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20</w:t>
            </w:r>
          </w:p>
        </w:tc>
        <w:tc>
          <w:tcPr>
            <w:tcW w:w="2715" w:type="dxa"/>
            <w:tcBorders>
              <w:top w:val="single" w:color="auto" w:sz="6" w:space="0"/>
              <w:left w:val="single" w:color="auto" w:sz="6" w:space="0"/>
              <w:bottom w:val="single" w:color="auto" w:sz="6" w:space="0"/>
              <w:right w:val="single" w:color="auto" w:sz="6" w:space="0"/>
            </w:tcBorders>
            <w:vAlign w:val="center"/>
          </w:tcPr>
          <w:p w14:paraId="4DD2BAC9">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供应商提出问题的截止时间</w:t>
            </w:r>
          </w:p>
        </w:tc>
        <w:tc>
          <w:tcPr>
            <w:tcW w:w="6323" w:type="dxa"/>
            <w:tcBorders>
              <w:top w:val="single" w:color="auto" w:sz="6" w:space="0"/>
              <w:left w:val="single" w:color="auto" w:sz="6" w:space="0"/>
              <w:bottom w:val="single" w:color="auto" w:sz="6" w:space="0"/>
              <w:right w:val="single" w:color="auto" w:sz="12" w:space="0"/>
            </w:tcBorders>
            <w:vAlign w:val="center"/>
          </w:tcPr>
          <w:p w14:paraId="5DEBFAA4">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在磋商截止时间前5日</w:t>
            </w:r>
          </w:p>
        </w:tc>
      </w:tr>
      <w:tr w14:paraId="2C75BE09">
        <w:tblPrEx>
          <w:tblCellMar>
            <w:top w:w="0" w:type="dxa"/>
            <w:left w:w="108" w:type="dxa"/>
            <w:bottom w:w="0" w:type="dxa"/>
            <w:right w:w="108" w:type="dxa"/>
          </w:tblCellMar>
        </w:tblPrEx>
        <w:trPr>
          <w:trHeight w:val="326" w:hRule="atLeast"/>
        </w:trPr>
        <w:tc>
          <w:tcPr>
            <w:tcW w:w="772" w:type="dxa"/>
            <w:tcBorders>
              <w:top w:val="single" w:color="auto" w:sz="6" w:space="0"/>
              <w:left w:val="single" w:color="auto" w:sz="12" w:space="0"/>
              <w:bottom w:val="single" w:color="auto" w:sz="4" w:space="0"/>
              <w:right w:val="single" w:color="auto" w:sz="6" w:space="0"/>
            </w:tcBorders>
            <w:vAlign w:val="center"/>
          </w:tcPr>
          <w:p w14:paraId="6055457E">
            <w:pPr>
              <w:pageBreakBefore w:val="0"/>
              <w:widowControl w:val="0"/>
              <w:kinsoku/>
              <w:wordWrap w:val="0"/>
              <w:overflowPunct/>
              <w:topLinePunct w:val="0"/>
              <w:bidi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21</w:t>
            </w:r>
          </w:p>
        </w:tc>
        <w:tc>
          <w:tcPr>
            <w:tcW w:w="2715" w:type="dxa"/>
            <w:tcBorders>
              <w:top w:val="single" w:color="auto" w:sz="6" w:space="0"/>
              <w:left w:val="single" w:color="auto" w:sz="6" w:space="0"/>
              <w:bottom w:val="single" w:color="auto" w:sz="4" w:space="0"/>
              <w:right w:val="single" w:color="auto" w:sz="6" w:space="0"/>
            </w:tcBorders>
            <w:vAlign w:val="center"/>
          </w:tcPr>
          <w:p w14:paraId="3E224446">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采购人书面澄清的时间</w:t>
            </w:r>
          </w:p>
        </w:tc>
        <w:tc>
          <w:tcPr>
            <w:tcW w:w="6323" w:type="dxa"/>
            <w:tcBorders>
              <w:top w:val="single" w:color="auto" w:sz="6" w:space="0"/>
              <w:left w:val="single" w:color="auto" w:sz="6" w:space="0"/>
              <w:bottom w:val="single" w:color="auto" w:sz="4" w:space="0"/>
              <w:right w:val="single" w:color="auto" w:sz="12" w:space="0"/>
            </w:tcBorders>
            <w:vAlign w:val="center"/>
          </w:tcPr>
          <w:p w14:paraId="3DB34C5A">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在磋商截止时间前5日</w:t>
            </w:r>
          </w:p>
        </w:tc>
      </w:tr>
      <w:tr w14:paraId="72C505A1">
        <w:tblPrEx>
          <w:tblCellMar>
            <w:top w:w="0" w:type="dxa"/>
            <w:left w:w="108" w:type="dxa"/>
            <w:bottom w:w="0" w:type="dxa"/>
            <w:right w:w="108" w:type="dxa"/>
          </w:tblCellMar>
        </w:tblPrEx>
        <w:trPr>
          <w:trHeight w:val="146" w:hRule="atLeast"/>
        </w:trPr>
        <w:tc>
          <w:tcPr>
            <w:tcW w:w="772" w:type="dxa"/>
            <w:tcBorders>
              <w:top w:val="single" w:color="auto" w:sz="4" w:space="0"/>
              <w:left w:val="single" w:color="auto" w:sz="12" w:space="0"/>
              <w:bottom w:val="single" w:color="auto" w:sz="4" w:space="0"/>
              <w:right w:val="single" w:color="auto" w:sz="6" w:space="0"/>
            </w:tcBorders>
            <w:vAlign w:val="center"/>
          </w:tcPr>
          <w:p w14:paraId="688B2A7C">
            <w:pPr>
              <w:pageBreakBefore w:val="0"/>
              <w:widowControl w:val="0"/>
              <w:kinsoku/>
              <w:wordWrap w:val="0"/>
              <w:overflowPunct/>
              <w:topLinePunct w:val="0"/>
              <w:bidi w:val="0"/>
              <w:adjustRightInd w:val="0"/>
              <w:spacing w:line="600" w:lineRule="exact"/>
              <w:jc w:val="center"/>
              <w:rPr>
                <w:rFonts w:hint="eastAsia" w:ascii="宋体" w:hAnsi="宋体" w:cs="宋体"/>
                <w:spacing w:val="6"/>
                <w:kern w:val="2"/>
                <w:sz w:val="24"/>
                <w:szCs w:val="24"/>
              </w:rPr>
            </w:pPr>
            <w:r>
              <w:rPr>
                <w:rFonts w:hint="eastAsia" w:ascii="宋体" w:hAnsi="宋体" w:cs="宋体"/>
                <w:spacing w:val="6"/>
                <w:kern w:val="2"/>
                <w:sz w:val="24"/>
                <w:szCs w:val="24"/>
              </w:rPr>
              <w:t>22</w:t>
            </w:r>
          </w:p>
        </w:tc>
        <w:tc>
          <w:tcPr>
            <w:tcW w:w="2715" w:type="dxa"/>
            <w:tcBorders>
              <w:top w:val="single" w:color="auto" w:sz="4" w:space="0"/>
              <w:left w:val="single" w:color="auto" w:sz="6" w:space="0"/>
              <w:bottom w:val="single" w:color="auto" w:sz="4" w:space="0"/>
              <w:right w:val="single" w:color="auto" w:sz="6" w:space="0"/>
            </w:tcBorders>
            <w:vAlign w:val="center"/>
          </w:tcPr>
          <w:p w14:paraId="3C6FB872">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供应商确认收到磋商文件的澄清时间</w:t>
            </w:r>
          </w:p>
        </w:tc>
        <w:tc>
          <w:tcPr>
            <w:tcW w:w="6323" w:type="dxa"/>
            <w:tcBorders>
              <w:top w:val="single" w:color="auto" w:sz="4" w:space="0"/>
              <w:left w:val="single" w:color="auto" w:sz="6" w:space="0"/>
              <w:bottom w:val="single" w:color="auto" w:sz="4" w:space="0"/>
              <w:right w:val="single" w:color="auto" w:sz="12" w:space="0"/>
            </w:tcBorders>
            <w:vAlign w:val="center"/>
          </w:tcPr>
          <w:p w14:paraId="24231383">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收到澄清后24小时内（已发出时间为准）</w:t>
            </w:r>
          </w:p>
        </w:tc>
      </w:tr>
      <w:tr w14:paraId="21F0B6D4">
        <w:tblPrEx>
          <w:tblCellMar>
            <w:top w:w="0" w:type="dxa"/>
            <w:left w:w="108" w:type="dxa"/>
            <w:bottom w:w="0" w:type="dxa"/>
            <w:right w:w="108" w:type="dxa"/>
          </w:tblCellMar>
        </w:tblPrEx>
        <w:trPr>
          <w:trHeight w:val="346" w:hRule="atLeast"/>
        </w:trPr>
        <w:tc>
          <w:tcPr>
            <w:tcW w:w="772" w:type="dxa"/>
            <w:tcBorders>
              <w:top w:val="single" w:color="auto" w:sz="4" w:space="0"/>
              <w:left w:val="single" w:color="auto" w:sz="12" w:space="0"/>
              <w:bottom w:val="single" w:color="auto" w:sz="4" w:space="0"/>
              <w:right w:val="single" w:color="auto" w:sz="6" w:space="0"/>
            </w:tcBorders>
            <w:vAlign w:val="center"/>
          </w:tcPr>
          <w:p w14:paraId="4269826A">
            <w:pPr>
              <w:pageBreakBefore w:val="0"/>
              <w:widowControl w:val="0"/>
              <w:kinsoku/>
              <w:wordWrap w:val="0"/>
              <w:overflowPunct/>
              <w:topLinePunct w:val="0"/>
              <w:bidi w:val="0"/>
              <w:adjustRightInd w:val="0"/>
              <w:spacing w:line="600" w:lineRule="exact"/>
              <w:jc w:val="center"/>
              <w:rPr>
                <w:rFonts w:hint="eastAsia" w:ascii="宋体" w:hAnsi="宋体" w:cs="宋体"/>
                <w:spacing w:val="6"/>
                <w:kern w:val="2"/>
                <w:sz w:val="24"/>
                <w:szCs w:val="24"/>
              </w:rPr>
            </w:pPr>
            <w:r>
              <w:rPr>
                <w:rFonts w:hint="eastAsia" w:ascii="宋体" w:hAnsi="宋体" w:cs="宋体"/>
                <w:spacing w:val="6"/>
                <w:kern w:val="2"/>
                <w:sz w:val="24"/>
                <w:szCs w:val="24"/>
              </w:rPr>
              <w:t>23</w:t>
            </w:r>
          </w:p>
        </w:tc>
        <w:tc>
          <w:tcPr>
            <w:tcW w:w="2715" w:type="dxa"/>
            <w:tcBorders>
              <w:top w:val="single" w:color="auto" w:sz="4" w:space="0"/>
              <w:left w:val="single" w:color="auto" w:sz="6" w:space="0"/>
              <w:bottom w:val="single" w:color="auto" w:sz="4" w:space="0"/>
              <w:right w:val="single" w:color="auto" w:sz="6" w:space="0"/>
            </w:tcBorders>
            <w:vAlign w:val="center"/>
          </w:tcPr>
          <w:p w14:paraId="54D22E90">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供应商确认收到磋商文件的修改时间</w:t>
            </w:r>
          </w:p>
        </w:tc>
        <w:tc>
          <w:tcPr>
            <w:tcW w:w="6323" w:type="dxa"/>
            <w:tcBorders>
              <w:top w:val="single" w:color="auto" w:sz="4" w:space="0"/>
              <w:left w:val="single" w:color="auto" w:sz="6" w:space="0"/>
              <w:bottom w:val="single" w:color="auto" w:sz="4" w:space="0"/>
              <w:right w:val="single" w:color="auto" w:sz="12" w:space="0"/>
            </w:tcBorders>
            <w:vAlign w:val="center"/>
          </w:tcPr>
          <w:p w14:paraId="3BB17CFA">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收到澄清后24小时内（已发出时间为准）</w:t>
            </w:r>
          </w:p>
        </w:tc>
      </w:tr>
      <w:tr w14:paraId="7B3D69A4">
        <w:tblPrEx>
          <w:tblCellMar>
            <w:top w:w="0" w:type="dxa"/>
            <w:left w:w="108" w:type="dxa"/>
            <w:bottom w:w="0" w:type="dxa"/>
            <w:right w:w="108" w:type="dxa"/>
          </w:tblCellMar>
        </w:tblPrEx>
        <w:trPr>
          <w:trHeight w:val="264" w:hRule="atLeast"/>
        </w:trPr>
        <w:tc>
          <w:tcPr>
            <w:tcW w:w="772" w:type="dxa"/>
            <w:tcBorders>
              <w:top w:val="single" w:color="auto" w:sz="4" w:space="0"/>
              <w:left w:val="single" w:color="auto" w:sz="12" w:space="0"/>
              <w:bottom w:val="single" w:color="auto" w:sz="6" w:space="0"/>
              <w:right w:val="single" w:color="auto" w:sz="6" w:space="0"/>
            </w:tcBorders>
            <w:vAlign w:val="center"/>
          </w:tcPr>
          <w:p w14:paraId="1D254E23">
            <w:pPr>
              <w:pageBreakBefore w:val="0"/>
              <w:widowControl w:val="0"/>
              <w:kinsoku/>
              <w:wordWrap w:val="0"/>
              <w:overflowPunct/>
              <w:topLinePunct w:val="0"/>
              <w:bidi w:val="0"/>
              <w:adjustRightInd w:val="0"/>
              <w:spacing w:line="600" w:lineRule="exact"/>
              <w:jc w:val="center"/>
              <w:rPr>
                <w:rFonts w:hint="eastAsia" w:ascii="宋体" w:hAnsi="宋体" w:cs="宋体"/>
                <w:spacing w:val="6"/>
                <w:kern w:val="2"/>
                <w:sz w:val="24"/>
                <w:szCs w:val="24"/>
              </w:rPr>
            </w:pPr>
            <w:r>
              <w:rPr>
                <w:rFonts w:hint="eastAsia" w:ascii="宋体" w:hAnsi="宋体" w:cs="宋体"/>
                <w:spacing w:val="6"/>
                <w:kern w:val="2"/>
                <w:sz w:val="24"/>
                <w:szCs w:val="24"/>
              </w:rPr>
              <w:t>24</w:t>
            </w:r>
          </w:p>
        </w:tc>
        <w:tc>
          <w:tcPr>
            <w:tcW w:w="2715" w:type="dxa"/>
            <w:tcBorders>
              <w:top w:val="single" w:color="auto" w:sz="4" w:space="0"/>
              <w:left w:val="single" w:color="auto" w:sz="6" w:space="0"/>
              <w:bottom w:val="single" w:color="auto" w:sz="6" w:space="0"/>
              <w:right w:val="single" w:color="auto" w:sz="6" w:space="0"/>
            </w:tcBorders>
            <w:shd w:val="clear" w:color="auto" w:fill="auto"/>
            <w:vAlign w:val="center"/>
          </w:tcPr>
          <w:p w14:paraId="38FAFBFF">
            <w:pPr>
              <w:pageBreakBefore w:val="0"/>
              <w:kinsoku/>
              <w:wordWrap w:val="0"/>
              <w:overflowPunct/>
              <w:topLinePunct w:val="0"/>
              <w:bidi w:val="0"/>
              <w:spacing w:line="360" w:lineRule="exact"/>
              <w:rPr>
                <w:rFonts w:hint="eastAsia" w:cs="Times New Roman" w:asciiTheme="minorEastAsia" w:hAnsiTheme="minorEastAsia" w:eastAsiaTheme="minorEastAsia"/>
                <w:color w:val="auto"/>
                <w:sz w:val="24"/>
                <w:szCs w:val="24"/>
                <w:lang w:val="en-US" w:eastAsia="zh-CN" w:bidi="ar-SA"/>
              </w:rPr>
            </w:pPr>
            <w:r>
              <w:rPr>
                <w:rFonts w:hint="eastAsia" w:ascii="宋体" w:hAnsi="宋体" w:eastAsia="宋体" w:cs="宋体"/>
                <w:color w:val="auto"/>
                <w:kern w:val="0"/>
                <w:sz w:val="21"/>
                <w:szCs w:val="21"/>
                <w:highlight w:val="none"/>
              </w:rPr>
              <w:t>磋商文件递交截止时间</w:t>
            </w:r>
          </w:p>
        </w:tc>
        <w:tc>
          <w:tcPr>
            <w:tcW w:w="6323" w:type="dxa"/>
            <w:tcBorders>
              <w:top w:val="single" w:color="auto" w:sz="4" w:space="0"/>
              <w:left w:val="single" w:color="auto" w:sz="6" w:space="0"/>
              <w:bottom w:val="single" w:color="auto" w:sz="6" w:space="0"/>
              <w:right w:val="single" w:color="auto" w:sz="12" w:space="0"/>
            </w:tcBorders>
            <w:shd w:val="clear" w:color="auto" w:fill="auto"/>
            <w:vAlign w:val="center"/>
          </w:tcPr>
          <w:p w14:paraId="0B2C7E12">
            <w:pPr>
              <w:pageBreakBefore w:val="0"/>
              <w:kinsoku/>
              <w:wordWrap w:val="0"/>
              <w:overflowPunct/>
              <w:topLinePunct w:val="0"/>
              <w:bidi w:val="0"/>
              <w:spacing w:line="360" w:lineRule="exact"/>
              <w:rPr>
                <w:rFonts w:hint="eastAsia" w:cs="Times New Roman" w:asciiTheme="minorEastAsia" w:hAnsiTheme="minorEastAsia" w:eastAsiaTheme="minorEastAsia"/>
                <w:color w:val="auto"/>
                <w:sz w:val="24"/>
                <w:szCs w:val="24"/>
                <w:lang w:val="en-US" w:eastAsia="zh-CN" w:bidi="ar-SA"/>
              </w:rPr>
            </w:pPr>
            <w:r>
              <w:rPr>
                <w:rFonts w:hint="eastAsia" w:asciiTheme="minorEastAsia" w:hAnsiTheme="minorEastAsia" w:eastAsiaTheme="minorEastAsia"/>
                <w:color w:val="auto"/>
                <w:sz w:val="24"/>
                <w:szCs w:val="24"/>
              </w:rPr>
              <w:t>202</w:t>
            </w:r>
            <w:r>
              <w:rPr>
                <w:rFonts w:hint="eastAsia" w:asciiTheme="minorEastAsia" w:hAnsiTheme="minorEastAsia" w:eastAsiaTheme="minorEastAsia"/>
                <w:color w:val="auto"/>
                <w:sz w:val="24"/>
                <w:szCs w:val="24"/>
                <w:lang w:val="en-US" w:eastAsia="zh-CN"/>
              </w:rPr>
              <w:t>6</w:t>
            </w: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lang w:val="en-US" w:eastAsia="zh-CN"/>
              </w:rPr>
              <w:t>3</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lang w:val="en-US" w:eastAsia="zh-CN"/>
              </w:rPr>
              <w:t>1</w:t>
            </w:r>
            <w:r>
              <w:rPr>
                <w:rFonts w:hint="eastAsia" w:asciiTheme="minorEastAsia" w:hAnsiTheme="minorEastAsia"/>
                <w:color w:val="auto"/>
                <w:sz w:val="24"/>
                <w:szCs w:val="24"/>
                <w:lang w:val="en-US" w:eastAsia="zh-CN"/>
              </w:rPr>
              <w:t>6</w:t>
            </w:r>
            <w:r>
              <w:rPr>
                <w:rFonts w:hint="eastAsia" w:asciiTheme="minorEastAsia" w:hAnsiTheme="minorEastAsia" w:eastAsiaTheme="minorEastAsia"/>
                <w:color w:val="auto"/>
                <w:sz w:val="24"/>
                <w:szCs w:val="24"/>
              </w:rPr>
              <w:t>日08时40分</w:t>
            </w:r>
          </w:p>
        </w:tc>
      </w:tr>
      <w:tr w14:paraId="391F9667">
        <w:tblPrEx>
          <w:tblCellMar>
            <w:top w:w="0" w:type="dxa"/>
            <w:left w:w="108" w:type="dxa"/>
            <w:bottom w:w="0" w:type="dxa"/>
            <w:right w:w="108" w:type="dxa"/>
          </w:tblCellMar>
        </w:tblPrEx>
        <w:trPr>
          <w:trHeight w:val="552" w:hRule="atLeast"/>
        </w:trPr>
        <w:tc>
          <w:tcPr>
            <w:tcW w:w="772" w:type="dxa"/>
            <w:tcBorders>
              <w:top w:val="single" w:color="auto" w:sz="6" w:space="0"/>
              <w:left w:val="single" w:color="auto" w:sz="12" w:space="0"/>
              <w:bottom w:val="single" w:color="auto" w:sz="6" w:space="0"/>
              <w:right w:val="single" w:color="auto" w:sz="6" w:space="0"/>
            </w:tcBorders>
            <w:vAlign w:val="center"/>
          </w:tcPr>
          <w:p w14:paraId="406E3D66">
            <w:pPr>
              <w:pageBreakBefore w:val="0"/>
              <w:widowControl w:val="0"/>
              <w:kinsoku/>
              <w:wordWrap w:val="0"/>
              <w:overflowPunct/>
              <w:topLinePunct w:val="0"/>
              <w:bidi w:val="0"/>
              <w:adjustRightInd w:val="0"/>
              <w:spacing w:line="600" w:lineRule="exact"/>
              <w:jc w:val="center"/>
              <w:rPr>
                <w:rFonts w:ascii="宋体" w:hAnsi="宋体" w:cs="宋体"/>
                <w:color w:val="auto"/>
                <w:spacing w:val="6"/>
                <w:kern w:val="2"/>
                <w:sz w:val="24"/>
                <w:szCs w:val="24"/>
              </w:rPr>
            </w:pPr>
            <w:r>
              <w:rPr>
                <w:rFonts w:hint="eastAsia" w:ascii="宋体" w:hAnsi="宋体" w:cs="宋体"/>
                <w:color w:val="auto"/>
                <w:spacing w:val="6"/>
                <w:kern w:val="2"/>
                <w:sz w:val="24"/>
                <w:szCs w:val="24"/>
              </w:rPr>
              <w:t>25</w:t>
            </w:r>
          </w:p>
        </w:tc>
        <w:tc>
          <w:tcPr>
            <w:tcW w:w="2715" w:type="dxa"/>
            <w:tcBorders>
              <w:top w:val="single" w:color="auto" w:sz="6" w:space="0"/>
              <w:left w:val="single" w:color="auto" w:sz="6" w:space="0"/>
              <w:bottom w:val="single" w:color="auto" w:sz="6" w:space="0"/>
              <w:right w:val="single" w:color="auto" w:sz="6" w:space="0"/>
            </w:tcBorders>
            <w:vAlign w:val="center"/>
          </w:tcPr>
          <w:p w14:paraId="66055925">
            <w:pPr>
              <w:pageBreakBefore w:val="0"/>
              <w:kinsoku/>
              <w:wordWrap w:val="0"/>
              <w:overflowPunct/>
              <w:topLinePunct w:val="0"/>
              <w:bidi w:val="0"/>
              <w:spacing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近年完成的类似项目的业绩年份要求</w:t>
            </w:r>
          </w:p>
        </w:tc>
        <w:tc>
          <w:tcPr>
            <w:tcW w:w="6323" w:type="dxa"/>
            <w:tcBorders>
              <w:top w:val="single" w:color="auto" w:sz="6" w:space="0"/>
              <w:left w:val="single" w:color="auto" w:sz="6" w:space="0"/>
              <w:bottom w:val="single" w:color="auto" w:sz="6" w:space="0"/>
              <w:right w:val="single" w:color="auto" w:sz="12" w:space="0"/>
            </w:tcBorders>
            <w:vAlign w:val="center"/>
          </w:tcPr>
          <w:p w14:paraId="27653E11">
            <w:pPr>
              <w:pageBreakBefore w:val="0"/>
              <w:kinsoku/>
              <w:wordWrap w:val="0"/>
              <w:overflowPunct/>
              <w:topLinePunct w:val="0"/>
              <w:bidi w:val="0"/>
              <w:spacing w:line="38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年01月01日以来完成类似项目</w:t>
            </w:r>
          </w:p>
        </w:tc>
      </w:tr>
      <w:tr w14:paraId="094ECA91">
        <w:tblPrEx>
          <w:tblCellMar>
            <w:top w:w="0" w:type="dxa"/>
            <w:left w:w="108" w:type="dxa"/>
            <w:bottom w:w="0" w:type="dxa"/>
            <w:right w:w="108" w:type="dxa"/>
          </w:tblCellMar>
        </w:tblPrEx>
        <w:trPr>
          <w:trHeight w:val="552" w:hRule="atLeast"/>
        </w:trPr>
        <w:tc>
          <w:tcPr>
            <w:tcW w:w="772" w:type="dxa"/>
            <w:tcBorders>
              <w:top w:val="single" w:color="auto" w:sz="6" w:space="0"/>
              <w:left w:val="single" w:color="auto" w:sz="12" w:space="0"/>
              <w:bottom w:val="single" w:color="auto" w:sz="6" w:space="0"/>
              <w:right w:val="single" w:color="auto" w:sz="6" w:space="0"/>
            </w:tcBorders>
            <w:vAlign w:val="center"/>
          </w:tcPr>
          <w:p w14:paraId="42EB7D8C">
            <w:pPr>
              <w:pageBreakBefore w:val="0"/>
              <w:widowControl w:val="0"/>
              <w:kinsoku/>
              <w:wordWrap w:val="0"/>
              <w:overflowPunct/>
              <w:topLinePunct w:val="0"/>
              <w:bidi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26</w:t>
            </w:r>
          </w:p>
        </w:tc>
        <w:tc>
          <w:tcPr>
            <w:tcW w:w="2715" w:type="dxa"/>
            <w:tcBorders>
              <w:top w:val="single" w:color="auto" w:sz="6" w:space="0"/>
              <w:left w:val="single" w:color="auto" w:sz="6" w:space="0"/>
              <w:bottom w:val="single" w:color="auto" w:sz="6" w:space="0"/>
              <w:right w:val="single" w:color="auto" w:sz="6" w:space="0"/>
            </w:tcBorders>
            <w:vAlign w:val="center"/>
          </w:tcPr>
          <w:p w14:paraId="5348A77D">
            <w:pPr>
              <w:pageBreakBefore w:val="0"/>
              <w:kinsoku/>
              <w:wordWrap w:val="0"/>
              <w:overflowPunct/>
              <w:topLinePunct w:val="0"/>
              <w:bidi w:val="0"/>
              <w:spacing w:line="360" w:lineRule="exact"/>
              <w:rPr>
                <w:rFonts w:hint="eastAsia" w:ascii="宋体" w:hAnsi="宋体" w:eastAsia="宋体" w:cs="宋体"/>
                <w:color w:val="auto"/>
                <w:kern w:val="0"/>
                <w:sz w:val="21"/>
                <w:szCs w:val="21"/>
                <w:highlight w:val="none"/>
              </w:rPr>
            </w:pPr>
            <w:r>
              <w:rPr>
                <w:rFonts w:hint="eastAsia" w:asciiTheme="minorEastAsia" w:hAnsiTheme="minorEastAsia" w:eastAsiaTheme="minorEastAsia"/>
                <w:color w:val="auto"/>
                <w:sz w:val="24"/>
                <w:szCs w:val="24"/>
              </w:rPr>
              <w:t>磋商时间和地点</w:t>
            </w:r>
          </w:p>
        </w:tc>
        <w:tc>
          <w:tcPr>
            <w:tcW w:w="6323" w:type="dxa"/>
            <w:tcBorders>
              <w:top w:val="single" w:color="auto" w:sz="6" w:space="0"/>
              <w:left w:val="single" w:color="auto" w:sz="6" w:space="0"/>
              <w:bottom w:val="single" w:color="auto" w:sz="6" w:space="0"/>
              <w:right w:val="single" w:color="auto" w:sz="12" w:space="0"/>
            </w:tcBorders>
            <w:vAlign w:val="center"/>
          </w:tcPr>
          <w:p w14:paraId="6F124E10">
            <w:pPr>
              <w:pageBreakBefore w:val="0"/>
              <w:kinsoku/>
              <w:wordWrap w:val="0"/>
              <w:overflowPunct/>
              <w:topLinePunct w:val="0"/>
              <w:bidi w:val="0"/>
              <w:adjustRightInd w:val="0"/>
              <w:spacing w:line="360" w:lineRule="exact"/>
              <w:textAlignment w:val="baseline"/>
              <w:rPr>
                <w:rFonts w:hint="eastAsia"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磋商时</w:t>
            </w:r>
            <w:r>
              <w:rPr>
                <w:rFonts w:hint="eastAsia" w:asciiTheme="minorEastAsia" w:hAnsiTheme="minorEastAsia" w:eastAsiaTheme="minorEastAsia"/>
                <w:color w:val="auto"/>
                <w:sz w:val="24"/>
                <w:szCs w:val="24"/>
              </w:rPr>
              <w:t>间：202</w:t>
            </w:r>
            <w:r>
              <w:rPr>
                <w:rFonts w:hint="eastAsia" w:asciiTheme="minorEastAsia" w:hAnsiTheme="minorEastAsia" w:eastAsiaTheme="minorEastAsia"/>
                <w:color w:val="auto"/>
                <w:sz w:val="24"/>
                <w:szCs w:val="24"/>
                <w:lang w:val="en-US" w:eastAsia="zh-CN"/>
              </w:rPr>
              <w:t>6</w:t>
            </w: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lang w:val="en-US" w:eastAsia="zh-CN"/>
              </w:rPr>
              <w:t>3</w:t>
            </w:r>
            <w:r>
              <w:rPr>
                <w:rFonts w:hint="eastAsia" w:asciiTheme="minorEastAsia" w:hAnsiTheme="minorEastAsia" w:eastAsiaTheme="minorEastAsia"/>
                <w:color w:val="auto"/>
                <w:sz w:val="24"/>
                <w:szCs w:val="24"/>
              </w:rPr>
              <w:t>月1</w:t>
            </w:r>
            <w:r>
              <w:rPr>
                <w:rFonts w:hint="eastAsia" w:asciiTheme="minorEastAsia" w:hAnsiTheme="minorEastAsia"/>
                <w:color w:val="auto"/>
                <w:sz w:val="24"/>
                <w:szCs w:val="24"/>
                <w:lang w:val="en-US" w:eastAsia="zh-CN"/>
              </w:rPr>
              <w:t>6</w:t>
            </w:r>
            <w:r>
              <w:rPr>
                <w:rFonts w:hint="eastAsia" w:asciiTheme="minorEastAsia" w:hAnsiTheme="minorEastAsia" w:eastAsiaTheme="minorEastAsia"/>
                <w:color w:val="auto"/>
                <w:sz w:val="24"/>
                <w:szCs w:val="24"/>
              </w:rPr>
              <w:t>日08时40分</w:t>
            </w:r>
          </w:p>
          <w:p w14:paraId="02816364">
            <w:pPr>
              <w:pageBreakBefore w:val="0"/>
              <w:kinsoku/>
              <w:wordWrap w:val="0"/>
              <w:overflowPunct/>
              <w:topLinePunct w:val="0"/>
              <w:bidi w:val="0"/>
              <w:adjustRightInd w:val="0"/>
              <w:spacing w:line="360" w:lineRule="exact"/>
              <w:textAlignment w:val="baseline"/>
              <w:rPr>
                <w:rFonts w:hint="eastAsia" w:ascii="宋体" w:hAnsi="宋体" w:eastAsia="宋体" w:cs="宋体"/>
                <w:color w:val="auto"/>
                <w:kern w:val="0"/>
                <w:sz w:val="21"/>
                <w:szCs w:val="21"/>
                <w:highlight w:val="none"/>
              </w:rPr>
            </w:pPr>
            <w:r>
              <w:rPr>
                <w:rFonts w:hint="eastAsia" w:asciiTheme="minorEastAsia" w:hAnsiTheme="minorEastAsia" w:eastAsiaTheme="minorEastAsia"/>
                <w:color w:val="auto"/>
                <w:sz w:val="24"/>
                <w:szCs w:val="24"/>
              </w:rPr>
              <w:t>磋商地点：卢氏县公共资源交易中心四楼第二开标室</w:t>
            </w:r>
          </w:p>
        </w:tc>
      </w:tr>
      <w:tr w14:paraId="7474A852">
        <w:tblPrEx>
          <w:tblCellMar>
            <w:top w:w="0" w:type="dxa"/>
            <w:left w:w="108" w:type="dxa"/>
            <w:bottom w:w="0" w:type="dxa"/>
            <w:right w:w="108" w:type="dxa"/>
          </w:tblCellMar>
        </w:tblPrEx>
        <w:trPr>
          <w:trHeight w:val="585" w:hRule="atLeast"/>
        </w:trPr>
        <w:tc>
          <w:tcPr>
            <w:tcW w:w="772" w:type="dxa"/>
            <w:tcBorders>
              <w:top w:val="single" w:color="auto" w:sz="6" w:space="0"/>
              <w:left w:val="single" w:color="auto" w:sz="12" w:space="0"/>
              <w:bottom w:val="single" w:color="auto" w:sz="6" w:space="0"/>
              <w:right w:val="single" w:color="auto" w:sz="6" w:space="0"/>
            </w:tcBorders>
            <w:vAlign w:val="center"/>
          </w:tcPr>
          <w:p w14:paraId="2281BB5D">
            <w:pPr>
              <w:pageBreakBefore w:val="0"/>
              <w:widowControl w:val="0"/>
              <w:kinsoku/>
              <w:wordWrap w:val="0"/>
              <w:overflowPunct/>
              <w:topLinePunct w:val="0"/>
              <w:bidi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27</w:t>
            </w:r>
          </w:p>
        </w:tc>
        <w:tc>
          <w:tcPr>
            <w:tcW w:w="2715" w:type="dxa"/>
            <w:tcBorders>
              <w:top w:val="single" w:color="auto" w:sz="6" w:space="0"/>
              <w:left w:val="single" w:color="auto" w:sz="6" w:space="0"/>
              <w:bottom w:val="single" w:color="auto" w:sz="6" w:space="0"/>
              <w:right w:val="single" w:color="auto" w:sz="6" w:space="0"/>
            </w:tcBorders>
            <w:vAlign w:val="center"/>
          </w:tcPr>
          <w:p w14:paraId="543B23CE">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投标文件是否退还</w:t>
            </w:r>
          </w:p>
        </w:tc>
        <w:tc>
          <w:tcPr>
            <w:tcW w:w="6323" w:type="dxa"/>
            <w:tcBorders>
              <w:top w:val="single" w:color="auto" w:sz="6" w:space="0"/>
              <w:left w:val="single" w:color="auto" w:sz="6" w:space="0"/>
              <w:bottom w:val="single" w:color="auto" w:sz="6" w:space="0"/>
              <w:right w:val="single" w:color="auto" w:sz="12" w:space="0"/>
            </w:tcBorders>
            <w:vAlign w:val="center"/>
          </w:tcPr>
          <w:p w14:paraId="1C0CA136">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否</w:t>
            </w:r>
          </w:p>
        </w:tc>
      </w:tr>
      <w:tr w14:paraId="0C6BF20E">
        <w:tblPrEx>
          <w:tblCellMar>
            <w:top w:w="0" w:type="dxa"/>
            <w:left w:w="108" w:type="dxa"/>
            <w:bottom w:w="0" w:type="dxa"/>
            <w:right w:w="108" w:type="dxa"/>
          </w:tblCellMar>
        </w:tblPrEx>
        <w:trPr>
          <w:trHeight w:val="552" w:hRule="atLeast"/>
        </w:trPr>
        <w:tc>
          <w:tcPr>
            <w:tcW w:w="772" w:type="dxa"/>
            <w:tcBorders>
              <w:top w:val="single" w:color="auto" w:sz="6" w:space="0"/>
              <w:left w:val="single" w:color="auto" w:sz="12" w:space="0"/>
              <w:bottom w:val="single" w:color="auto" w:sz="6" w:space="0"/>
              <w:right w:val="single" w:color="auto" w:sz="6" w:space="0"/>
            </w:tcBorders>
            <w:vAlign w:val="center"/>
          </w:tcPr>
          <w:p w14:paraId="1ACC360C">
            <w:pPr>
              <w:pageBreakBefore w:val="0"/>
              <w:widowControl w:val="0"/>
              <w:kinsoku/>
              <w:wordWrap w:val="0"/>
              <w:overflowPunct/>
              <w:topLinePunct w:val="0"/>
              <w:bidi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28</w:t>
            </w:r>
          </w:p>
        </w:tc>
        <w:tc>
          <w:tcPr>
            <w:tcW w:w="2715" w:type="dxa"/>
            <w:tcBorders>
              <w:top w:val="single" w:color="auto" w:sz="6" w:space="0"/>
              <w:left w:val="single" w:color="auto" w:sz="6" w:space="0"/>
              <w:bottom w:val="single" w:color="auto" w:sz="6" w:space="0"/>
              <w:right w:val="single" w:color="auto" w:sz="6" w:space="0"/>
            </w:tcBorders>
            <w:vAlign w:val="center"/>
          </w:tcPr>
          <w:p w14:paraId="461B50B2">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是否允许递交备选投标方案</w:t>
            </w:r>
          </w:p>
        </w:tc>
        <w:tc>
          <w:tcPr>
            <w:tcW w:w="6323" w:type="dxa"/>
            <w:tcBorders>
              <w:top w:val="single" w:color="auto" w:sz="6" w:space="0"/>
              <w:left w:val="single" w:color="auto" w:sz="6" w:space="0"/>
              <w:bottom w:val="single" w:color="auto" w:sz="6" w:space="0"/>
              <w:right w:val="single" w:color="auto" w:sz="12" w:space="0"/>
            </w:tcBorders>
            <w:vAlign w:val="center"/>
          </w:tcPr>
          <w:p w14:paraId="583BA9F5">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不允许</w:t>
            </w:r>
          </w:p>
        </w:tc>
      </w:tr>
      <w:tr w14:paraId="0F4AFE61">
        <w:tblPrEx>
          <w:tblCellMar>
            <w:top w:w="0" w:type="dxa"/>
            <w:left w:w="108" w:type="dxa"/>
            <w:bottom w:w="0" w:type="dxa"/>
            <w:right w:w="108" w:type="dxa"/>
          </w:tblCellMar>
        </w:tblPrEx>
        <w:trPr>
          <w:trHeight w:val="555" w:hRule="atLeast"/>
        </w:trPr>
        <w:tc>
          <w:tcPr>
            <w:tcW w:w="772" w:type="dxa"/>
            <w:tcBorders>
              <w:top w:val="single" w:color="auto" w:sz="6" w:space="0"/>
              <w:left w:val="single" w:color="auto" w:sz="12" w:space="0"/>
              <w:bottom w:val="single" w:color="auto" w:sz="6" w:space="0"/>
              <w:right w:val="single" w:color="auto" w:sz="6" w:space="0"/>
            </w:tcBorders>
            <w:vAlign w:val="center"/>
          </w:tcPr>
          <w:p w14:paraId="087BD9EC">
            <w:pPr>
              <w:pageBreakBefore w:val="0"/>
              <w:widowControl w:val="0"/>
              <w:kinsoku/>
              <w:wordWrap w:val="0"/>
              <w:overflowPunct/>
              <w:topLinePunct w:val="0"/>
              <w:bidi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29</w:t>
            </w:r>
          </w:p>
        </w:tc>
        <w:tc>
          <w:tcPr>
            <w:tcW w:w="2715" w:type="dxa"/>
            <w:tcBorders>
              <w:top w:val="single" w:color="auto" w:sz="6" w:space="0"/>
              <w:left w:val="single" w:color="auto" w:sz="6" w:space="0"/>
              <w:bottom w:val="single" w:color="auto" w:sz="6" w:space="0"/>
              <w:right w:val="single" w:color="auto" w:sz="6" w:space="0"/>
            </w:tcBorders>
            <w:shd w:val="clear" w:color="auto" w:fill="auto"/>
            <w:vAlign w:val="center"/>
          </w:tcPr>
          <w:p w14:paraId="7F5D3531">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竞争性磋商有效期</w:t>
            </w:r>
          </w:p>
        </w:tc>
        <w:tc>
          <w:tcPr>
            <w:tcW w:w="6323" w:type="dxa"/>
            <w:tcBorders>
              <w:top w:val="single" w:color="auto" w:sz="6" w:space="0"/>
              <w:left w:val="single" w:color="auto" w:sz="6" w:space="0"/>
              <w:bottom w:val="single" w:color="auto" w:sz="6" w:space="0"/>
              <w:right w:val="single" w:color="auto" w:sz="12" w:space="0"/>
            </w:tcBorders>
            <w:shd w:val="clear" w:color="auto" w:fill="auto"/>
            <w:vAlign w:val="center"/>
          </w:tcPr>
          <w:p w14:paraId="279E9B49">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60日历天(指本次采购项目递交响应性文件截止之日起</w:t>
            </w:r>
            <w:r>
              <w:rPr>
                <w:rFonts w:hint="eastAsia" w:ascii="宋体" w:hAnsi="宋体" w:cs="宋体"/>
                <w:kern w:val="0"/>
                <w:sz w:val="21"/>
                <w:szCs w:val="21"/>
                <w:highlight w:val="none"/>
                <w:lang w:eastAsia="zh-CN"/>
              </w:rPr>
              <w:t>）</w:t>
            </w:r>
          </w:p>
        </w:tc>
      </w:tr>
      <w:tr w14:paraId="7BF5CB99">
        <w:tblPrEx>
          <w:tblCellMar>
            <w:top w:w="0" w:type="dxa"/>
            <w:left w:w="108" w:type="dxa"/>
            <w:bottom w:w="0" w:type="dxa"/>
            <w:right w:w="108" w:type="dxa"/>
          </w:tblCellMar>
        </w:tblPrEx>
        <w:trPr>
          <w:trHeight w:val="916" w:hRule="atLeast"/>
        </w:trPr>
        <w:tc>
          <w:tcPr>
            <w:tcW w:w="772" w:type="dxa"/>
            <w:tcBorders>
              <w:top w:val="single" w:color="auto" w:sz="6" w:space="0"/>
              <w:left w:val="single" w:color="auto" w:sz="12" w:space="0"/>
              <w:bottom w:val="single" w:color="auto" w:sz="6" w:space="0"/>
              <w:right w:val="single" w:color="auto" w:sz="6" w:space="0"/>
            </w:tcBorders>
            <w:vAlign w:val="center"/>
          </w:tcPr>
          <w:p w14:paraId="0117173B">
            <w:pPr>
              <w:pageBreakBefore w:val="0"/>
              <w:widowControl w:val="0"/>
              <w:kinsoku/>
              <w:wordWrap w:val="0"/>
              <w:overflowPunct/>
              <w:topLinePunct w:val="0"/>
              <w:bidi w:val="0"/>
              <w:adjustRightInd w:val="0"/>
              <w:spacing w:line="600" w:lineRule="exact"/>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30</w:t>
            </w:r>
          </w:p>
        </w:tc>
        <w:tc>
          <w:tcPr>
            <w:tcW w:w="2715" w:type="dxa"/>
            <w:tcBorders>
              <w:top w:val="single" w:color="auto" w:sz="6" w:space="0"/>
              <w:left w:val="single" w:color="auto" w:sz="6" w:space="0"/>
              <w:bottom w:val="single" w:color="auto" w:sz="6" w:space="0"/>
              <w:right w:val="single" w:color="auto" w:sz="6" w:space="0"/>
            </w:tcBorders>
            <w:vAlign w:val="center"/>
          </w:tcPr>
          <w:p w14:paraId="0B2D335A">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磋商小组的组建</w:t>
            </w:r>
          </w:p>
        </w:tc>
        <w:tc>
          <w:tcPr>
            <w:tcW w:w="6323" w:type="dxa"/>
            <w:tcBorders>
              <w:top w:val="single" w:color="auto" w:sz="6" w:space="0"/>
              <w:left w:val="single" w:color="auto" w:sz="6" w:space="0"/>
              <w:bottom w:val="single" w:color="auto" w:sz="6" w:space="0"/>
              <w:right w:val="single" w:color="auto" w:sz="12" w:space="0"/>
            </w:tcBorders>
            <w:vAlign w:val="center"/>
          </w:tcPr>
          <w:p w14:paraId="30A21674">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磋商小组成员为3人，采购人代表1人，其余技术</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经济类专家2人。评标专家确定方式：评标专家库随机抽取</w:t>
            </w:r>
          </w:p>
        </w:tc>
      </w:tr>
      <w:tr w14:paraId="00246D69">
        <w:tblPrEx>
          <w:tblCellMar>
            <w:top w:w="0" w:type="dxa"/>
            <w:left w:w="108" w:type="dxa"/>
            <w:bottom w:w="0" w:type="dxa"/>
            <w:right w:w="108" w:type="dxa"/>
          </w:tblCellMar>
        </w:tblPrEx>
        <w:trPr>
          <w:trHeight w:val="615" w:hRule="atLeast"/>
        </w:trPr>
        <w:tc>
          <w:tcPr>
            <w:tcW w:w="772" w:type="dxa"/>
            <w:tcBorders>
              <w:top w:val="single" w:color="auto" w:sz="6" w:space="0"/>
              <w:left w:val="single" w:color="auto" w:sz="12" w:space="0"/>
              <w:bottom w:val="single" w:color="auto" w:sz="6" w:space="0"/>
              <w:right w:val="single" w:color="auto" w:sz="6" w:space="0"/>
            </w:tcBorders>
            <w:vAlign w:val="center"/>
          </w:tcPr>
          <w:p w14:paraId="2B851E78">
            <w:pPr>
              <w:pageBreakBefore w:val="0"/>
              <w:widowControl w:val="0"/>
              <w:kinsoku/>
              <w:wordWrap w:val="0"/>
              <w:overflowPunct/>
              <w:topLinePunct w:val="0"/>
              <w:bidi w:val="0"/>
              <w:adjustRightInd w:val="0"/>
              <w:spacing w:line="600" w:lineRule="exact"/>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31</w:t>
            </w:r>
          </w:p>
        </w:tc>
        <w:tc>
          <w:tcPr>
            <w:tcW w:w="2715" w:type="dxa"/>
            <w:tcBorders>
              <w:top w:val="single" w:color="auto" w:sz="6" w:space="0"/>
              <w:left w:val="single" w:color="auto" w:sz="6" w:space="0"/>
              <w:bottom w:val="single" w:color="auto" w:sz="6" w:space="0"/>
              <w:right w:val="single" w:color="auto" w:sz="6" w:space="0"/>
            </w:tcBorders>
            <w:vAlign w:val="center"/>
          </w:tcPr>
          <w:p w14:paraId="5E2259FB">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是否授权磋商小组确定中标人</w:t>
            </w:r>
          </w:p>
        </w:tc>
        <w:tc>
          <w:tcPr>
            <w:tcW w:w="6323" w:type="dxa"/>
            <w:tcBorders>
              <w:top w:val="single" w:color="auto" w:sz="6" w:space="0"/>
              <w:left w:val="single" w:color="auto" w:sz="6" w:space="0"/>
              <w:bottom w:val="single" w:color="auto" w:sz="6" w:space="0"/>
              <w:right w:val="single" w:color="auto" w:sz="12" w:space="0"/>
            </w:tcBorders>
            <w:vAlign w:val="center"/>
          </w:tcPr>
          <w:p w14:paraId="25B1DE6A">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否，磋商小组推选三名成交候选人</w:t>
            </w:r>
          </w:p>
        </w:tc>
      </w:tr>
      <w:tr w14:paraId="74320F54">
        <w:tblPrEx>
          <w:tblCellMar>
            <w:top w:w="0" w:type="dxa"/>
            <w:left w:w="108" w:type="dxa"/>
            <w:bottom w:w="0" w:type="dxa"/>
            <w:right w:w="108" w:type="dxa"/>
          </w:tblCellMar>
        </w:tblPrEx>
        <w:trPr>
          <w:trHeight w:val="615" w:hRule="atLeast"/>
        </w:trPr>
        <w:tc>
          <w:tcPr>
            <w:tcW w:w="772" w:type="dxa"/>
            <w:tcBorders>
              <w:top w:val="single" w:color="auto" w:sz="6" w:space="0"/>
              <w:left w:val="single" w:color="auto" w:sz="12" w:space="0"/>
              <w:bottom w:val="single" w:color="auto" w:sz="6" w:space="0"/>
              <w:right w:val="single" w:color="auto" w:sz="6" w:space="0"/>
            </w:tcBorders>
            <w:vAlign w:val="center"/>
          </w:tcPr>
          <w:p w14:paraId="13554628">
            <w:pPr>
              <w:pageBreakBefore w:val="0"/>
              <w:widowControl w:val="0"/>
              <w:kinsoku/>
              <w:wordWrap w:val="0"/>
              <w:overflowPunct/>
              <w:topLinePunct w:val="0"/>
              <w:bidi w:val="0"/>
              <w:adjustRightInd w:val="0"/>
              <w:spacing w:line="600" w:lineRule="exact"/>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32</w:t>
            </w:r>
          </w:p>
        </w:tc>
        <w:tc>
          <w:tcPr>
            <w:tcW w:w="2715" w:type="dxa"/>
            <w:tcBorders>
              <w:top w:val="single" w:color="auto" w:sz="6" w:space="0"/>
              <w:left w:val="single" w:color="auto" w:sz="6" w:space="0"/>
              <w:bottom w:val="single" w:color="auto" w:sz="6" w:space="0"/>
              <w:right w:val="single" w:color="auto" w:sz="6" w:space="0"/>
            </w:tcBorders>
            <w:vAlign w:val="center"/>
          </w:tcPr>
          <w:p w14:paraId="238E49FF">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评标标准及方法</w:t>
            </w:r>
          </w:p>
        </w:tc>
        <w:tc>
          <w:tcPr>
            <w:tcW w:w="6323" w:type="dxa"/>
            <w:tcBorders>
              <w:top w:val="single" w:color="auto" w:sz="6" w:space="0"/>
              <w:left w:val="single" w:color="auto" w:sz="6" w:space="0"/>
              <w:bottom w:val="single" w:color="auto" w:sz="6" w:space="0"/>
              <w:right w:val="single" w:color="auto" w:sz="12" w:space="0"/>
            </w:tcBorders>
            <w:vAlign w:val="center"/>
          </w:tcPr>
          <w:p w14:paraId="16B4F950">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且推荐候选人为三名）</w:t>
            </w:r>
          </w:p>
        </w:tc>
      </w:tr>
      <w:tr w14:paraId="2E9D7531">
        <w:tblPrEx>
          <w:tblCellMar>
            <w:top w:w="0" w:type="dxa"/>
            <w:left w:w="108" w:type="dxa"/>
            <w:bottom w:w="0" w:type="dxa"/>
            <w:right w:w="108" w:type="dxa"/>
          </w:tblCellMar>
        </w:tblPrEx>
        <w:trPr>
          <w:trHeight w:val="489" w:hRule="atLeast"/>
        </w:trPr>
        <w:tc>
          <w:tcPr>
            <w:tcW w:w="772" w:type="dxa"/>
            <w:tcBorders>
              <w:top w:val="single" w:color="auto" w:sz="6" w:space="0"/>
              <w:left w:val="single" w:color="auto" w:sz="12" w:space="0"/>
              <w:bottom w:val="single" w:color="auto" w:sz="6" w:space="0"/>
              <w:right w:val="single" w:color="auto" w:sz="6" w:space="0"/>
            </w:tcBorders>
            <w:vAlign w:val="center"/>
          </w:tcPr>
          <w:p w14:paraId="6DF4EAA8">
            <w:pPr>
              <w:pageBreakBefore w:val="0"/>
              <w:widowControl w:val="0"/>
              <w:kinsoku/>
              <w:wordWrap w:val="0"/>
              <w:overflowPunct/>
              <w:topLinePunct w:val="0"/>
              <w:bidi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33</w:t>
            </w:r>
          </w:p>
        </w:tc>
        <w:tc>
          <w:tcPr>
            <w:tcW w:w="2715" w:type="dxa"/>
            <w:tcBorders>
              <w:top w:val="single" w:color="auto" w:sz="6" w:space="0"/>
              <w:left w:val="single" w:color="auto" w:sz="6" w:space="0"/>
              <w:bottom w:val="single" w:color="auto" w:sz="6" w:space="0"/>
              <w:right w:val="single" w:color="auto" w:sz="6" w:space="0"/>
            </w:tcBorders>
            <w:vAlign w:val="center"/>
          </w:tcPr>
          <w:p w14:paraId="7A36F4F3">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履约保证金</w:t>
            </w:r>
          </w:p>
        </w:tc>
        <w:tc>
          <w:tcPr>
            <w:tcW w:w="6323" w:type="dxa"/>
            <w:tcBorders>
              <w:top w:val="single" w:color="auto" w:sz="6" w:space="0"/>
              <w:left w:val="single" w:color="auto" w:sz="6" w:space="0"/>
              <w:bottom w:val="single" w:color="auto" w:sz="6" w:space="0"/>
              <w:right w:val="single" w:color="auto" w:sz="12" w:space="0"/>
            </w:tcBorders>
            <w:vAlign w:val="center"/>
          </w:tcPr>
          <w:p w14:paraId="1074B87B">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无</w:t>
            </w:r>
          </w:p>
        </w:tc>
      </w:tr>
      <w:tr w14:paraId="6AAD3BB7">
        <w:tblPrEx>
          <w:tblCellMar>
            <w:top w:w="0" w:type="dxa"/>
            <w:left w:w="108" w:type="dxa"/>
            <w:bottom w:w="0" w:type="dxa"/>
            <w:right w:w="108" w:type="dxa"/>
          </w:tblCellMar>
        </w:tblPrEx>
        <w:trPr>
          <w:trHeight w:val="510" w:hRule="atLeast"/>
        </w:trPr>
        <w:tc>
          <w:tcPr>
            <w:tcW w:w="772" w:type="dxa"/>
            <w:tcBorders>
              <w:top w:val="single" w:color="auto" w:sz="6" w:space="0"/>
              <w:left w:val="single" w:color="auto" w:sz="12" w:space="0"/>
              <w:bottom w:val="single" w:color="auto" w:sz="6" w:space="0"/>
              <w:right w:val="single" w:color="auto" w:sz="6" w:space="0"/>
            </w:tcBorders>
            <w:vAlign w:val="center"/>
          </w:tcPr>
          <w:p w14:paraId="4D1E5C67">
            <w:pPr>
              <w:pageBreakBefore w:val="0"/>
              <w:widowControl w:val="0"/>
              <w:kinsoku/>
              <w:wordWrap w:val="0"/>
              <w:overflowPunct/>
              <w:topLinePunct w:val="0"/>
              <w:bidi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34</w:t>
            </w:r>
          </w:p>
        </w:tc>
        <w:tc>
          <w:tcPr>
            <w:tcW w:w="2715" w:type="dxa"/>
            <w:tcBorders>
              <w:top w:val="single" w:color="auto" w:sz="6" w:space="0"/>
              <w:left w:val="single" w:color="auto" w:sz="6" w:space="0"/>
              <w:bottom w:val="single" w:color="auto" w:sz="6" w:space="0"/>
              <w:right w:val="single" w:color="auto" w:sz="6" w:space="0"/>
            </w:tcBorders>
            <w:vAlign w:val="center"/>
          </w:tcPr>
          <w:p w14:paraId="67E85D61">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付款方式</w:t>
            </w:r>
          </w:p>
        </w:tc>
        <w:tc>
          <w:tcPr>
            <w:tcW w:w="6323" w:type="dxa"/>
            <w:tcBorders>
              <w:top w:val="single" w:color="auto" w:sz="6" w:space="0"/>
              <w:left w:val="single" w:color="auto" w:sz="6" w:space="0"/>
              <w:bottom w:val="single" w:color="auto" w:sz="6" w:space="0"/>
              <w:right w:val="single" w:color="auto" w:sz="12" w:space="0"/>
            </w:tcBorders>
            <w:vAlign w:val="center"/>
          </w:tcPr>
          <w:p w14:paraId="618699A2">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按照工程进度付款</w:t>
            </w:r>
            <w:r>
              <w:rPr>
                <w:rFonts w:hint="eastAsia" w:ascii="宋体" w:hAnsi="宋体" w:eastAsia="宋体" w:cs="宋体"/>
                <w:kern w:val="0"/>
                <w:sz w:val="21"/>
                <w:szCs w:val="21"/>
                <w:highlight w:val="none"/>
                <w:lang w:eastAsia="zh-CN"/>
              </w:rPr>
              <w:t>，项目进场</w:t>
            </w:r>
            <w:r>
              <w:rPr>
                <w:rFonts w:hint="eastAsia" w:ascii="宋体" w:hAnsi="宋体" w:eastAsia="宋体" w:cs="宋体"/>
                <w:kern w:val="0"/>
                <w:sz w:val="21"/>
                <w:szCs w:val="21"/>
                <w:highlight w:val="none"/>
              </w:rPr>
              <w:t>支付合同价款的</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0%</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工程竣工验收合格后支付到合同价款的80%，提交完整结算资料后，审计完成后累计支付到审定金额的97%。质量保证金为工程造价的3%，工程通过验收后12个月无缺陷责任期满后支付。质量保证金不计算利息。</w:t>
            </w:r>
            <w:r>
              <w:rPr>
                <w:rFonts w:hint="eastAsia" w:ascii="宋体" w:hAnsi="宋体" w:cs="宋体"/>
                <w:color w:val="auto"/>
                <w:kern w:val="2"/>
                <w:sz w:val="21"/>
                <w:szCs w:val="21"/>
                <w:highlight w:val="none"/>
              </w:rPr>
              <w:t>（具体以双方签订合同为准）</w:t>
            </w:r>
          </w:p>
        </w:tc>
      </w:tr>
      <w:tr w14:paraId="33DC5570">
        <w:tblPrEx>
          <w:tblCellMar>
            <w:top w:w="0" w:type="dxa"/>
            <w:left w:w="108" w:type="dxa"/>
            <w:bottom w:w="0" w:type="dxa"/>
            <w:right w:w="108" w:type="dxa"/>
          </w:tblCellMar>
        </w:tblPrEx>
        <w:trPr>
          <w:trHeight w:val="489" w:hRule="atLeast"/>
        </w:trPr>
        <w:tc>
          <w:tcPr>
            <w:tcW w:w="772" w:type="dxa"/>
            <w:tcBorders>
              <w:top w:val="single" w:color="auto" w:sz="6" w:space="0"/>
              <w:left w:val="single" w:color="auto" w:sz="12" w:space="0"/>
              <w:bottom w:val="single" w:color="auto" w:sz="6" w:space="0"/>
              <w:right w:val="single" w:color="auto" w:sz="6" w:space="0"/>
            </w:tcBorders>
            <w:vAlign w:val="center"/>
          </w:tcPr>
          <w:p w14:paraId="7E885BB9">
            <w:pPr>
              <w:pageBreakBefore w:val="0"/>
              <w:widowControl w:val="0"/>
              <w:kinsoku/>
              <w:wordWrap w:val="0"/>
              <w:overflowPunct/>
              <w:topLinePunct w:val="0"/>
              <w:bidi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35</w:t>
            </w:r>
          </w:p>
        </w:tc>
        <w:tc>
          <w:tcPr>
            <w:tcW w:w="2715" w:type="dxa"/>
            <w:tcBorders>
              <w:top w:val="single" w:color="auto" w:sz="6" w:space="0"/>
              <w:left w:val="single" w:color="auto" w:sz="6" w:space="0"/>
              <w:bottom w:val="single" w:color="auto" w:sz="6" w:space="0"/>
              <w:right w:val="single" w:color="auto" w:sz="6" w:space="0"/>
            </w:tcBorders>
            <w:vAlign w:val="center"/>
          </w:tcPr>
          <w:p w14:paraId="2757F9EE">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发布公告媒介</w:t>
            </w:r>
          </w:p>
        </w:tc>
        <w:tc>
          <w:tcPr>
            <w:tcW w:w="6323" w:type="dxa"/>
            <w:tcBorders>
              <w:top w:val="single" w:color="auto" w:sz="6" w:space="0"/>
              <w:left w:val="single" w:color="auto" w:sz="6" w:space="0"/>
              <w:bottom w:val="single" w:color="auto" w:sz="6" w:space="0"/>
              <w:right w:val="single" w:color="auto" w:sz="12" w:space="0"/>
            </w:tcBorders>
            <w:vAlign w:val="center"/>
          </w:tcPr>
          <w:p w14:paraId="3CF760B1">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同时在</w:t>
            </w:r>
            <w:r>
              <w:rPr>
                <w:rFonts w:hint="eastAsia" w:ascii="宋体" w:hAnsi="宋体" w:eastAsia="宋体" w:cs="宋体"/>
                <w:kern w:val="0"/>
                <w:sz w:val="21"/>
                <w:szCs w:val="21"/>
                <w:highlight w:val="none"/>
                <w:lang w:eastAsia="zh-CN"/>
              </w:rPr>
              <w:t>《中国采购与招标网》、《河南省政府采购网》、《三门峡市公共资源交易中心网》</w:t>
            </w:r>
            <w:r>
              <w:rPr>
                <w:rFonts w:hint="eastAsia" w:ascii="宋体" w:hAnsi="宋体" w:eastAsia="宋体" w:cs="宋体"/>
                <w:kern w:val="0"/>
                <w:sz w:val="21"/>
                <w:szCs w:val="21"/>
                <w:highlight w:val="none"/>
              </w:rPr>
              <w:t>上发布</w:t>
            </w:r>
          </w:p>
        </w:tc>
      </w:tr>
      <w:tr w14:paraId="02870A9C">
        <w:tblPrEx>
          <w:tblCellMar>
            <w:top w:w="0" w:type="dxa"/>
            <w:left w:w="108" w:type="dxa"/>
            <w:bottom w:w="0" w:type="dxa"/>
            <w:right w:w="108" w:type="dxa"/>
          </w:tblCellMar>
        </w:tblPrEx>
        <w:trPr>
          <w:trHeight w:val="489" w:hRule="atLeast"/>
        </w:trPr>
        <w:tc>
          <w:tcPr>
            <w:tcW w:w="772" w:type="dxa"/>
            <w:tcBorders>
              <w:top w:val="single" w:color="auto" w:sz="6" w:space="0"/>
              <w:left w:val="single" w:color="auto" w:sz="12" w:space="0"/>
              <w:bottom w:val="single" w:color="auto" w:sz="6" w:space="0"/>
              <w:right w:val="single" w:color="auto" w:sz="6" w:space="0"/>
            </w:tcBorders>
            <w:vAlign w:val="center"/>
          </w:tcPr>
          <w:p w14:paraId="47A0EEE5">
            <w:pPr>
              <w:pageBreakBefore w:val="0"/>
              <w:widowControl w:val="0"/>
              <w:kinsoku/>
              <w:wordWrap w:val="0"/>
              <w:overflowPunct/>
              <w:topLinePunct w:val="0"/>
              <w:bidi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3</w:t>
            </w:r>
            <w:r>
              <w:rPr>
                <w:rFonts w:hint="eastAsia" w:ascii="宋体" w:hAnsi="宋体" w:cs="宋体"/>
                <w:spacing w:val="6"/>
                <w:kern w:val="2"/>
                <w:sz w:val="24"/>
                <w:szCs w:val="24"/>
                <w:lang w:val="en-US" w:eastAsia="zh-CN"/>
              </w:rPr>
              <w:t>6</w:t>
            </w:r>
          </w:p>
        </w:tc>
        <w:tc>
          <w:tcPr>
            <w:tcW w:w="2715" w:type="dxa"/>
            <w:tcBorders>
              <w:top w:val="single" w:color="auto" w:sz="6" w:space="0"/>
              <w:left w:val="single" w:color="auto" w:sz="6" w:space="0"/>
              <w:bottom w:val="single" w:color="auto" w:sz="6" w:space="0"/>
              <w:right w:val="single" w:color="auto" w:sz="6" w:space="0"/>
            </w:tcBorders>
            <w:vAlign w:val="center"/>
          </w:tcPr>
          <w:p w14:paraId="41C900BE">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其他事项</w:t>
            </w:r>
          </w:p>
        </w:tc>
        <w:tc>
          <w:tcPr>
            <w:tcW w:w="6323" w:type="dxa"/>
            <w:tcBorders>
              <w:top w:val="single" w:color="auto" w:sz="6" w:space="0"/>
              <w:left w:val="single" w:color="auto" w:sz="6" w:space="0"/>
              <w:bottom w:val="single" w:color="auto" w:sz="6" w:space="0"/>
              <w:right w:val="single" w:color="auto" w:sz="12" w:space="0"/>
            </w:tcBorders>
            <w:vAlign w:val="center"/>
          </w:tcPr>
          <w:p w14:paraId="015977C0">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电子化响应文件应在投标截止时间前成功上传至三门峡市公共资源电子化交易系统。至投标截止时间止，仍未上传成功的电子化响应文件，将不予接受</w:t>
            </w:r>
          </w:p>
        </w:tc>
      </w:tr>
      <w:tr w14:paraId="1FB863F5">
        <w:tblPrEx>
          <w:tblCellMar>
            <w:top w:w="0" w:type="dxa"/>
            <w:left w:w="108" w:type="dxa"/>
            <w:bottom w:w="0" w:type="dxa"/>
            <w:right w:w="108" w:type="dxa"/>
          </w:tblCellMar>
        </w:tblPrEx>
        <w:trPr>
          <w:trHeight w:val="807" w:hRule="atLeast"/>
        </w:trPr>
        <w:tc>
          <w:tcPr>
            <w:tcW w:w="772" w:type="dxa"/>
            <w:tcBorders>
              <w:top w:val="single" w:color="auto" w:sz="6" w:space="0"/>
              <w:left w:val="single" w:color="auto" w:sz="12" w:space="0"/>
              <w:bottom w:val="single" w:color="auto" w:sz="6" w:space="0"/>
              <w:right w:val="single" w:color="auto" w:sz="6" w:space="0"/>
            </w:tcBorders>
            <w:vAlign w:val="center"/>
          </w:tcPr>
          <w:p w14:paraId="521C4F94">
            <w:pPr>
              <w:pageBreakBefore w:val="0"/>
              <w:widowControl w:val="0"/>
              <w:kinsoku/>
              <w:wordWrap w:val="0"/>
              <w:overflowPunct/>
              <w:topLinePunct w:val="0"/>
              <w:bidi w:val="0"/>
              <w:adjustRightInd w:val="0"/>
              <w:spacing w:line="600" w:lineRule="exact"/>
              <w:jc w:val="center"/>
              <w:rPr>
                <w:rFonts w:hint="eastAsia" w:eastAsia="宋体"/>
                <w:lang w:eastAsia="zh-CN"/>
              </w:rPr>
            </w:pPr>
            <w:r>
              <w:rPr>
                <w:rFonts w:hint="eastAsia" w:ascii="宋体" w:hAnsi="宋体" w:cs="宋体"/>
                <w:spacing w:val="6"/>
                <w:kern w:val="2"/>
                <w:sz w:val="24"/>
                <w:szCs w:val="24"/>
              </w:rPr>
              <w:t>3</w:t>
            </w:r>
            <w:r>
              <w:rPr>
                <w:rFonts w:hint="eastAsia" w:ascii="宋体" w:hAnsi="宋体" w:cs="宋体"/>
                <w:spacing w:val="6"/>
                <w:kern w:val="2"/>
                <w:sz w:val="24"/>
                <w:szCs w:val="24"/>
                <w:lang w:val="en-US" w:eastAsia="zh-CN"/>
              </w:rPr>
              <w:t>7</w:t>
            </w:r>
          </w:p>
        </w:tc>
        <w:tc>
          <w:tcPr>
            <w:tcW w:w="2715" w:type="dxa"/>
            <w:tcBorders>
              <w:top w:val="single" w:color="auto" w:sz="6" w:space="0"/>
              <w:left w:val="single" w:color="auto" w:sz="6" w:space="0"/>
              <w:bottom w:val="single" w:color="auto" w:sz="6" w:space="0"/>
              <w:right w:val="single" w:color="auto" w:sz="6" w:space="0"/>
            </w:tcBorders>
            <w:vAlign w:val="center"/>
          </w:tcPr>
          <w:p w14:paraId="2FFBB4DA">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代理服务费</w:t>
            </w:r>
          </w:p>
        </w:tc>
        <w:tc>
          <w:tcPr>
            <w:tcW w:w="6323" w:type="dxa"/>
            <w:tcBorders>
              <w:top w:val="single" w:color="auto" w:sz="6" w:space="0"/>
              <w:left w:val="single" w:color="auto" w:sz="6" w:space="0"/>
              <w:bottom w:val="single" w:color="auto" w:sz="6" w:space="0"/>
              <w:right w:val="single" w:color="auto" w:sz="12" w:space="0"/>
            </w:tcBorders>
            <w:vAlign w:val="center"/>
          </w:tcPr>
          <w:p w14:paraId="7AB68DB5">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招标代理服务收费参照豫招协[2023]002号河南省招标投标协会关于印发《河南省招标代理服务收费指导意见》规定的收费标准收取中标服务费。由成交人领取中标通知书时进行支付。</w:t>
            </w:r>
          </w:p>
        </w:tc>
      </w:tr>
      <w:tr w14:paraId="5CA10445">
        <w:tblPrEx>
          <w:tblCellMar>
            <w:top w:w="0" w:type="dxa"/>
            <w:left w:w="108" w:type="dxa"/>
            <w:bottom w:w="0" w:type="dxa"/>
            <w:right w:w="108" w:type="dxa"/>
          </w:tblCellMar>
        </w:tblPrEx>
        <w:trPr>
          <w:trHeight w:val="522" w:hRule="atLeast"/>
        </w:trPr>
        <w:tc>
          <w:tcPr>
            <w:tcW w:w="772" w:type="dxa"/>
            <w:tcBorders>
              <w:top w:val="single" w:color="auto" w:sz="6" w:space="0"/>
              <w:left w:val="single" w:color="auto" w:sz="12" w:space="0"/>
              <w:bottom w:val="single" w:color="auto" w:sz="6" w:space="0"/>
              <w:right w:val="single" w:color="auto" w:sz="6" w:space="0"/>
            </w:tcBorders>
            <w:vAlign w:val="center"/>
          </w:tcPr>
          <w:p w14:paraId="5D088F31">
            <w:pPr>
              <w:pageBreakBefore w:val="0"/>
              <w:widowControl w:val="0"/>
              <w:kinsoku/>
              <w:wordWrap w:val="0"/>
              <w:overflowPunct/>
              <w:topLinePunct w:val="0"/>
              <w:bidi w:val="0"/>
              <w:adjustRightInd w:val="0"/>
              <w:spacing w:line="600" w:lineRule="exact"/>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3</w:t>
            </w:r>
            <w:r>
              <w:rPr>
                <w:rFonts w:hint="eastAsia" w:ascii="宋体" w:hAnsi="宋体" w:cs="宋体"/>
                <w:spacing w:val="6"/>
                <w:kern w:val="2"/>
                <w:sz w:val="24"/>
                <w:szCs w:val="24"/>
                <w:lang w:val="en-US" w:eastAsia="zh-CN"/>
              </w:rPr>
              <w:t>8</w:t>
            </w:r>
          </w:p>
          <w:p w14:paraId="265E57B4">
            <w:pPr>
              <w:pStyle w:val="16"/>
              <w:pageBreakBefore w:val="0"/>
              <w:kinsoku/>
              <w:wordWrap w:val="0"/>
              <w:overflowPunct/>
              <w:topLinePunct w:val="0"/>
              <w:bidi w:val="0"/>
              <w:ind w:left="400" w:leftChars="200" w:firstLine="504" w:firstLineChars="200"/>
              <w:rPr>
                <w:rFonts w:ascii="宋体" w:hAnsi="宋体" w:cs="宋体"/>
                <w:spacing w:val="6"/>
                <w:kern w:val="2"/>
                <w:sz w:val="24"/>
                <w:szCs w:val="24"/>
              </w:rPr>
            </w:pPr>
          </w:p>
        </w:tc>
        <w:tc>
          <w:tcPr>
            <w:tcW w:w="2715" w:type="dxa"/>
            <w:tcBorders>
              <w:top w:val="single" w:color="auto" w:sz="6" w:space="0"/>
              <w:left w:val="single" w:color="auto" w:sz="6" w:space="0"/>
              <w:bottom w:val="single" w:color="auto" w:sz="6" w:space="0"/>
              <w:right w:val="single" w:color="auto" w:sz="6" w:space="0"/>
            </w:tcBorders>
            <w:vAlign w:val="center"/>
          </w:tcPr>
          <w:p w14:paraId="633E8400">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采购合同签订</w:t>
            </w:r>
          </w:p>
        </w:tc>
        <w:tc>
          <w:tcPr>
            <w:tcW w:w="6323" w:type="dxa"/>
            <w:tcBorders>
              <w:top w:val="single" w:color="auto" w:sz="6" w:space="0"/>
              <w:left w:val="single" w:color="auto" w:sz="6" w:space="0"/>
              <w:bottom w:val="single" w:color="auto" w:sz="6" w:space="0"/>
              <w:right w:val="single" w:color="auto" w:sz="12" w:space="0"/>
            </w:tcBorders>
            <w:vAlign w:val="center"/>
          </w:tcPr>
          <w:p w14:paraId="2EC0D884">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成交人应自成交通知书发出之日起</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个工作日内按照成交通知书和响应文件内容及要求签订合同。</w:t>
            </w:r>
          </w:p>
        </w:tc>
      </w:tr>
      <w:tr w14:paraId="06134A23">
        <w:tblPrEx>
          <w:tblCellMar>
            <w:top w:w="0" w:type="dxa"/>
            <w:left w:w="108" w:type="dxa"/>
            <w:bottom w:w="0" w:type="dxa"/>
            <w:right w:w="108" w:type="dxa"/>
          </w:tblCellMar>
        </w:tblPrEx>
        <w:trPr>
          <w:trHeight w:val="770" w:hRule="atLeast"/>
        </w:trPr>
        <w:tc>
          <w:tcPr>
            <w:tcW w:w="772" w:type="dxa"/>
            <w:tcBorders>
              <w:top w:val="single" w:color="auto" w:sz="6" w:space="0"/>
              <w:left w:val="single" w:color="auto" w:sz="12" w:space="0"/>
              <w:bottom w:val="single" w:color="auto" w:sz="12" w:space="0"/>
              <w:right w:val="single" w:color="auto" w:sz="6" w:space="0"/>
            </w:tcBorders>
            <w:vAlign w:val="center"/>
          </w:tcPr>
          <w:p w14:paraId="3F633E3A">
            <w:pPr>
              <w:pageBreakBefore w:val="0"/>
              <w:widowControl w:val="0"/>
              <w:kinsoku/>
              <w:wordWrap w:val="0"/>
              <w:overflowPunct/>
              <w:topLinePunct w:val="0"/>
              <w:bidi w:val="0"/>
              <w:adjustRightInd w:val="0"/>
              <w:spacing w:line="600" w:lineRule="exact"/>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39</w:t>
            </w:r>
          </w:p>
        </w:tc>
        <w:tc>
          <w:tcPr>
            <w:tcW w:w="2715" w:type="dxa"/>
            <w:tcBorders>
              <w:top w:val="single" w:color="auto" w:sz="6" w:space="0"/>
              <w:left w:val="single" w:color="auto" w:sz="6" w:space="0"/>
              <w:bottom w:val="single" w:color="auto" w:sz="12" w:space="0"/>
              <w:right w:val="single" w:color="auto" w:sz="6" w:space="0"/>
            </w:tcBorders>
            <w:vAlign w:val="center"/>
          </w:tcPr>
          <w:p w14:paraId="3A97604B">
            <w:pPr>
              <w:pageBreakBefore w:val="0"/>
              <w:widowControl w:val="0"/>
              <w:kinsoku/>
              <w:wordWrap w:val="0"/>
              <w:overflowPunct/>
              <w:topLinePunct w:val="0"/>
              <w:bidi w:val="0"/>
              <w:adjustRightInd w:val="0"/>
              <w:spacing w:line="600" w:lineRule="exact"/>
              <w:jc w:val="left"/>
              <w:rPr>
                <w:rFonts w:ascii="宋体" w:hAnsi="宋体" w:cs="宋体"/>
                <w:spacing w:val="6"/>
                <w:kern w:val="2"/>
                <w:sz w:val="24"/>
                <w:szCs w:val="24"/>
              </w:rPr>
            </w:pPr>
            <w:r>
              <w:rPr>
                <w:rFonts w:hint="eastAsia" w:ascii="宋体" w:hAnsi="宋体" w:eastAsia="宋体" w:cs="宋体"/>
                <w:spacing w:val="6"/>
                <w:sz w:val="24"/>
                <w:szCs w:val="24"/>
              </w:rPr>
              <w:t>电子化注意事项</w:t>
            </w:r>
          </w:p>
        </w:tc>
        <w:tc>
          <w:tcPr>
            <w:tcW w:w="6323" w:type="dxa"/>
            <w:tcBorders>
              <w:top w:val="single" w:color="auto" w:sz="6" w:space="0"/>
              <w:left w:val="single" w:color="auto" w:sz="6" w:space="0"/>
              <w:bottom w:val="single" w:color="auto" w:sz="12" w:space="0"/>
              <w:right w:val="single" w:color="auto" w:sz="12" w:space="0"/>
            </w:tcBorders>
            <w:vAlign w:val="center"/>
          </w:tcPr>
          <w:p w14:paraId="2F0C840C">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本项目为电子化、无纸化交易项目，投标文件是投标人（以下简称“投标人”）通过中心投标文件制作系统制作，并经过电子签章和加密后生成的电子版投标文件。投标人投标时，将不再接受任何纸质文件资料。</w:t>
            </w:r>
          </w:p>
          <w:p w14:paraId="502E67E6">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电子化投标文件具体制作文件请点击https://download.bqpoint.com/download/downloaddetail.html?SourceFrom=Ztb&amp;ZtbSoftXiaQuCode=1532&amp;ZtbSoftType=tballinclusive进行下载。</w:t>
            </w:r>
          </w:p>
          <w:p w14:paraId="16886016">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温馨提示：本项目为电子化、无纸化交易项目，为保证您能投标成功，请需仔细阅读以下条款。</w:t>
            </w:r>
          </w:p>
          <w:p w14:paraId="64B8384B">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一、电子化投标</w:t>
            </w:r>
          </w:p>
          <w:p w14:paraId="446DBEEE">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（一）电子化投标文件的签章</w:t>
            </w:r>
          </w:p>
          <w:p w14:paraId="2990BF89">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1、投标人在生成电子化投标文件后，应对电子化投标文件进行签章，未进行签章的视为无效投标。</w:t>
            </w:r>
          </w:p>
          <w:p w14:paraId="7D99920B">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投标人使用“三门峡市公共资源交易中心投标制作工具”在制作电子投标文件时，应按规定进行盖章。投标文件格式中要求盖单位章的地方，投标人均应使用CA数字证书加盖投标人的单位电子签章。招标文件中要求法定代表人或授权委托人签字或盖章的，投标人在进行电子化投标文件签章时，以签盖法定代表人电子签章为准。</w:t>
            </w:r>
          </w:p>
          <w:p w14:paraId="2F8DD4E2">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（二）电子化投标文件的格式及上传投标</w:t>
            </w:r>
          </w:p>
          <w:p w14:paraId="194DFC1A">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投标人所上传的电子化投标文件，应是通过中心投标文件制作系统制作的（投标文件制作工具下载地址：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5E8CBFD1">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w:t>
            </w:r>
          </w:p>
          <w:p w14:paraId="61C14FFE">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电子化投标文件应在投标截止时间前成功上传至三门峡市公共资源电子化交易系统。至投标截止时间止，仍未上传成功的电子化投标文件将不予接收。</w:t>
            </w:r>
          </w:p>
          <w:p w14:paraId="0E972528">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4270C736">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技术联系电话：400 998 0000、0398-3117871</w:t>
            </w:r>
          </w:p>
          <w:p w14:paraId="5272076D">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（三）电子化项目开标、解密、唱标、评标</w:t>
            </w:r>
          </w:p>
          <w:p w14:paraId="1F8F2D20">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 ）,在线准时参加开标活动并进行投标文件解密等</w:t>
            </w:r>
          </w:p>
          <w:p w14:paraId="50B94444">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6F8BF4F5">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3、电子化投标文件解密异常的处理</w:t>
            </w:r>
          </w:p>
          <w:p w14:paraId="4D00273A">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如出现投标人的电子投标文件无法解密等异常情况，投标人应及时致电中介服务机构说明。投标文件异常，按以下步骤进行处理：</w:t>
            </w:r>
          </w:p>
          <w:p w14:paraId="1357BE28">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（1）首先由技术人员进行问题排查。</w:t>
            </w:r>
          </w:p>
          <w:p w14:paraId="3E9E937B">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（2）经技术人员排查后，是投标人文件自身问题导致投标文件无法解密的，该投标文件将不予接收、解密和唱标。开标会议继续进行。</w:t>
            </w:r>
          </w:p>
          <w:p w14:paraId="710163DB">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1C532C7">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4、待所有投标人投标文件解密完成后，由中介服务机构操作，对所有已解密投标文件进行唱标。</w:t>
            </w:r>
          </w:p>
          <w:p w14:paraId="5D057FBB">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投标人应保证在开标期间电话、电脑、网络能够正常工作，投标人因停电、电脑病毒、网络堵塞等原因，未在规定的解密时间内对投标文件进行解密的，其投标文件不予接收、唱标。</w:t>
            </w:r>
          </w:p>
          <w:p w14:paraId="0F40B8C2">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开标时投标人可登录到交易系统中在开标解密栏中点击报价一览表查看自己的投标报价。如对自己的唱标内容有异议的，应在投标人解密成功后10分钟内向中服务机构通过开标大厅对话框提出质疑。中介服务机构应在监督人员的监督下接受投标人的质疑通过开标大厅对话框进行答复并做好书面记录。投标人未在规定时间内提出质疑的，视为认可唱标内容。</w:t>
            </w:r>
          </w:p>
          <w:p w14:paraId="44C8C5AD">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评标时，评标委员会对电子化投标文件有质疑的，将通过电子化交易系统向投标人发起质疑。投标人的回复文件必须以经过投标人和其法定代表人签章的PDF式文件为准，并通过电子化交易系统提交至评标委员会。</w:t>
            </w:r>
          </w:p>
          <w:p w14:paraId="505DC74E">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7、如评标委员会对需要回复的投标人在规定时间内（30分钟内）通过电子化交易系统未收到回复的，视为投标人放弃回复，评标委员会将自行对需要回复的内容进行认定。</w:t>
            </w:r>
          </w:p>
          <w:p w14:paraId="5249A3D6">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二、相关证书原件的提交</w:t>
            </w:r>
          </w:p>
          <w:p w14:paraId="44463245">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本项目实行资格后审，招标文件中要求投标人提交相关资料原件的，投标人需将原件扫描件制作到电子投标文件中，同时投标人要完善主体库，但不作为评标依据。评标委员会对原件的核验工作按以下条款进行：</w:t>
            </w:r>
          </w:p>
          <w:p w14:paraId="3C3D9591">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评标时，评委应以投标文件中原件扫描件为准且必须内容齐全、真实有效、清晰可辨，同时投标人应完善主体信息库中本项目投标资料，其内容真实性由投标人自行承担。规定时间外上传或更改的信息不作为评标依据。评标时不接受投标人所提交的任何原件。</w:t>
            </w:r>
          </w:p>
          <w:p w14:paraId="7229EA8E">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在项目开标时间起至评标结束至，主体库将处于锁定状态。如连续投报多个项目，主体库锁定时间也将延长，请投标人合理安排资料上传时间，尽可能早的将所有项目资料上传至三门峡市公共资源交易投标人（供应商）主体库。</w:t>
            </w:r>
          </w:p>
          <w:p w14:paraId="5F64EF5E">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具体操作详见《三门峡市公共资源交易投标人（供应商）主体信息库操作手册》。</w:t>
            </w:r>
          </w:p>
          <w:p w14:paraId="27C3714E">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（二）项目评标结果公示时，将同时公示中标候选人主体库信息，接受社会监督。</w:t>
            </w:r>
          </w:p>
          <w:p w14:paraId="08EFB064">
            <w:pPr>
              <w:pageBreakBefore w:val="0"/>
              <w:kinsoku/>
              <w:wordWrap w:val="0"/>
              <w:overflowPunct/>
              <w:topLinePunct w:val="0"/>
              <w:bidi w:val="0"/>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（三）投标人需应仔细阅读操作手册，保证上传内容齐全，真实有效，原件扫描件清晰可辨。因投标人上传原因导致应得分项而未得分或资格审查不合格等情况的，由投标人自行承担责任。</w:t>
            </w:r>
          </w:p>
          <w:p w14:paraId="57D37493">
            <w:pPr>
              <w:pageBreakBefore w:val="0"/>
              <w:tabs>
                <w:tab w:val="left" w:pos="9720"/>
              </w:tabs>
              <w:kinsoku/>
              <w:wordWrap w:val="0"/>
              <w:overflowPunct/>
              <w:topLinePunct w:val="0"/>
              <w:autoSpaceDE w:val="0"/>
              <w:autoSpaceDN w:val="0"/>
              <w:bidi w:val="0"/>
              <w:adjustRightInd w:val="0"/>
              <w:spacing w:line="360" w:lineRule="exact"/>
              <w:ind w:right="-34" w:rightChars="-17"/>
              <w:rPr>
                <w:rFonts w:ascii="宋体" w:hAnsi="宋体"/>
                <w:kern w:val="2"/>
                <w:sz w:val="24"/>
                <w:szCs w:val="24"/>
              </w:rPr>
            </w:pPr>
            <w:r>
              <w:rPr>
                <w:rFonts w:hint="eastAsia" w:ascii="宋体" w:hAnsi="宋体" w:eastAsia="宋体" w:cs="宋体"/>
                <w:kern w:val="0"/>
                <w:sz w:val="21"/>
                <w:szCs w:val="21"/>
                <w:highlight w:val="none"/>
              </w:rPr>
              <w:t>提示：本项目为电子化、无纸化交易项目，开标时不再接受任何纸质资料，为保证您能投标成功，请需仔细阅读以上条款。</w:t>
            </w:r>
          </w:p>
        </w:tc>
      </w:tr>
    </w:tbl>
    <w:p w14:paraId="709A1AA4">
      <w:pPr>
        <w:pageBreakBefore w:val="0"/>
        <w:kinsoku/>
        <w:wordWrap w:val="0"/>
        <w:overflowPunct/>
        <w:topLinePunct w:val="0"/>
        <w:bidi w:val="0"/>
        <w:spacing w:line="360" w:lineRule="auto"/>
        <w:jc w:val="center"/>
        <w:outlineLvl w:val="0"/>
        <w:rPr>
          <w:rFonts w:ascii="宋体" w:hAnsi="宋体"/>
          <w:b/>
          <w:bCs/>
          <w:sz w:val="32"/>
        </w:rPr>
      </w:pPr>
      <w:bookmarkStart w:id="19" w:name="_Toc19045"/>
      <w:bookmarkStart w:id="20" w:name="_Toc3544"/>
      <w:bookmarkStart w:id="21" w:name="_Toc26085"/>
      <w:bookmarkStart w:id="22" w:name="_Toc9907"/>
      <w:r>
        <w:rPr>
          <w:rFonts w:hint="eastAsia" w:ascii="宋体" w:hAnsi="宋体"/>
          <w:b/>
          <w:bCs/>
          <w:sz w:val="32"/>
        </w:rPr>
        <w:t>总  则</w:t>
      </w:r>
      <w:bookmarkEnd w:id="19"/>
      <w:bookmarkEnd w:id="20"/>
      <w:bookmarkEnd w:id="21"/>
    </w:p>
    <w:p w14:paraId="6D223D92">
      <w:pPr>
        <w:pageBreakBefore w:val="0"/>
        <w:kinsoku/>
        <w:wordWrap w:val="0"/>
        <w:overflowPunct/>
        <w:topLinePunct w:val="0"/>
        <w:bidi w:val="0"/>
        <w:spacing w:line="440" w:lineRule="exact"/>
        <w:ind w:firstLine="482" w:firstLineChars="200"/>
        <w:rPr>
          <w:rFonts w:cs="宋体" w:asciiTheme="minorEastAsia" w:hAnsiTheme="minorEastAsia" w:eastAsiaTheme="minorEastAsia"/>
          <w:b/>
          <w:bCs/>
          <w:kern w:val="0"/>
          <w:sz w:val="24"/>
          <w:szCs w:val="24"/>
        </w:rPr>
      </w:pPr>
      <w:bookmarkStart w:id="23" w:name="_Toc479"/>
      <w:r>
        <w:rPr>
          <w:rFonts w:hint="eastAsia" w:cs="宋体" w:asciiTheme="minorEastAsia" w:hAnsiTheme="minorEastAsia" w:eastAsiaTheme="minorEastAsia"/>
          <w:b/>
          <w:bCs/>
          <w:kern w:val="0"/>
          <w:sz w:val="24"/>
          <w:szCs w:val="24"/>
        </w:rPr>
        <w:t>1.1项目概况</w:t>
      </w:r>
    </w:p>
    <w:p w14:paraId="6FDF7477">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 根据《中华人民共和国政府采购法》 等有关法律、法规和规章的规定，本项目已具备磋商条件，现对本项目进行竞争性磋商。</w:t>
      </w:r>
    </w:p>
    <w:p w14:paraId="02D4D8AA">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本磋商项目采购人：见响应人须知前附表。</w:t>
      </w:r>
    </w:p>
    <w:p w14:paraId="05F6CF00">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本磋商项目招标代理机构：见响应人须知前附表。</w:t>
      </w:r>
    </w:p>
    <w:p w14:paraId="2695BBBC">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本磋商项目名称：见响应人须知前附表。</w:t>
      </w:r>
    </w:p>
    <w:p w14:paraId="1A73FFB7">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 本磋商项目建设地点：见响应人须知前附表。</w:t>
      </w:r>
    </w:p>
    <w:p w14:paraId="2A6A813A">
      <w:pPr>
        <w:keepNext/>
        <w:keepLines/>
        <w:pageBreakBefore w:val="0"/>
        <w:kinsoku/>
        <w:wordWrap w:val="0"/>
        <w:overflowPunct/>
        <w:topLinePunct w:val="0"/>
        <w:bidi w:val="0"/>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1.2 资金来源</w:t>
      </w:r>
    </w:p>
    <w:p w14:paraId="0358DAFE">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本招标项目的资金来源：见响应人须知前附表。</w:t>
      </w:r>
    </w:p>
    <w:p w14:paraId="0AB35B15">
      <w:pPr>
        <w:keepNext/>
        <w:keepLines/>
        <w:pageBreakBefore w:val="0"/>
        <w:kinsoku/>
        <w:wordWrap w:val="0"/>
        <w:overflowPunct/>
        <w:topLinePunct w:val="0"/>
        <w:bidi w:val="0"/>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1.3 磋商范围、计划工期和质量要求</w:t>
      </w:r>
    </w:p>
    <w:p w14:paraId="7AC5A3AA">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本次磋商范围：见响应人须知前附表。</w:t>
      </w:r>
    </w:p>
    <w:p w14:paraId="531A70C3">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本工程的计划工期：见响应人须知前附表。</w:t>
      </w:r>
    </w:p>
    <w:p w14:paraId="7F27D172">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本工程的质量要求：见响应人须知前附表。</w:t>
      </w:r>
    </w:p>
    <w:p w14:paraId="28256DDF">
      <w:pPr>
        <w:keepNext/>
        <w:keepLines/>
        <w:pageBreakBefore w:val="0"/>
        <w:kinsoku/>
        <w:wordWrap w:val="0"/>
        <w:overflowPunct/>
        <w:topLinePunct w:val="0"/>
        <w:bidi w:val="0"/>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1.4响应人资格要求</w:t>
      </w:r>
    </w:p>
    <w:p w14:paraId="5D69AA6D">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响应人应具备承担本工程施工的资质条件、能力和信誉见前附表。</w:t>
      </w:r>
    </w:p>
    <w:p w14:paraId="7D5E3D27">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 响应人不得存在下列情形之一：</w:t>
      </w:r>
    </w:p>
    <w:p w14:paraId="012A1488">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(l）为采购人不具有独立法人资格的附属机构（单位）；</w:t>
      </w:r>
    </w:p>
    <w:p w14:paraId="3E24D015">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(2）为本磋商项目前期准备提供设计或咨询服务，但设计施工总承包的除外；</w:t>
      </w:r>
    </w:p>
    <w:p w14:paraId="416EEE3D">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(3）为本磋商项目的监理人；</w:t>
      </w:r>
    </w:p>
    <w:p w14:paraId="4A2D7213">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(4）为本磋商项目的代建人；</w:t>
      </w:r>
    </w:p>
    <w:p w14:paraId="18F3E984">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(5）为本磋商项目提供采购代理服务的；</w:t>
      </w:r>
    </w:p>
    <w:p w14:paraId="2F11EC91">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(6）与本磋商项目的监理人或代建人或采购代理机构同为一个法定代表人的；</w:t>
      </w:r>
    </w:p>
    <w:p w14:paraId="17A9A703">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(7）与本磋商项目的监理人或代建人或采购代理机构相互控股或参股的；</w:t>
      </w:r>
    </w:p>
    <w:p w14:paraId="5231B2E8">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(8）与本磋商项目的监理人或代建人或采购代理机构相互任职或工作的；</w:t>
      </w:r>
    </w:p>
    <w:p w14:paraId="1BCE45E5">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(9）被责令停业的；</w:t>
      </w:r>
    </w:p>
    <w:p w14:paraId="68A8D0DC">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(10）被暂停或取消磋商资格的；</w:t>
      </w:r>
    </w:p>
    <w:p w14:paraId="0DC9A844">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(11）财产被接管或冻结的；</w:t>
      </w:r>
    </w:p>
    <w:p w14:paraId="24D0C3C6">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(12）在最近三年内有骗取成交或严重违约或重大质量问题的。</w:t>
      </w:r>
    </w:p>
    <w:p w14:paraId="0C2AD281">
      <w:pPr>
        <w:keepNext/>
        <w:keepLines/>
        <w:pageBreakBefore w:val="0"/>
        <w:kinsoku/>
        <w:wordWrap w:val="0"/>
        <w:overflowPunct/>
        <w:topLinePunct w:val="0"/>
        <w:bidi w:val="0"/>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1.5 费用承担</w:t>
      </w:r>
    </w:p>
    <w:p w14:paraId="27AC63B5">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响应人准备和参加磋商活动发生的费用自理。</w:t>
      </w:r>
    </w:p>
    <w:p w14:paraId="283124C8">
      <w:pPr>
        <w:keepNext/>
        <w:keepLines/>
        <w:pageBreakBefore w:val="0"/>
        <w:kinsoku/>
        <w:wordWrap w:val="0"/>
        <w:overflowPunct/>
        <w:topLinePunct w:val="0"/>
        <w:bidi w:val="0"/>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1.6 保密</w:t>
      </w:r>
    </w:p>
    <w:p w14:paraId="068A8E26">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参与磋商活动的各方应对磋商文件和响应文件中的商业和技术等秘密保密，违者应对由此造成的后果承担法律责任。</w:t>
      </w:r>
    </w:p>
    <w:p w14:paraId="3DABE3D8">
      <w:pPr>
        <w:keepNext/>
        <w:keepLines/>
        <w:pageBreakBefore w:val="0"/>
        <w:kinsoku/>
        <w:wordWrap w:val="0"/>
        <w:overflowPunct/>
        <w:topLinePunct w:val="0"/>
        <w:bidi w:val="0"/>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1.7 语言文字</w:t>
      </w:r>
    </w:p>
    <w:p w14:paraId="1736171B">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除专用术语外，与采购磋商有关的语言均使用中文。必要时专用术语应附有中文注释。</w:t>
      </w:r>
    </w:p>
    <w:p w14:paraId="29D800EA">
      <w:pPr>
        <w:keepNext/>
        <w:keepLines/>
        <w:pageBreakBefore w:val="0"/>
        <w:kinsoku/>
        <w:wordWrap w:val="0"/>
        <w:overflowPunct/>
        <w:topLinePunct w:val="0"/>
        <w:bidi w:val="0"/>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1.8 计量单位</w:t>
      </w:r>
    </w:p>
    <w:p w14:paraId="4D0E4AFE">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14:paraId="54E77995">
      <w:pPr>
        <w:keepNext/>
        <w:keepLines/>
        <w:pageBreakBefore w:val="0"/>
        <w:kinsoku/>
        <w:wordWrap w:val="0"/>
        <w:overflowPunct/>
        <w:topLinePunct w:val="0"/>
        <w:bidi w:val="0"/>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1.9 踏勘现场</w:t>
      </w:r>
    </w:p>
    <w:p w14:paraId="0EC913A9">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7C16673D">
      <w:pPr>
        <w:keepNext/>
        <w:keepLines/>
        <w:pageBreakBefore w:val="0"/>
        <w:kinsoku/>
        <w:wordWrap w:val="0"/>
        <w:overflowPunct/>
        <w:topLinePunct w:val="0"/>
        <w:bidi w:val="0"/>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1.10 磋商预备会</w:t>
      </w:r>
    </w:p>
    <w:p w14:paraId="67D4C493">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2E9CEC14">
      <w:pPr>
        <w:keepNext/>
        <w:keepLines/>
        <w:pageBreakBefore w:val="0"/>
        <w:kinsoku/>
        <w:wordWrap w:val="0"/>
        <w:overflowPunct/>
        <w:topLinePunct w:val="0"/>
        <w:bidi w:val="0"/>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1.11 分包</w:t>
      </w:r>
    </w:p>
    <w:p w14:paraId="78648EA4">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不允许分包。</w:t>
      </w:r>
    </w:p>
    <w:p w14:paraId="7941036E">
      <w:pPr>
        <w:keepNext/>
        <w:keepLines/>
        <w:pageBreakBefore w:val="0"/>
        <w:kinsoku/>
        <w:wordWrap w:val="0"/>
        <w:overflowPunct/>
        <w:topLinePunct w:val="0"/>
        <w:bidi w:val="0"/>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1.12 偏离</w:t>
      </w:r>
    </w:p>
    <w:p w14:paraId="4D8FEDFF">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bookmarkStart w:id="24" w:name="_Toc184635072"/>
      <w:bookmarkEnd w:id="24"/>
      <w:r>
        <w:rPr>
          <w:rFonts w:hint="eastAsia" w:cs="宋体" w:asciiTheme="minorEastAsia" w:hAnsiTheme="minorEastAsia" w:eastAsiaTheme="minorEastAsia"/>
          <w:sz w:val="24"/>
          <w:szCs w:val="24"/>
        </w:rPr>
        <w:t>不允许偏离</w:t>
      </w:r>
    </w:p>
    <w:p w14:paraId="069DA915">
      <w:pPr>
        <w:keepNext/>
        <w:keepLines/>
        <w:pageBreakBefore w:val="0"/>
        <w:kinsoku/>
        <w:wordWrap w:val="0"/>
        <w:overflowPunct/>
        <w:topLinePunct w:val="0"/>
        <w:bidi w:val="0"/>
        <w:spacing w:line="440" w:lineRule="exact"/>
        <w:ind w:left="851" w:hanging="284"/>
        <w:outlineLvl w:val="0"/>
        <w:rPr>
          <w:rFonts w:cs="宋体" w:asciiTheme="minorEastAsia" w:hAnsiTheme="minorEastAsia" w:eastAsiaTheme="minorEastAsia"/>
          <w:b/>
          <w:bCs w:val="0"/>
          <w:sz w:val="24"/>
          <w:szCs w:val="24"/>
        </w:rPr>
      </w:pPr>
      <w:bookmarkStart w:id="25" w:name="_Toc466566784"/>
      <w:bookmarkEnd w:id="25"/>
      <w:bookmarkStart w:id="26" w:name="_Toc17642"/>
      <w:bookmarkStart w:id="27" w:name="_Toc17517"/>
      <w:bookmarkStart w:id="28" w:name="_Toc23678"/>
      <w:bookmarkStart w:id="29" w:name="_Toc466566695"/>
      <w:bookmarkStart w:id="30" w:name="_Toc25592"/>
      <w:bookmarkStart w:id="31" w:name="_Toc868"/>
      <w:r>
        <w:rPr>
          <w:rFonts w:hint="eastAsia" w:cs="宋体" w:asciiTheme="minorEastAsia" w:hAnsiTheme="minorEastAsia" w:eastAsiaTheme="minorEastAsia"/>
          <w:b/>
          <w:bCs w:val="0"/>
          <w:sz w:val="24"/>
          <w:szCs w:val="24"/>
        </w:rPr>
        <w:t>2．1竞争性磋商文件</w:t>
      </w:r>
      <w:bookmarkEnd w:id="26"/>
      <w:bookmarkEnd w:id="27"/>
      <w:bookmarkEnd w:id="28"/>
      <w:bookmarkEnd w:id="29"/>
      <w:bookmarkEnd w:id="30"/>
      <w:bookmarkEnd w:id="31"/>
    </w:p>
    <w:p w14:paraId="64073053">
      <w:pPr>
        <w:keepNext/>
        <w:keepLines/>
        <w:pageBreakBefore w:val="0"/>
        <w:kinsoku/>
        <w:wordWrap w:val="0"/>
        <w:overflowPunct/>
        <w:topLinePunct w:val="0"/>
        <w:bidi w:val="0"/>
        <w:spacing w:line="440" w:lineRule="exact"/>
        <w:ind w:left="851" w:hanging="284"/>
        <w:outlineLvl w:val="1"/>
        <w:rPr>
          <w:rFonts w:cs="宋体" w:asciiTheme="minorEastAsia" w:hAnsiTheme="minorEastAsia" w:eastAsiaTheme="minorEastAsia"/>
          <w:sz w:val="24"/>
          <w:szCs w:val="24"/>
        </w:rPr>
      </w:pPr>
      <w:bookmarkStart w:id="32" w:name="_Toc5370"/>
      <w:r>
        <w:rPr>
          <w:rFonts w:hint="eastAsia" w:cs="宋体" w:asciiTheme="minorEastAsia" w:hAnsiTheme="minorEastAsia" w:eastAsiaTheme="minorEastAsia"/>
          <w:b/>
          <w:sz w:val="24"/>
          <w:szCs w:val="24"/>
        </w:rPr>
        <w:t xml:space="preserve">2.1.1 </w:t>
      </w:r>
      <w:r>
        <w:rPr>
          <w:rFonts w:hint="eastAsia" w:cs="宋体" w:asciiTheme="minorEastAsia" w:hAnsiTheme="minorEastAsia" w:eastAsiaTheme="minorEastAsia"/>
          <w:sz w:val="24"/>
          <w:szCs w:val="24"/>
        </w:rPr>
        <w:t>竞争性磋商文件的组成</w:t>
      </w:r>
      <w:bookmarkEnd w:id="32"/>
    </w:p>
    <w:p w14:paraId="23CD9090">
      <w:pPr>
        <w:pageBreakBefore w:val="0"/>
        <w:kinsoku/>
        <w:wordWrap w:val="0"/>
        <w:overflowPunct/>
        <w:topLinePunct w:val="0"/>
        <w:bidi w:val="0"/>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本竞争性磋商文件包括：</w:t>
      </w:r>
    </w:p>
    <w:p w14:paraId="3CDC4A73">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（1）竞争性磋商公告；</w:t>
      </w:r>
    </w:p>
    <w:p w14:paraId="68D71528">
      <w:pPr>
        <w:pageBreakBefore w:val="0"/>
        <w:kinsoku/>
        <w:wordWrap w:val="0"/>
        <w:overflowPunct/>
        <w:topLinePunct w:val="0"/>
        <w:bidi w:val="0"/>
        <w:spacing w:line="440" w:lineRule="exact"/>
        <w:ind w:firstLine="480" w:firstLineChars="20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（2）供应商须知</w:t>
      </w:r>
      <w:r>
        <w:rPr>
          <w:rFonts w:hint="eastAsia" w:cs="宋体" w:asciiTheme="minorEastAsia" w:hAnsiTheme="minorEastAsia" w:eastAsiaTheme="minorEastAsia"/>
          <w:sz w:val="24"/>
          <w:szCs w:val="24"/>
          <w:lang w:eastAsia="zh-CN"/>
        </w:rPr>
        <w:t>；</w:t>
      </w:r>
    </w:p>
    <w:p w14:paraId="7766DA0A">
      <w:pPr>
        <w:pageBreakBefore w:val="0"/>
        <w:kinsoku/>
        <w:wordWrap w:val="0"/>
        <w:overflowPunct/>
        <w:topLinePunct w:val="0"/>
        <w:bidi w:val="0"/>
        <w:spacing w:line="440" w:lineRule="exact"/>
        <w:ind w:firstLine="480" w:firstLineChars="20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（3）评审标准</w:t>
      </w:r>
      <w:r>
        <w:rPr>
          <w:rFonts w:hint="eastAsia" w:cs="宋体" w:asciiTheme="minorEastAsia" w:hAnsiTheme="minorEastAsia" w:eastAsiaTheme="minorEastAsia"/>
          <w:sz w:val="24"/>
          <w:szCs w:val="24"/>
        </w:rPr>
        <w:t>；</w:t>
      </w:r>
    </w:p>
    <w:p w14:paraId="512D6F6F">
      <w:pPr>
        <w:pageBreakBefore w:val="0"/>
        <w:kinsoku/>
        <w:wordWrap w:val="0"/>
        <w:overflowPunct/>
        <w:topLinePunct w:val="0"/>
        <w:bidi w:val="0"/>
        <w:spacing w:line="440" w:lineRule="exact"/>
        <w:ind w:firstLine="480" w:firstLineChars="20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（4）</w:t>
      </w:r>
      <w:r>
        <w:rPr>
          <w:rFonts w:hint="eastAsia" w:cs="宋体" w:asciiTheme="minorEastAsia" w:hAnsiTheme="minorEastAsia" w:eastAsiaTheme="minorEastAsia"/>
          <w:sz w:val="24"/>
          <w:szCs w:val="24"/>
          <w:lang w:val="zh-CN" w:eastAsia="zh-CN"/>
        </w:rPr>
        <w:t>合同条款及格式</w:t>
      </w:r>
      <w:r>
        <w:rPr>
          <w:rFonts w:hint="eastAsia" w:cs="宋体" w:asciiTheme="minorEastAsia" w:hAnsiTheme="minorEastAsia" w:eastAsiaTheme="minorEastAsia"/>
          <w:sz w:val="24"/>
          <w:szCs w:val="24"/>
          <w:lang w:eastAsia="zh-CN"/>
        </w:rPr>
        <w:t>；</w:t>
      </w:r>
    </w:p>
    <w:p w14:paraId="6D9904EB">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w:t>
      </w:r>
      <w:r>
        <w:rPr>
          <w:rFonts w:hint="eastAsia" w:cs="宋体" w:asciiTheme="minorEastAsia" w:hAnsiTheme="minorEastAsia" w:eastAsiaTheme="minorEastAsia"/>
          <w:sz w:val="24"/>
          <w:szCs w:val="24"/>
          <w:lang w:eastAsia="zh-CN"/>
        </w:rPr>
        <w:t>工程量清单及图纸；</w:t>
      </w:r>
    </w:p>
    <w:p w14:paraId="467417BB">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sz w:val="24"/>
          <w:szCs w:val="24"/>
          <w:lang w:val="en-US" w:eastAsia="zh-CN"/>
        </w:rPr>
        <w:t>6</w:t>
      </w:r>
      <w:r>
        <w:rPr>
          <w:rFonts w:hint="eastAsia" w:cs="宋体" w:asciiTheme="minorEastAsia" w:hAnsiTheme="minorEastAsia" w:eastAsiaTheme="minorEastAsia"/>
          <w:sz w:val="24"/>
          <w:szCs w:val="24"/>
        </w:rPr>
        <w:t>）响应文件格式；</w:t>
      </w:r>
    </w:p>
    <w:p w14:paraId="533A29D8">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对竞争性磋商文件所作的澄清、修改，构成竞争性文件的组成部分。</w:t>
      </w:r>
    </w:p>
    <w:p w14:paraId="32D27555">
      <w:pPr>
        <w:keepNext/>
        <w:keepLines/>
        <w:pageBreakBefore w:val="0"/>
        <w:kinsoku/>
        <w:wordWrap w:val="0"/>
        <w:overflowPunct/>
        <w:topLinePunct w:val="0"/>
        <w:bidi w:val="0"/>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2.2 竞争性磋商文件的澄清</w:t>
      </w:r>
    </w:p>
    <w:p w14:paraId="1C69C012">
      <w:pPr>
        <w:pageBreakBefore w:val="0"/>
        <w:kinsoku/>
        <w:wordWrap w:val="0"/>
        <w:overflowPunct/>
        <w:topLinePunct w:val="0"/>
        <w:bidi w:val="0"/>
        <w:spacing w:line="440" w:lineRule="exact"/>
        <w:ind w:firstLine="480" w:firstLineChars="20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2.2.1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p>
    <w:p w14:paraId="3223B966">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2.2.2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362D4C0A">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2.2.3 响应人应自行查看澄清信息。</w:t>
      </w:r>
    </w:p>
    <w:p w14:paraId="47865E4F">
      <w:pPr>
        <w:pageBreakBefore w:val="0"/>
        <w:kinsoku/>
        <w:wordWrap w:val="0"/>
        <w:overflowPunct/>
        <w:topLinePunct w:val="0"/>
        <w:bidi w:val="0"/>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2.3 竞争性磋商文件的修改</w:t>
      </w:r>
    </w:p>
    <w:p w14:paraId="19CEF407">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 在磋商截止时间5天前，采购人可以修改竞争性磋商文件，并以变更公告形式通知所有已购买竞争性磋商文件的响应人。</w:t>
      </w:r>
    </w:p>
    <w:p w14:paraId="45C4CE21">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5F2BB74C">
      <w:pPr>
        <w:pageBreakBefore w:val="0"/>
        <w:kinsoku/>
        <w:wordWrap w:val="0"/>
        <w:overflowPunct/>
        <w:topLinePunct w:val="0"/>
        <w:bidi w:val="0"/>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2.3.3为使响应人在准备响应文件时有合理的时间考虑竞争性磋商文件的修改，招标代理机构可酌情推迟磋商截止时间和磋商时间，但应当至少在磋商截止时间三个日历天前将变更时间以发布变更公告的形式通知所有响应人。该修改内容为竞争性磋商文件的组成部分。在此情况下，采购人和响应人受磋商截止期制约的所有权利和义务均应延长至新的截止日期。</w:t>
      </w:r>
      <w:bookmarkStart w:id="33" w:name="_Toc184635073"/>
      <w:bookmarkEnd w:id="33"/>
    </w:p>
    <w:p w14:paraId="3428070A">
      <w:pPr>
        <w:pageBreakBefore w:val="0"/>
        <w:kinsoku/>
        <w:wordWrap w:val="0"/>
        <w:overflowPunct/>
        <w:topLinePunct w:val="0"/>
        <w:bidi w:val="0"/>
        <w:spacing w:line="440" w:lineRule="exact"/>
        <w:ind w:firstLine="482" w:firstLineChars="200"/>
        <w:outlineLvl w:val="0"/>
        <w:rPr>
          <w:rFonts w:cs="宋体" w:asciiTheme="minorEastAsia" w:hAnsiTheme="minorEastAsia" w:eastAsiaTheme="minorEastAsia"/>
          <w:b/>
          <w:bCs/>
          <w:kern w:val="0"/>
          <w:sz w:val="24"/>
          <w:szCs w:val="24"/>
        </w:rPr>
      </w:pPr>
      <w:bookmarkStart w:id="34" w:name="_Toc29761"/>
      <w:bookmarkStart w:id="35" w:name="_Toc1460"/>
      <w:r>
        <w:rPr>
          <w:rFonts w:hint="eastAsia" w:cs="宋体" w:asciiTheme="minorEastAsia" w:hAnsiTheme="minorEastAsia" w:eastAsiaTheme="minorEastAsia"/>
          <w:b/>
          <w:bCs/>
          <w:kern w:val="0"/>
          <w:sz w:val="24"/>
          <w:szCs w:val="24"/>
        </w:rPr>
        <w:t>3．响应文件</w:t>
      </w:r>
      <w:bookmarkEnd w:id="34"/>
      <w:bookmarkEnd w:id="35"/>
    </w:p>
    <w:p w14:paraId="2CEE7C3A">
      <w:pPr>
        <w:pageBreakBefore w:val="0"/>
        <w:kinsoku/>
        <w:wordWrap w:val="0"/>
        <w:overflowPunct/>
        <w:topLinePunct w:val="0"/>
        <w:bidi w:val="0"/>
        <w:spacing w:line="440" w:lineRule="exact"/>
        <w:ind w:firstLine="482" w:firstLineChars="20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3.1 响应文件的组成</w:t>
      </w:r>
    </w:p>
    <w:p w14:paraId="7D8EB9E7">
      <w:pPr>
        <w:pageBreakBefore w:val="0"/>
        <w:widowControl/>
        <w:kinsoku/>
        <w:wordWrap w:val="0"/>
        <w:overflowPunct/>
        <w:topLinePunct w:val="0"/>
        <w:bidi w:val="0"/>
        <w:spacing w:line="440" w:lineRule="exact"/>
        <w:ind w:firstLine="482" w:firstLineChars="200"/>
        <w:jc w:val="left"/>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3.1.1 响应文件应包括下列内容：</w:t>
      </w:r>
    </w:p>
    <w:p w14:paraId="0945853D">
      <w:pPr>
        <w:pageBreakBefore w:val="0"/>
        <w:widowControl/>
        <w:kinsoku/>
        <w:wordWrap w:val="0"/>
        <w:overflowPunct/>
        <w:topLinePunct w:val="0"/>
        <w:bidi w:val="0"/>
        <w:spacing w:line="44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kern w:val="0"/>
          <w:sz w:val="24"/>
          <w:szCs w:val="24"/>
        </w:rPr>
        <w:t>磋商函及磋商函附录</w:t>
      </w:r>
    </w:p>
    <w:p w14:paraId="10381FBD">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（2）法定代表人身份证明</w:t>
      </w:r>
    </w:p>
    <w:p w14:paraId="2E573379">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（3）授权委托书</w:t>
      </w:r>
    </w:p>
    <w:p w14:paraId="45ECFC60">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（4）磋商承诺函</w:t>
      </w:r>
    </w:p>
    <w:p w14:paraId="6E63278C">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（5）已标价工程量清单</w:t>
      </w:r>
    </w:p>
    <w:p w14:paraId="06A94F69">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（6）施工组织设计</w:t>
      </w:r>
    </w:p>
    <w:p w14:paraId="4BC4FB25">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（7）资格审查资料</w:t>
      </w:r>
    </w:p>
    <w:p w14:paraId="340AE012">
      <w:pPr>
        <w:pageBreakBefore w:val="0"/>
        <w:widowControl/>
        <w:kinsoku/>
        <w:wordWrap w:val="0"/>
        <w:overflowPunct/>
        <w:topLinePunct w:val="0"/>
        <w:bidi w:val="0"/>
        <w:spacing w:line="44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（8）</w:t>
      </w:r>
      <w:r>
        <w:rPr>
          <w:rFonts w:hint="eastAsia" w:cs="宋体" w:asciiTheme="minorEastAsia" w:hAnsiTheme="minorEastAsia" w:eastAsiaTheme="minorEastAsia"/>
          <w:kern w:val="0"/>
          <w:sz w:val="24"/>
          <w:szCs w:val="24"/>
        </w:rPr>
        <w:t>项目管理机构</w:t>
      </w:r>
    </w:p>
    <w:p w14:paraId="7803D749">
      <w:pPr>
        <w:pageBreakBefore w:val="0"/>
        <w:widowControl/>
        <w:kinsoku/>
        <w:wordWrap w:val="0"/>
        <w:overflowPunct/>
        <w:topLinePunct w:val="0"/>
        <w:bidi w:val="0"/>
        <w:spacing w:line="44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9</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中小企业声明函</w:t>
      </w:r>
    </w:p>
    <w:p w14:paraId="58012255">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10</w:t>
      </w:r>
      <w:r>
        <w:rPr>
          <w:rFonts w:hint="eastAsia" w:cs="宋体" w:asciiTheme="minorEastAsia" w:hAnsiTheme="minorEastAsia" w:eastAsiaTheme="minorEastAsia"/>
          <w:sz w:val="24"/>
          <w:szCs w:val="24"/>
        </w:rPr>
        <w:t>）其它材料</w:t>
      </w:r>
    </w:p>
    <w:p w14:paraId="4CE2B0C6">
      <w:pPr>
        <w:pageBreakBefore w:val="0"/>
        <w:kinsoku/>
        <w:wordWrap w:val="0"/>
        <w:overflowPunct/>
        <w:topLinePunct w:val="0"/>
        <w:bidi w:val="0"/>
        <w:spacing w:line="44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3.1.2</w:t>
      </w:r>
    </w:p>
    <w:p w14:paraId="6B576A43">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08D80988">
      <w:pPr>
        <w:pageBreakBefore w:val="0"/>
        <w:kinsoku/>
        <w:wordWrap w:val="0"/>
        <w:overflowPunct/>
        <w:topLinePunct w:val="0"/>
        <w:autoSpaceDE w:val="0"/>
        <w:autoSpaceDN w:val="0"/>
        <w:bidi w:val="0"/>
        <w:adjustRightInd w:val="0"/>
        <w:spacing w:line="440" w:lineRule="exact"/>
        <w:ind w:firstLine="542" w:firstLineChars="225"/>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3.2 磋商报价</w:t>
      </w:r>
    </w:p>
    <w:p w14:paraId="0625C0B0">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3.2.1</w:t>
      </w:r>
      <w:r>
        <w:rPr>
          <w:rFonts w:hint="eastAsia" w:cs="宋体" w:asciiTheme="minorEastAsia" w:hAnsiTheme="minorEastAsia" w:eastAsiaTheme="minorEastAsia"/>
          <w:sz w:val="24"/>
          <w:szCs w:val="24"/>
        </w:rPr>
        <w:t>响应人的报价应含有所投项目、税费、交付后约定期限内免费后续工程等所发生的一切应有费用。</w:t>
      </w:r>
    </w:p>
    <w:p w14:paraId="73FC4981">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09FFB3B5">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77A0E0FF">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021C2C05">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258DBC83">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EDAFAEA">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3.2.5 全部报价均应以人民币为计量币种，并以人民币进行结算。</w:t>
      </w:r>
    </w:p>
    <w:p w14:paraId="48ABC8DD">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629692AA">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3.2.7施工期间由于工程条件发生变化或响应人原因造成技术方案的更改，所增加的措施费用及服务周期一概不予调整，相应的费用响应人应在磋商报价中充分考虑，采购人不另支付。</w:t>
      </w:r>
    </w:p>
    <w:p w14:paraId="17A7092A">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3.2.8增值税属不可竞争费用，如违背国家税收规定的，对未按规定计取增值税的响应人，其磋商报价按低于成本价处理。</w:t>
      </w:r>
    </w:p>
    <w:p w14:paraId="64570A3A">
      <w:pPr>
        <w:keepNext/>
        <w:keepLines/>
        <w:pageBreakBefore w:val="0"/>
        <w:kinsoku/>
        <w:wordWrap w:val="0"/>
        <w:overflowPunct/>
        <w:topLinePunct w:val="0"/>
        <w:bidi w:val="0"/>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3.3 磋商有效期</w:t>
      </w:r>
    </w:p>
    <w:p w14:paraId="2EE7BED4">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 在响应人须知前附表规定的磋商有效期内，响应人不得要求撤销或修改其响应文件。</w:t>
      </w:r>
    </w:p>
    <w:p w14:paraId="774BF12E">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 出现特殊情况需要延长磋商有效期的，采购人以书面形式通知所有响应人延长磋商有效期。响应人同意延长的，不得要求或被允许修改或撤销其响应文件；响应人拒绝延长的，其磋商失效。</w:t>
      </w:r>
    </w:p>
    <w:p w14:paraId="0E74E412">
      <w:pPr>
        <w:pageBreakBefore w:val="0"/>
        <w:kinsoku/>
        <w:wordWrap w:val="0"/>
        <w:overflowPunct/>
        <w:topLinePunct w:val="0"/>
        <w:bidi w:val="0"/>
        <w:spacing w:line="440" w:lineRule="exact"/>
        <w:ind w:firstLine="482"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sz w:val="24"/>
          <w:szCs w:val="24"/>
        </w:rPr>
        <w:t>3.4 磋商保证金：</w:t>
      </w:r>
      <w:r>
        <w:rPr>
          <w:rFonts w:hint="eastAsia" w:cs="宋体" w:asciiTheme="minorEastAsia" w:hAnsiTheme="minorEastAsia" w:eastAsiaTheme="minorEastAsia"/>
          <w:sz w:val="24"/>
          <w:szCs w:val="24"/>
        </w:rPr>
        <w:t>按照《河南省财政厅关于优化政府采购营商环境有关问题的通知》（豫财购[2019]4号文）的要求本项目不再收取磋商保证金。</w:t>
      </w:r>
    </w:p>
    <w:p w14:paraId="0DA8C5E0">
      <w:pPr>
        <w:pageBreakBefore w:val="0"/>
        <w:kinsoku/>
        <w:wordWrap w:val="0"/>
        <w:overflowPunct/>
        <w:topLinePunct w:val="0"/>
        <w:bidi w:val="0"/>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3.5 资格审查资料</w:t>
      </w:r>
    </w:p>
    <w:p w14:paraId="0A2C0089">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详见供应商前附表第1</w:t>
      </w:r>
      <w:r>
        <w:rPr>
          <w:rFonts w:hint="eastAsia" w:cs="宋体" w:asciiTheme="minorEastAsia" w:hAnsiTheme="minorEastAsia" w:eastAsiaTheme="minorEastAsia"/>
          <w:sz w:val="24"/>
          <w:szCs w:val="24"/>
          <w:lang w:val="en-US" w:eastAsia="zh-CN"/>
        </w:rPr>
        <w:t>4</w:t>
      </w:r>
      <w:r>
        <w:rPr>
          <w:rFonts w:hint="eastAsia" w:cs="宋体" w:asciiTheme="minorEastAsia" w:hAnsiTheme="minorEastAsia" w:eastAsiaTheme="minorEastAsia"/>
          <w:sz w:val="24"/>
          <w:szCs w:val="24"/>
        </w:rPr>
        <w:t>条</w:t>
      </w:r>
    </w:p>
    <w:p w14:paraId="0F70CF0D">
      <w:pPr>
        <w:keepNext/>
        <w:keepLines/>
        <w:pageBreakBefore w:val="0"/>
        <w:kinsoku/>
        <w:wordWrap w:val="0"/>
        <w:overflowPunct/>
        <w:topLinePunct w:val="0"/>
        <w:bidi w:val="0"/>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3.6 响应文件的编制</w:t>
      </w:r>
    </w:p>
    <w:p w14:paraId="2E0BD4A4">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3.6.1 响应文件应按第</w:t>
      </w:r>
      <w:r>
        <w:rPr>
          <w:rFonts w:hint="eastAsia" w:cs="宋体" w:asciiTheme="minorEastAsia" w:hAnsiTheme="minorEastAsia" w:eastAsiaTheme="minorEastAsia"/>
          <w:sz w:val="24"/>
          <w:szCs w:val="24"/>
          <w:lang w:eastAsia="zh-CN"/>
        </w:rPr>
        <w:t>六</w:t>
      </w:r>
      <w:r>
        <w:rPr>
          <w:rFonts w:hint="eastAsia" w:cs="宋体" w:asciiTheme="minorEastAsia" w:hAnsiTheme="minorEastAsia" w:eastAsiaTheme="minorEastAsia"/>
          <w:sz w:val="24"/>
          <w:szCs w:val="24"/>
        </w:rPr>
        <w:t>章“响应文件格式”进行编写，如有必要，可以增加附页，作为响应文件的组成部分。其中，磋商函附录在满足磋商文件实质性要求的基础上，可以提出比磋商文件要求更有利于采购人的承诺。</w:t>
      </w:r>
    </w:p>
    <w:p w14:paraId="70822909">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3.6.2 响应文件应当对磋商文件有关计划工期、磋商有效期、质量要求、磋商范围等实质性内容作出响应。</w:t>
      </w:r>
    </w:p>
    <w:p w14:paraId="0D49D8EE">
      <w:pPr>
        <w:pageBreakBefore w:val="0"/>
        <w:kinsoku/>
        <w:wordWrap w:val="0"/>
        <w:overflowPunct/>
        <w:topLinePunct w:val="0"/>
        <w:bidi w:val="0"/>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3.7 响应文件的签署</w:t>
      </w:r>
    </w:p>
    <w:p w14:paraId="136D2F3F">
      <w:pPr>
        <w:pageBreakBefore w:val="0"/>
        <w:numPr>
          <w:ilvl w:val="0"/>
          <w:numId w:val="0"/>
        </w:numPr>
        <w:kinsoku/>
        <w:wordWrap w:val="0"/>
        <w:overflowPunct/>
        <w:topLinePunct w:val="0"/>
        <w:bidi w:val="0"/>
        <w:spacing w:line="440" w:lineRule="exact"/>
        <w:ind w:left="0" w:leftChars="0" w:firstLine="398" w:firstLineChars="166"/>
        <w:outlineLvl w:val="0"/>
        <w:rPr>
          <w:rFonts w:hint="eastAsia" w:cs="宋体" w:asciiTheme="minorEastAsia" w:hAnsiTheme="minorEastAsia" w:eastAsiaTheme="minorEastAsia"/>
          <w:sz w:val="24"/>
          <w:szCs w:val="24"/>
        </w:rPr>
      </w:pPr>
      <w:bookmarkStart w:id="36" w:name="_Toc13648"/>
      <w:bookmarkStart w:id="37" w:name="_Toc27329"/>
      <w:bookmarkStart w:id="38" w:name="_Toc29043"/>
      <w:bookmarkStart w:id="39" w:name="_Toc26837"/>
      <w:bookmarkStart w:id="40" w:name="_Toc27283"/>
      <w:r>
        <w:rPr>
          <w:rFonts w:hint="eastAsia" w:cs="宋体" w:asciiTheme="minorEastAsia" w:hAnsiTheme="minorEastAsia" w:eastAsiaTheme="minorEastAsia"/>
          <w:sz w:val="24"/>
          <w:szCs w:val="24"/>
          <w:lang w:val="en-US" w:eastAsia="zh-CN"/>
        </w:rPr>
        <w:t>3.7.1</w:t>
      </w:r>
      <w:r>
        <w:rPr>
          <w:rFonts w:hint="eastAsia" w:cs="宋体" w:asciiTheme="minorEastAsia" w:hAnsiTheme="minorEastAsia" w:eastAsiaTheme="minorEastAsia"/>
          <w:sz w:val="24"/>
          <w:szCs w:val="24"/>
        </w:rPr>
        <w:t>响应人在进行电子化磋商响应文件签章时，竞争性磋商文件中要求响应人盖章的，以签盖单位章为准；要求法定代表人签章的，以签盖法定代表人电子签章为准。电子化磋商响应文件具体制作教材请响应人通过CA证书登录三门峡市公共资源电子化交易系统在右上角“组件下载”中查看。</w:t>
      </w:r>
    </w:p>
    <w:p w14:paraId="77F53A4D">
      <w:pPr>
        <w:pageBreakBefore w:val="0"/>
        <w:numPr>
          <w:ilvl w:val="0"/>
          <w:numId w:val="0"/>
        </w:numPr>
        <w:kinsoku/>
        <w:wordWrap w:val="0"/>
        <w:overflowPunct/>
        <w:topLinePunct w:val="0"/>
        <w:bidi w:val="0"/>
        <w:spacing w:line="440" w:lineRule="exact"/>
        <w:ind w:leftChars="200" w:firstLine="241" w:firstLineChars="100"/>
        <w:outlineLvl w:val="0"/>
        <w:rPr>
          <w:rFonts w:hint="eastAsia" w:cs="宋体" w:asciiTheme="minorEastAsia" w:hAnsiTheme="minorEastAsia" w:eastAsiaTheme="minorEastAsia"/>
          <w:b/>
          <w:bCs/>
          <w:kern w:val="28"/>
          <w:sz w:val="24"/>
          <w:szCs w:val="24"/>
          <w:lang w:eastAsia="zh-CN"/>
        </w:rPr>
      </w:pPr>
      <w:r>
        <w:rPr>
          <w:rFonts w:hint="eastAsia" w:cs="宋体" w:asciiTheme="minorEastAsia" w:hAnsiTheme="minorEastAsia" w:eastAsiaTheme="minorEastAsia"/>
          <w:b/>
          <w:bCs/>
          <w:kern w:val="28"/>
          <w:sz w:val="24"/>
          <w:szCs w:val="24"/>
          <w:lang w:val="en-US" w:eastAsia="zh-CN"/>
        </w:rPr>
        <w:t>4.</w:t>
      </w:r>
      <w:r>
        <w:rPr>
          <w:rFonts w:hint="eastAsia" w:cs="宋体" w:asciiTheme="minorEastAsia" w:hAnsiTheme="minorEastAsia" w:eastAsiaTheme="minorEastAsia"/>
          <w:b/>
          <w:bCs/>
          <w:kern w:val="28"/>
          <w:sz w:val="24"/>
          <w:szCs w:val="24"/>
        </w:rPr>
        <w:t>磋商</w:t>
      </w:r>
      <w:bookmarkEnd w:id="36"/>
      <w:bookmarkEnd w:id="37"/>
      <w:bookmarkEnd w:id="38"/>
      <w:bookmarkEnd w:id="39"/>
      <w:bookmarkEnd w:id="40"/>
      <w:r>
        <w:rPr>
          <w:rFonts w:hint="eastAsia" w:cs="宋体" w:asciiTheme="minorEastAsia" w:hAnsiTheme="minorEastAsia" w:eastAsiaTheme="minorEastAsia"/>
          <w:b/>
          <w:bCs/>
          <w:kern w:val="28"/>
          <w:sz w:val="24"/>
          <w:szCs w:val="24"/>
          <w:lang w:eastAsia="zh-CN"/>
        </w:rPr>
        <w:t>文件的递交</w:t>
      </w:r>
    </w:p>
    <w:p w14:paraId="5A61AA13">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4.1电子响应文件的递交</w:t>
      </w:r>
    </w:p>
    <w:p w14:paraId="682A7103">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4.1.1响应人应在规定的磋商截止时间前递交响应文件。</w:t>
      </w:r>
    </w:p>
    <w:p w14:paraId="328AC0CE">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4.1.2响应人递交响应文件的地点：见响应人须知前附表。</w:t>
      </w:r>
      <w:bookmarkStart w:id="41" w:name="_Toc466566785"/>
      <w:bookmarkEnd w:id="41"/>
      <w:bookmarkStart w:id="42" w:name="_Toc466566696"/>
      <w:bookmarkEnd w:id="42"/>
      <w:bookmarkStart w:id="43" w:name="_Toc184635075"/>
    </w:p>
    <w:p w14:paraId="229935BE">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4.1.3 逾期送达或者未送达指定地点的响应文件，采购人不予受理。</w:t>
      </w:r>
      <w:bookmarkEnd w:id="43"/>
    </w:p>
    <w:p w14:paraId="5B1C79B5">
      <w:pPr>
        <w:pageBreakBefore w:val="0"/>
        <w:kinsoku/>
        <w:wordWrap w:val="0"/>
        <w:overflowPunct/>
        <w:topLinePunct w:val="0"/>
        <w:bidi w:val="0"/>
        <w:spacing w:line="440" w:lineRule="exact"/>
        <w:ind w:firstLine="482" w:firstLineChars="200"/>
        <w:outlineLvl w:val="0"/>
        <w:rPr>
          <w:rFonts w:hint="eastAsia" w:cs="宋体" w:asciiTheme="minorEastAsia" w:hAnsiTheme="minorEastAsia" w:eastAsiaTheme="minorEastAsia"/>
          <w:b/>
          <w:bCs/>
          <w:sz w:val="24"/>
          <w:szCs w:val="24"/>
          <w:lang w:eastAsia="zh-CN"/>
        </w:rPr>
      </w:pPr>
      <w:bookmarkStart w:id="44" w:name="_Toc22748"/>
      <w:bookmarkStart w:id="45" w:name="_Toc2978"/>
      <w:bookmarkStart w:id="46" w:name="_Toc23682"/>
      <w:bookmarkStart w:id="47" w:name="_Toc10268"/>
      <w:bookmarkStart w:id="48" w:name="_Toc27427"/>
      <w:r>
        <w:rPr>
          <w:rFonts w:hint="eastAsia" w:cs="宋体" w:asciiTheme="minorEastAsia" w:hAnsiTheme="minorEastAsia" w:eastAsiaTheme="minorEastAsia"/>
          <w:b/>
          <w:bCs/>
          <w:sz w:val="24"/>
          <w:szCs w:val="24"/>
        </w:rPr>
        <w:t>5．</w:t>
      </w:r>
      <w:bookmarkEnd w:id="44"/>
      <w:bookmarkEnd w:id="45"/>
      <w:bookmarkEnd w:id="46"/>
      <w:bookmarkEnd w:id="47"/>
      <w:bookmarkEnd w:id="48"/>
      <w:r>
        <w:rPr>
          <w:rFonts w:hint="eastAsia" w:cs="宋体" w:asciiTheme="minorEastAsia" w:hAnsiTheme="minorEastAsia" w:eastAsiaTheme="minorEastAsia"/>
          <w:b/>
          <w:bCs/>
          <w:sz w:val="24"/>
          <w:szCs w:val="24"/>
          <w:lang w:eastAsia="zh-CN"/>
        </w:rPr>
        <w:t>开标</w:t>
      </w:r>
    </w:p>
    <w:p w14:paraId="361595AA">
      <w:pPr>
        <w:pageBreakBefore w:val="0"/>
        <w:kinsoku/>
        <w:wordWrap w:val="0"/>
        <w:overflowPunct/>
        <w:topLinePunct w:val="0"/>
        <w:bidi w:val="0"/>
        <w:spacing w:line="440" w:lineRule="exact"/>
        <w:ind w:firstLine="482" w:firstLineChars="200"/>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5.1 磋商时间和地点</w:t>
      </w:r>
    </w:p>
    <w:p w14:paraId="1CE548A9">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采购人在本磋商文件规定的响应文件递交截止时间（磋商时间）和地点竞争性磋商。</w:t>
      </w:r>
    </w:p>
    <w:p w14:paraId="247C6460">
      <w:pPr>
        <w:pageBreakBefore w:val="0"/>
        <w:kinsoku/>
        <w:wordWrap w:val="0"/>
        <w:overflowPunct/>
        <w:topLinePunct w:val="0"/>
        <w:bidi w:val="0"/>
        <w:spacing w:line="44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5.2  磋商程序</w:t>
      </w:r>
    </w:p>
    <w:p w14:paraId="66143A61">
      <w:pPr>
        <w:pageBreakBefore w:val="0"/>
        <w:kinsoku/>
        <w:wordWrap w:val="0"/>
        <w:overflowPunct/>
        <w:topLinePunct w:val="0"/>
        <w:autoSpaceDE w:val="0"/>
        <w:autoSpaceDN w:val="0"/>
        <w:bidi w:val="0"/>
        <w:adjustRightInd w:val="0"/>
        <w:spacing w:line="360" w:lineRule="auto"/>
        <w:ind w:firstLine="480" w:firstLineChars="200"/>
        <w:jc w:val="both"/>
        <w:textAlignment w:val="baseline"/>
        <w:rPr>
          <w:rFonts w:hint="eastAsia" w:ascii="宋体" w:hAnsi="宋体" w:eastAsia="宋体" w:cs="宋体"/>
          <w:kern w:val="0"/>
          <w:sz w:val="24"/>
          <w:szCs w:val="24"/>
        </w:rPr>
      </w:pPr>
      <w:bookmarkStart w:id="49" w:name="_Toc152045561"/>
      <w:bookmarkStart w:id="50" w:name="_Toc179632579"/>
      <w:bookmarkStart w:id="51" w:name="_Toc144974529"/>
      <w:bookmarkStart w:id="52" w:name="_Toc152042337"/>
      <w:bookmarkStart w:id="53" w:name="_Toc152045562"/>
      <w:bookmarkStart w:id="54" w:name="_Toc179632580"/>
      <w:bookmarkStart w:id="55" w:name="_Toc144974530"/>
      <w:bookmarkStart w:id="56" w:name="_Toc247085720"/>
      <w:bookmarkStart w:id="57" w:name="_Toc152042338"/>
      <w:bookmarkStart w:id="58" w:name="_Toc296602451"/>
      <w:bookmarkStart w:id="59" w:name="_Toc246996206"/>
      <w:bookmarkStart w:id="60" w:name="_Toc246996949"/>
      <w:bookmarkStart w:id="61" w:name="_Toc23857"/>
      <w:bookmarkStart w:id="62" w:name="_Toc13667"/>
      <w:bookmarkStart w:id="63" w:name="_Toc6908"/>
      <w:bookmarkStart w:id="64" w:name="_Toc7091"/>
      <w:bookmarkStart w:id="65" w:name="_Toc15884"/>
      <w:r>
        <w:rPr>
          <w:rFonts w:hint="eastAsia" w:ascii="宋体" w:hAnsi="宋体" w:eastAsia="宋体" w:cs="宋体"/>
          <w:kern w:val="0"/>
          <w:sz w:val="24"/>
          <w:szCs w:val="24"/>
        </w:rPr>
        <w:t>5.</w:t>
      </w:r>
      <w:r>
        <w:rPr>
          <w:rFonts w:hint="eastAsia" w:ascii="宋体" w:hAnsi="宋体" w:cs="宋体"/>
          <w:kern w:val="0"/>
          <w:sz w:val="24"/>
          <w:szCs w:val="24"/>
          <w:lang w:val="en-US" w:eastAsia="zh-CN"/>
        </w:rPr>
        <w:t>2.</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本项目采用电子化、无纸化进行招标，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3110790D">
      <w:pPr>
        <w:pageBreakBefore w:val="0"/>
        <w:kinsoku/>
        <w:wordWrap w:val="0"/>
        <w:overflowPunct/>
        <w:topLinePunct w:val="0"/>
        <w:bidi w:val="0"/>
        <w:spacing w:line="440" w:lineRule="exact"/>
        <w:ind w:firstLine="422" w:firstLineChars="176"/>
        <w:rPr>
          <w:rFonts w:ascii="宋体" w:hAnsi="宋体" w:eastAsia="宋体" w:cs="宋体"/>
          <w:sz w:val="24"/>
          <w:szCs w:val="24"/>
        </w:rPr>
      </w:pPr>
      <w:r>
        <w:rPr>
          <w:rFonts w:hint="eastAsia" w:ascii="宋体" w:hAnsi="宋体" w:eastAsia="宋体" w:cs="宋体"/>
          <w:sz w:val="24"/>
          <w:szCs w:val="24"/>
        </w:rPr>
        <w:t>5.2</w:t>
      </w:r>
      <w:r>
        <w:rPr>
          <w:rFonts w:hint="eastAsia" w:ascii="宋体" w:hAnsi="宋体" w:cs="宋体"/>
          <w:sz w:val="24"/>
          <w:szCs w:val="24"/>
          <w:lang w:val="en-US" w:eastAsia="zh-CN"/>
        </w:rPr>
        <w:t>.2</w:t>
      </w:r>
      <w:r>
        <w:rPr>
          <w:rFonts w:hint="eastAsia" w:ascii="宋体" w:hAnsi="宋体" w:eastAsia="宋体" w:cs="宋体"/>
          <w:sz w:val="24"/>
          <w:szCs w:val="24"/>
        </w:rPr>
        <w:t xml:space="preserve"> 电子化磋商响应文件采用一次加密方式。开标时，由响应人使用CA证书，在规定时间内对其电子化磋商响应文件进行解密。每位响应人的解密时间为开标时间起30分钟内，如在规定时间内未完成解密的，其磋商响应文件不予开标、唱标。每位响应人的解密时间为开标时间起30分钟内完成。</w:t>
      </w:r>
    </w:p>
    <w:p w14:paraId="6000AB15">
      <w:pPr>
        <w:pageBreakBefore w:val="0"/>
        <w:kinsoku/>
        <w:wordWrap w:val="0"/>
        <w:overflowPunct/>
        <w:topLinePunct w:val="0"/>
        <w:bidi w:val="0"/>
        <w:spacing w:line="440" w:lineRule="exact"/>
        <w:ind w:firstLine="422" w:firstLineChars="176"/>
        <w:rPr>
          <w:rFonts w:hint="eastAsia" w:ascii="宋体" w:hAnsi="宋体" w:eastAsia="宋体" w:cs="宋体"/>
          <w:b w:val="0"/>
          <w:bCs w:val="0"/>
          <w:sz w:val="24"/>
          <w:szCs w:val="24"/>
        </w:rPr>
      </w:pPr>
      <w:r>
        <w:rPr>
          <w:rFonts w:hint="eastAsia" w:ascii="宋体" w:hAnsi="宋体" w:eastAsia="宋体" w:cs="宋体"/>
          <w:b w:val="0"/>
          <w:bCs w:val="0"/>
          <w:sz w:val="24"/>
          <w:szCs w:val="24"/>
        </w:rPr>
        <w:t>5.</w:t>
      </w:r>
      <w:r>
        <w:rPr>
          <w:rFonts w:hint="eastAsia" w:ascii="宋体" w:hAnsi="宋体" w:cs="宋体"/>
          <w:b w:val="0"/>
          <w:bCs w:val="0"/>
          <w:sz w:val="24"/>
          <w:szCs w:val="24"/>
          <w:lang w:val="en-US" w:eastAsia="zh-CN"/>
        </w:rPr>
        <w:t>2.3</w:t>
      </w:r>
      <w:r>
        <w:rPr>
          <w:rFonts w:hint="eastAsia" w:ascii="宋体" w:hAnsi="宋体" w:eastAsia="宋体" w:cs="宋体"/>
          <w:b w:val="0"/>
          <w:bCs w:val="0"/>
          <w:sz w:val="24"/>
          <w:szCs w:val="24"/>
        </w:rPr>
        <w:t xml:space="preserve"> 电子化磋商响应文件解密异常的处理</w:t>
      </w:r>
    </w:p>
    <w:p w14:paraId="14B029C9">
      <w:pPr>
        <w:pageBreakBefore w:val="0"/>
        <w:kinsoku/>
        <w:wordWrap w:val="0"/>
        <w:overflowPunct/>
        <w:topLinePunct w:val="0"/>
        <w:bidi w:val="0"/>
        <w:spacing w:line="440" w:lineRule="exact"/>
        <w:ind w:firstLine="422" w:firstLineChars="176"/>
        <w:rPr>
          <w:rFonts w:ascii="宋体" w:hAnsi="宋体" w:eastAsia="宋体" w:cs="宋体"/>
          <w:sz w:val="24"/>
          <w:szCs w:val="24"/>
        </w:rPr>
      </w:pPr>
      <w:r>
        <w:rPr>
          <w:rFonts w:hint="eastAsia" w:ascii="宋体" w:hAnsi="宋体" w:eastAsia="宋体" w:cs="宋体"/>
          <w:sz w:val="24"/>
          <w:szCs w:val="24"/>
        </w:rPr>
        <w:t>如出现响应人的电子磋商响应文件无法解密等异常情况，响应人应及时致电中介服务机构说明。磋商响应文件异常，按以下步骤进行处理：</w:t>
      </w:r>
    </w:p>
    <w:p w14:paraId="453FBFBD">
      <w:pPr>
        <w:pageBreakBefore w:val="0"/>
        <w:kinsoku/>
        <w:wordWrap w:val="0"/>
        <w:overflowPunct/>
        <w:topLinePunct w:val="0"/>
        <w:bidi w:val="0"/>
        <w:spacing w:line="440" w:lineRule="exact"/>
        <w:ind w:firstLine="422" w:firstLineChars="176"/>
        <w:rPr>
          <w:rFonts w:ascii="宋体" w:hAnsi="宋体" w:eastAsia="宋体" w:cs="宋体"/>
          <w:sz w:val="24"/>
          <w:szCs w:val="24"/>
        </w:rPr>
      </w:pPr>
      <w:r>
        <w:rPr>
          <w:rFonts w:hint="eastAsia" w:ascii="宋体" w:hAnsi="宋体" w:eastAsia="宋体" w:cs="宋体"/>
          <w:sz w:val="24"/>
          <w:szCs w:val="24"/>
        </w:rPr>
        <w:t>（1）首先由技术人员进行问题排查。</w:t>
      </w:r>
    </w:p>
    <w:p w14:paraId="39AB8695">
      <w:pPr>
        <w:pageBreakBefore w:val="0"/>
        <w:kinsoku/>
        <w:wordWrap w:val="0"/>
        <w:overflowPunct/>
        <w:topLinePunct w:val="0"/>
        <w:bidi w:val="0"/>
        <w:spacing w:line="440" w:lineRule="exact"/>
        <w:ind w:firstLine="422" w:firstLineChars="176"/>
        <w:rPr>
          <w:rFonts w:ascii="宋体" w:hAnsi="宋体" w:eastAsia="宋体" w:cs="宋体"/>
          <w:sz w:val="24"/>
          <w:szCs w:val="24"/>
        </w:rPr>
      </w:pPr>
      <w:r>
        <w:rPr>
          <w:rFonts w:hint="eastAsia" w:ascii="宋体" w:hAnsi="宋体" w:eastAsia="宋体" w:cs="宋体"/>
          <w:sz w:val="24"/>
          <w:szCs w:val="24"/>
        </w:rPr>
        <w:t>（2）经技术人员排查后，是响应人文件自身问题导致磋商响应文件无法解密的，该磋商响应文件将不予接收、解密和唱标。开标会议继续进行。</w:t>
      </w:r>
    </w:p>
    <w:p w14:paraId="0456E291">
      <w:pPr>
        <w:pageBreakBefore w:val="0"/>
        <w:kinsoku/>
        <w:wordWrap w:val="0"/>
        <w:overflowPunct/>
        <w:topLinePunct w:val="0"/>
        <w:bidi w:val="0"/>
        <w:spacing w:line="440" w:lineRule="exact"/>
        <w:ind w:firstLine="422" w:firstLineChars="176"/>
        <w:rPr>
          <w:rFonts w:hint="eastAsia" w:ascii="宋体" w:hAnsi="宋体" w:eastAsia="宋体" w:cs="宋体"/>
          <w:sz w:val="24"/>
          <w:szCs w:val="24"/>
        </w:rPr>
      </w:pPr>
      <w:r>
        <w:rPr>
          <w:rFonts w:hint="eastAsia" w:ascii="宋体" w:hAnsi="宋体" w:eastAsia="宋体" w:cs="宋体"/>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bookmarkEnd w:id="49"/>
      <w:bookmarkEnd w:id="50"/>
      <w:bookmarkEnd w:id="51"/>
      <w:bookmarkEnd w:id="52"/>
    </w:p>
    <w:p w14:paraId="78605195">
      <w:pPr>
        <w:keepNext w:val="0"/>
        <w:keepLines w:val="0"/>
        <w:pageBreakBefore w:val="0"/>
        <w:widowControl/>
        <w:kinsoku/>
        <w:wordWrap w:val="0"/>
        <w:overflowPunct/>
        <w:topLinePunct w:val="0"/>
        <w:autoSpaceDN/>
        <w:bidi w:val="0"/>
        <w:adjustRightInd/>
        <w:spacing w:line="24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 xml:space="preserve"> 待所有投标人投标文件解密完成后，由中介服务机构操作，对所有已解密投标文件进行唱标。</w:t>
      </w:r>
    </w:p>
    <w:p w14:paraId="0281C6BB">
      <w:pPr>
        <w:keepNext w:val="0"/>
        <w:keepLines w:val="0"/>
        <w:pageBreakBefore w:val="0"/>
        <w:widowControl/>
        <w:kinsoku/>
        <w:wordWrap w:val="0"/>
        <w:overflowPunct/>
        <w:topLinePunct w:val="0"/>
        <w:autoSpaceDN/>
        <w:bidi w:val="0"/>
        <w:adjustRightInd/>
        <w:spacing w:line="24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704A19AA">
      <w:pPr>
        <w:pageBreakBefore w:val="0"/>
        <w:kinsoku/>
        <w:wordWrap w:val="0"/>
        <w:overflowPunct/>
        <w:topLinePunct w:val="0"/>
        <w:bidi w:val="0"/>
        <w:spacing w:line="440" w:lineRule="exact"/>
        <w:ind w:firstLine="422" w:firstLineChars="176"/>
        <w:rPr>
          <w:rFonts w:hint="eastAsia" w:ascii="宋体" w:hAnsi="宋体" w:eastAsia="宋体" w:cs="宋体"/>
          <w:sz w:val="24"/>
          <w:szCs w:val="24"/>
        </w:rPr>
      </w:pPr>
      <w:r>
        <w:rPr>
          <w:rFonts w:hint="eastAsia" w:ascii="宋体" w:hAnsi="宋体" w:eastAsia="宋体" w:cs="宋体"/>
          <w:kern w:val="0"/>
          <w:sz w:val="24"/>
          <w:szCs w:val="24"/>
          <w:highlight w:val="none"/>
        </w:rPr>
        <w:t>5.</w:t>
      </w:r>
      <w:r>
        <w:rPr>
          <w:rFonts w:hint="eastAsia" w:ascii="宋体" w:hAnsi="宋体" w:eastAsia="宋体" w:cs="宋体"/>
          <w:kern w:val="0"/>
          <w:sz w:val="24"/>
          <w:szCs w:val="24"/>
          <w:highlight w:val="none"/>
          <w:lang w:val="en-US" w:eastAsia="zh-CN"/>
        </w:rPr>
        <w:t>.2.5</w:t>
      </w:r>
      <w:r>
        <w:rPr>
          <w:rFonts w:hint="eastAsia" w:ascii="宋体" w:hAnsi="宋体" w:eastAsia="宋体" w:cs="宋体"/>
          <w:kern w:val="0"/>
          <w:sz w:val="24"/>
          <w:szCs w:val="24"/>
          <w:highlight w:val="none"/>
        </w:rPr>
        <w:t>开标时投标人可登录到交易系统中在开标大厅中点击开标一览表查看自己的投标报价。如对自己的唱标内容有异议的，应在</w:t>
      </w:r>
      <w:r>
        <w:rPr>
          <w:rFonts w:hint="eastAsia" w:ascii="宋体" w:hAnsi="宋体" w:cs="宋体"/>
          <w:kern w:val="0"/>
          <w:sz w:val="24"/>
          <w:szCs w:val="24"/>
          <w:highlight w:val="none"/>
          <w:lang w:val="en-US" w:eastAsia="zh-CN"/>
        </w:rPr>
        <w:t>唱标内容显示</w:t>
      </w:r>
      <w:r>
        <w:rPr>
          <w:rFonts w:hint="eastAsia" w:ascii="宋体" w:hAnsi="宋体" w:eastAsia="宋体" w:cs="宋体"/>
          <w:kern w:val="0"/>
          <w:sz w:val="24"/>
          <w:szCs w:val="24"/>
          <w:highlight w:val="none"/>
        </w:rPr>
        <w:t>后10分钟内向中介服务机构</w:t>
      </w:r>
      <w:r>
        <w:rPr>
          <w:rFonts w:hint="eastAsia" w:ascii="宋体" w:hAnsi="宋体" w:cs="宋体"/>
          <w:kern w:val="0"/>
          <w:sz w:val="24"/>
          <w:szCs w:val="24"/>
          <w:highlight w:val="none"/>
          <w:lang w:val="en-US" w:eastAsia="zh-CN"/>
        </w:rPr>
        <w:t>通过开标大厅对话框提出</w:t>
      </w:r>
      <w:r>
        <w:rPr>
          <w:rFonts w:hint="eastAsia" w:ascii="宋体" w:hAnsi="宋体" w:eastAsia="宋体" w:cs="宋体"/>
          <w:kern w:val="0"/>
          <w:sz w:val="24"/>
          <w:szCs w:val="24"/>
          <w:highlight w:val="none"/>
        </w:rPr>
        <w:t>质疑。中介服务机构做好书面记录。投标人未在规定时间内提出质疑的，视为认可唱标内容。</w:t>
      </w:r>
    </w:p>
    <w:p w14:paraId="143E7F63">
      <w:pPr>
        <w:pageBreakBefore w:val="0"/>
        <w:kinsoku/>
        <w:wordWrap w:val="0"/>
        <w:overflowPunct/>
        <w:topLinePunct w:val="0"/>
        <w:bidi w:val="0"/>
        <w:spacing w:line="440" w:lineRule="exact"/>
        <w:ind w:firstLine="424" w:firstLineChars="176"/>
        <w:rPr>
          <w:rFonts w:hint="eastAsia" w:ascii="宋体" w:hAnsi="宋体" w:eastAsia="宋体" w:cs="宋体"/>
          <w:b/>
          <w:bCs/>
          <w:sz w:val="24"/>
          <w:szCs w:val="24"/>
        </w:rPr>
      </w:pPr>
      <w:bookmarkStart w:id="66" w:name="_Toc144974531"/>
      <w:bookmarkStart w:id="67" w:name="_Toc246996207"/>
      <w:bookmarkStart w:id="68" w:name="_Toc152042339"/>
      <w:bookmarkStart w:id="69" w:name="_Toc246996950"/>
      <w:bookmarkStart w:id="70" w:name="_Toc247085721"/>
      <w:bookmarkStart w:id="71" w:name="_Toc296602452"/>
      <w:bookmarkStart w:id="72" w:name="_Toc152045563"/>
      <w:bookmarkStart w:id="73" w:name="_Toc179632581"/>
      <w:r>
        <w:rPr>
          <w:rFonts w:hint="eastAsia" w:ascii="宋体" w:hAnsi="宋体" w:eastAsia="宋体" w:cs="宋体"/>
          <w:b/>
          <w:bCs/>
          <w:sz w:val="24"/>
          <w:szCs w:val="24"/>
        </w:rPr>
        <w:t>5.</w:t>
      </w:r>
      <w:r>
        <w:rPr>
          <w:rFonts w:hint="eastAsia" w:ascii="宋体" w:hAnsi="宋体" w:cs="宋体"/>
          <w:b/>
          <w:bCs/>
          <w:sz w:val="24"/>
          <w:szCs w:val="24"/>
          <w:lang w:val="en-US" w:eastAsia="zh-CN"/>
        </w:rPr>
        <w:t>3</w:t>
      </w:r>
      <w:r>
        <w:rPr>
          <w:rFonts w:hint="eastAsia" w:ascii="宋体" w:hAnsi="宋体" w:eastAsia="宋体" w:cs="宋体"/>
          <w:b/>
          <w:bCs/>
          <w:sz w:val="24"/>
          <w:szCs w:val="24"/>
        </w:rPr>
        <w:t xml:space="preserve"> 磋商小组</w:t>
      </w:r>
      <w:bookmarkEnd w:id="66"/>
      <w:bookmarkEnd w:id="67"/>
      <w:bookmarkEnd w:id="68"/>
      <w:bookmarkEnd w:id="69"/>
      <w:bookmarkEnd w:id="70"/>
      <w:bookmarkEnd w:id="71"/>
      <w:bookmarkEnd w:id="72"/>
      <w:bookmarkEnd w:id="73"/>
    </w:p>
    <w:p w14:paraId="3CA9C0F9">
      <w:pPr>
        <w:pageBreakBefore w:val="0"/>
        <w:kinsoku/>
        <w:wordWrap w:val="0"/>
        <w:overflowPunct/>
        <w:topLinePunct w:val="0"/>
        <w:bidi w:val="0"/>
        <w:spacing w:line="440" w:lineRule="exact"/>
        <w:ind w:firstLine="480" w:firstLineChars="200"/>
        <w:rPr>
          <w:rFonts w:ascii="宋体" w:hAnsi="宋体" w:eastAsia="宋体" w:cs="宋体"/>
          <w:color w:val="auto"/>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3</w:t>
      </w:r>
      <w:r>
        <w:rPr>
          <w:rFonts w:hint="eastAsia" w:ascii="宋体" w:hAnsi="宋体" w:eastAsia="宋体" w:cs="宋体"/>
          <w:sz w:val="24"/>
          <w:szCs w:val="24"/>
        </w:rPr>
        <w:t>.1</w:t>
      </w:r>
      <w:r>
        <w:rPr>
          <w:rFonts w:hint="eastAsia" w:ascii="宋体" w:hAnsi="宋体" w:eastAsia="宋体" w:cs="宋体"/>
          <w:color w:val="auto"/>
          <w:sz w:val="24"/>
          <w:szCs w:val="24"/>
        </w:rPr>
        <w:t>磋商小组由采购人代表和评审专家共3人以上单数组成，其中采购人代表1人，其余评审专家2人从相关评标专家库中随机抽取。</w:t>
      </w:r>
    </w:p>
    <w:p w14:paraId="575CD949">
      <w:pPr>
        <w:pageBreakBefore w:val="0"/>
        <w:kinsoku/>
        <w:wordWrap w:val="0"/>
        <w:overflowPunct/>
        <w:topLinePunct w:val="0"/>
        <w:bidi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3</w:t>
      </w:r>
      <w:r>
        <w:rPr>
          <w:rFonts w:hint="eastAsia" w:ascii="宋体" w:hAnsi="宋体" w:eastAsia="宋体" w:cs="宋体"/>
          <w:sz w:val="24"/>
          <w:szCs w:val="24"/>
        </w:rPr>
        <w:t>.2磋商小组对所有响应人的磋商响应文件进行评审，按评审后得分由高到低顺序排列，递交给采购人。</w:t>
      </w:r>
    </w:p>
    <w:p w14:paraId="2008B4A4">
      <w:pPr>
        <w:pageBreakBefore w:val="0"/>
        <w:kinsoku/>
        <w:wordWrap w:val="0"/>
        <w:overflowPunct/>
        <w:topLinePunct w:val="0"/>
        <w:bidi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3</w:t>
      </w:r>
      <w:r>
        <w:rPr>
          <w:rFonts w:hint="eastAsia" w:ascii="宋体" w:hAnsi="宋体" w:eastAsia="宋体" w:cs="宋体"/>
          <w:sz w:val="24"/>
          <w:szCs w:val="24"/>
        </w:rPr>
        <w:t>.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906B95E">
      <w:pPr>
        <w:pageBreakBefore w:val="0"/>
        <w:kinsoku/>
        <w:wordWrap w:val="0"/>
        <w:overflowPunct/>
        <w:topLinePunct w:val="0"/>
        <w:bidi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3</w:t>
      </w:r>
      <w:r>
        <w:rPr>
          <w:rFonts w:hint="eastAsia" w:ascii="宋体" w:hAnsi="宋体" w:eastAsia="宋体" w:cs="宋体"/>
          <w:sz w:val="24"/>
          <w:szCs w:val="24"/>
        </w:rPr>
        <w:t>.3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6202110E">
      <w:pPr>
        <w:pageBreakBefore w:val="0"/>
        <w:kinsoku/>
        <w:wordWrap w:val="0"/>
        <w:overflowPunct/>
        <w:topLinePunct w:val="0"/>
        <w:bidi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3</w:t>
      </w:r>
      <w:r>
        <w:rPr>
          <w:rFonts w:hint="eastAsia" w:ascii="宋体" w:hAnsi="宋体" w:eastAsia="宋体" w:cs="宋体"/>
          <w:sz w:val="24"/>
          <w:szCs w:val="24"/>
        </w:rPr>
        <w:t>.4磋商小组成员有下列情形之一的，应当回避：</w:t>
      </w:r>
    </w:p>
    <w:p w14:paraId="045531FD">
      <w:pPr>
        <w:pageBreakBefore w:val="0"/>
        <w:kinsoku/>
        <w:wordWrap w:val="0"/>
        <w:overflowPunct/>
        <w:topLinePunct w:val="0"/>
        <w:bidi w:val="0"/>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（1）响应人或响应人主要负责人的近亲属；</w:t>
      </w:r>
    </w:p>
    <w:p w14:paraId="536B599A">
      <w:pPr>
        <w:pageBreakBefore w:val="0"/>
        <w:kinsoku/>
        <w:wordWrap w:val="0"/>
        <w:overflowPunct/>
        <w:topLinePunct w:val="0"/>
        <w:bidi w:val="0"/>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（2）项目主管部门或者行政监督部门的人员；</w:t>
      </w:r>
    </w:p>
    <w:p w14:paraId="5859469B">
      <w:pPr>
        <w:pageBreakBefore w:val="0"/>
        <w:kinsoku/>
        <w:wordWrap w:val="0"/>
        <w:overflowPunct/>
        <w:topLinePunct w:val="0"/>
        <w:bidi w:val="0"/>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（3）与响应人有经济利益关系；</w:t>
      </w:r>
    </w:p>
    <w:p w14:paraId="73F68418">
      <w:pPr>
        <w:pageBreakBefore w:val="0"/>
        <w:kinsoku/>
        <w:wordWrap w:val="0"/>
        <w:overflowPunct/>
        <w:topLinePunct w:val="0"/>
        <w:bidi w:val="0"/>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（4）曾因在招标、评标以及其他与招标投标有关活动中从事违法行为而受过行政处罚或刑事处罚的；</w:t>
      </w:r>
    </w:p>
    <w:p w14:paraId="53367A1D">
      <w:pPr>
        <w:pageBreakBefore w:val="0"/>
        <w:kinsoku/>
        <w:wordWrap w:val="0"/>
        <w:overflowPunct/>
        <w:topLinePunct w:val="0"/>
        <w:bidi w:val="0"/>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（5）与响应人有其他利害关系。</w:t>
      </w:r>
    </w:p>
    <w:p w14:paraId="6BF78BDD">
      <w:pPr>
        <w:pageBreakBefore w:val="0"/>
        <w:kinsoku/>
        <w:wordWrap w:val="0"/>
        <w:overflowPunct/>
        <w:topLinePunct w:val="0"/>
        <w:bidi w:val="0"/>
        <w:spacing w:line="440" w:lineRule="exact"/>
        <w:ind w:firstLine="241" w:firstLineChars="100"/>
        <w:rPr>
          <w:rFonts w:ascii="宋体" w:hAnsi="宋体" w:eastAsia="宋体" w:cs="宋体"/>
          <w:b/>
          <w:bCs/>
          <w:sz w:val="24"/>
          <w:szCs w:val="24"/>
        </w:rPr>
      </w:pPr>
      <w:bookmarkStart w:id="74" w:name="_Toc152042340"/>
      <w:bookmarkStart w:id="75" w:name="_Toc247085722"/>
      <w:bookmarkStart w:id="76" w:name="_Toc296602453"/>
      <w:bookmarkStart w:id="77" w:name="_Toc246996208"/>
      <w:bookmarkStart w:id="78" w:name="_Toc144974532"/>
      <w:bookmarkStart w:id="79" w:name="_Toc152045564"/>
      <w:bookmarkStart w:id="80" w:name="_Toc179632582"/>
      <w:bookmarkStart w:id="81" w:name="_Toc246996951"/>
      <w:r>
        <w:rPr>
          <w:rFonts w:hint="eastAsia" w:ascii="宋体" w:hAnsi="宋体" w:eastAsia="宋体" w:cs="宋体"/>
          <w:b/>
          <w:bCs/>
          <w:sz w:val="24"/>
          <w:szCs w:val="24"/>
        </w:rPr>
        <w:t>5.</w:t>
      </w:r>
      <w:r>
        <w:rPr>
          <w:rFonts w:hint="eastAsia" w:ascii="宋体" w:hAnsi="宋体" w:cs="宋体"/>
          <w:b/>
          <w:bCs/>
          <w:sz w:val="24"/>
          <w:szCs w:val="24"/>
          <w:lang w:val="en-US" w:eastAsia="zh-CN"/>
        </w:rPr>
        <w:t>4</w:t>
      </w:r>
      <w:r>
        <w:rPr>
          <w:rFonts w:hint="eastAsia" w:ascii="宋体" w:hAnsi="宋体" w:eastAsia="宋体" w:cs="宋体"/>
          <w:b/>
          <w:bCs/>
          <w:sz w:val="24"/>
          <w:szCs w:val="24"/>
        </w:rPr>
        <w:t>磋商原则和方法</w:t>
      </w:r>
    </w:p>
    <w:p w14:paraId="12BD9B9E">
      <w:pPr>
        <w:pageBreakBefore w:val="0"/>
        <w:kinsoku/>
        <w:wordWrap w:val="0"/>
        <w:overflowPunct/>
        <w:topLinePunct w:val="0"/>
        <w:bidi w:val="0"/>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4</w:t>
      </w:r>
      <w:r>
        <w:rPr>
          <w:rFonts w:hint="eastAsia" w:ascii="宋体" w:hAnsi="宋体" w:eastAsia="宋体" w:cs="宋体"/>
          <w:sz w:val="24"/>
          <w:szCs w:val="24"/>
        </w:rPr>
        <w:t>.1坚持公开、公平、公正的原则。</w:t>
      </w:r>
    </w:p>
    <w:p w14:paraId="0F07B978">
      <w:pPr>
        <w:pageBreakBefore w:val="0"/>
        <w:kinsoku/>
        <w:wordWrap w:val="0"/>
        <w:overflowPunct/>
        <w:topLinePunct w:val="0"/>
        <w:bidi w:val="0"/>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.4</w:t>
      </w:r>
      <w:r>
        <w:rPr>
          <w:rFonts w:hint="eastAsia" w:ascii="宋体" w:hAnsi="宋体" w:eastAsia="宋体" w:cs="宋体"/>
          <w:sz w:val="24"/>
          <w:szCs w:val="24"/>
        </w:rPr>
        <w:t>.2磋商在磋商小组应当集中与单一响应人分别进行磋商，磋商小组将遵照磋商原则，公正、平等地对待所有响应人。</w:t>
      </w:r>
    </w:p>
    <w:p w14:paraId="3662E57E">
      <w:pPr>
        <w:pageBreakBefore w:val="0"/>
        <w:kinsoku/>
        <w:wordWrap w:val="0"/>
        <w:overflowPunct/>
        <w:topLinePunct w:val="0"/>
        <w:bidi w:val="0"/>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4</w:t>
      </w:r>
      <w:r>
        <w:rPr>
          <w:rFonts w:hint="eastAsia" w:ascii="宋体" w:hAnsi="宋体" w:eastAsia="宋体" w:cs="宋体"/>
          <w:sz w:val="24"/>
          <w:szCs w:val="24"/>
        </w:rPr>
        <w:t>.3评审方法</w:t>
      </w:r>
    </w:p>
    <w:p w14:paraId="0B0AF5C2">
      <w:pPr>
        <w:pageBreakBefore w:val="0"/>
        <w:kinsoku/>
        <w:wordWrap w:val="0"/>
        <w:overflowPunct/>
        <w:topLinePunct w:val="0"/>
        <w:bidi w:val="0"/>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 xml:space="preserve">  （1）初步评审（是否响应竞争性磋商文件的要求），确定合格的响应人。</w:t>
      </w:r>
    </w:p>
    <w:p w14:paraId="3E82C4EE">
      <w:pPr>
        <w:pageBreakBefore w:val="0"/>
        <w:kinsoku/>
        <w:wordWrap w:val="0"/>
        <w:overflowPunct/>
        <w:topLinePunct w:val="0"/>
        <w:bidi w:val="0"/>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 xml:space="preserve">  （2）各响应人依据各自情况进行最后报价。</w:t>
      </w:r>
    </w:p>
    <w:p w14:paraId="39C9B3CE">
      <w:pPr>
        <w:pageBreakBefore w:val="0"/>
        <w:kinsoku/>
        <w:wordWrap w:val="0"/>
        <w:overflowPunct/>
        <w:topLinePunct w:val="0"/>
        <w:bidi w:val="0"/>
        <w:spacing w:line="440" w:lineRule="exact"/>
        <w:ind w:firstLine="410" w:firstLineChars="171"/>
        <w:rPr>
          <w:rFonts w:ascii="宋体" w:hAnsi="宋体" w:eastAsia="宋体" w:cs="宋体"/>
          <w:b/>
          <w:bCs/>
          <w:kern w:val="28"/>
          <w:sz w:val="24"/>
          <w:szCs w:val="24"/>
        </w:rPr>
      </w:pPr>
      <w:r>
        <w:rPr>
          <w:rFonts w:hint="eastAsia" w:ascii="宋体" w:hAnsi="宋体" w:eastAsia="宋体" w:cs="宋体"/>
          <w:sz w:val="24"/>
          <w:szCs w:val="24"/>
        </w:rPr>
        <w:t xml:space="preserve">  （3）磋商小组采用综合评分法对提交最后报价的响应人的响应文件和最后报价进行综合评分。</w:t>
      </w:r>
    </w:p>
    <w:p w14:paraId="0A03BB68">
      <w:pPr>
        <w:pageBreakBefore w:val="0"/>
        <w:kinsoku/>
        <w:wordWrap w:val="0"/>
        <w:overflowPunct/>
        <w:topLinePunct w:val="0"/>
        <w:bidi w:val="0"/>
        <w:spacing w:line="440" w:lineRule="exact"/>
        <w:ind w:firstLine="241" w:firstLineChars="100"/>
        <w:rPr>
          <w:rFonts w:ascii="宋体" w:hAnsi="宋体" w:eastAsia="宋体" w:cs="宋体"/>
          <w:b/>
          <w:bCs/>
          <w:kern w:val="28"/>
          <w:sz w:val="24"/>
          <w:szCs w:val="24"/>
        </w:rPr>
      </w:pPr>
      <w:r>
        <w:rPr>
          <w:rFonts w:hint="eastAsia" w:ascii="宋体" w:hAnsi="宋体" w:eastAsia="宋体" w:cs="宋体"/>
          <w:b/>
          <w:bCs/>
          <w:kern w:val="28"/>
          <w:sz w:val="24"/>
          <w:szCs w:val="24"/>
        </w:rPr>
        <w:t>5.</w:t>
      </w:r>
      <w:r>
        <w:rPr>
          <w:rFonts w:hint="eastAsia" w:ascii="宋体" w:hAnsi="宋体" w:cs="宋体"/>
          <w:b/>
          <w:bCs/>
          <w:kern w:val="28"/>
          <w:sz w:val="24"/>
          <w:szCs w:val="24"/>
          <w:lang w:val="en-US" w:eastAsia="zh-CN"/>
        </w:rPr>
        <w:t>5</w:t>
      </w:r>
      <w:r>
        <w:rPr>
          <w:rFonts w:hint="eastAsia" w:ascii="宋体" w:hAnsi="宋体" w:eastAsia="宋体" w:cs="宋体"/>
          <w:b/>
          <w:bCs/>
          <w:kern w:val="28"/>
          <w:sz w:val="24"/>
          <w:szCs w:val="24"/>
        </w:rPr>
        <w:t>对响应人的评价</w:t>
      </w:r>
    </w:p>
    <w:p w14:paraId="4C3948E4">
      <w:pPr>
        <w:pageBreakBefore w:val="0"/>
        <w:kinsoku/>
        <w:wordWrap w:val="0"/>
        <w:overflowPunct/>
        <w:topLinePunct w:val="0"/>
        <w:bidi w:val="0"/>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5</w:t>
      </w:r>
      <w:r>
        <w:rPr>
          <w:rFonts w:hint="eastAsia" w:ascii="宋体" w:hAnsi="宋体" w:eastAsia="宋体" w:cs="宋体"/>
          <w:sz w:val="24"/>
          <w:szCs w:val="24"/>
        </w:rPr>
        <w:t>.1磋商小组只对已判定为实质性响应且通过初步审查的磋商响应文件进行详细评价和比较。</w:t>
      </w:r>
    </w:p>
    <w:p w14:paraId="4CAE30F0">
      <w:pPr>
        <w:pageBreakBefore w:val="0"/>
        <w:kinsoku/>
        <w:wordWrap w:val="0"/>
        <w:overflowPunct/>
        <w:topLinePunct w:val="0"/>
        <w:bidi w:val="0"/>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 xml:space="preserve">5.6.2磋商小组所有成员应当集中与单一响应人分别进行磋商，并给予所有参加磋商的响应人平等的磋商机会。磋商完成后，要求其在规定时间内提交最后报价。              </w:t>
      </w:r>
    </w:p>
    <w:p w14:paraId="5198466C">
      <w:pPr>
        <w:pageBreakBefore w:val="0"/>
        <w:kinsoku/>
        <w:wordWrap w:val="0"/>
        <w:overflowPunct/>
        <w:topLinePunct w:val="0"/>
        <w:bidi w:val="0"/>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5</w:t>
      </w:r>
      <w:r>
        <w:rPr>
          <w:rFonts w:hint="eastAsia" w:ascii="宋体" w:hAnsi="宋体" w:eastAsia="宋体" w:cs="宋体"/>
          <w:sz w:val="24"/>
          <w:szCs w:val="24"/>
        </w:rPr>
        <w:t>.3经磋商确定最终项目需求和提交最后报价的响应人后，磋商小组采用综合评分法对提交最后报价的响应人的磋商响应文件和最后报价进行综合评分。</w:t>
      </w:r>
    </w:p>
    <w:p w14:paraId="59D271E7">
      <w:pPr>
        <w:pageBreakBefore w:val="0"/>
        <w:kinsoku/>
        <w:wordWrap w:val="0"/>
        <w:overflowPunct/>
        <w:topLinePunct w:val="0"/>
        <w:bidi w:val="0"/>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5</w:t>
      </w:r>
      <w:r>
        <w:rPr>
          <w:rFonts w:hint="eastAsia" w:ascii="宋体" w:hAnsi="宋体" w:eastAsia="宋体" w:cs="宋体"/>
          <w:sz w:val="24"/>
          <w:szCs w:val="24"/>
        </w:rPr>
        <w:t>.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9688E7F">
      <w:pPr>
        <w:pageBreakBefore w:val="0"/>
        <w:kinsoku/>
        <w:wordWrap w:val="0"/>
        <w:overflowPunct/>
        <w:topLinePunct w:val="0"/>
        <w:autoSpaceDE w:val="0"/>
        <w:autoSpaceDN w:val="0"/>
        <w:bidi w:val="0"/>
        <w:adjustRightInd w:val="0"/>
        <w:spacing w:line="440" w:lineRule="exact"/>
        <w:ind w:firstLine="420"/>
        <w:jc w:val="left"/>
        <w:rPr>
          <w:rFonts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5</w:t>
      </w:r>
      <w:r>
        <w:rPr>
          <w:rFonts w:hint="eastAsia" w:ascii="宋体" w:hAnsi="宋体" w:eastAsia="宋体" w:cs="宋体"/>
          <w:sz w:val="24"/>
          <w:szCs w:val="24"/>
        </w:rPr>
        <w:t>.5如果第一名响应人放弃成交资格或因不可抗力提出不能履行合同</w:t>
      </w:r>
      <w:bookmarkEnd w:id="74"/>
      <w:bookmarkEnd w:id="75"/>
      <w:bookmarkEnd w:id="76"/>
      <w:bookmarkEnd w:id="77"/>
      <w:bookmarkEnd w:id="78"/>
      <w:bookmarkEnd w:id="79"/>
      <w:bookmarkEnd w:id="80"/>
      <w:bookmarkEnd w:id="81"/>
      <w:bookmarkStart w:id="82" w:name="_Toc247085724"/>
      <w:bookmarkStart w:id="83" w:name="_Toc152045566"/>
      <w:bookmarkStart w:id="84" w:name="_Toc144974534"/>
      <w:bookmarkStart w:id="85" w:name="_Toc152042342"/>
      <w:bookmarkStart w:id="86" w:name="_Toc246996953"/>
      <w:bookmarkStart w:id="87" w:name="_Toc246996210"/>
      <w:bookmarkStart w:id="88" w:name="_Toc296602455"/>
      <w:bookmarkStart w:id="89" w:name="_Toc179632584"/>
      <w:r>
        <w:rPr>
          <w:rFonts w:hint="eastAsia" w:ascii="宋体" w:hAnsi="宋体" w:eastAsia="宋体" w:cs="宋体"/>
          <w:sz w:val="24"/>
          <w:szCs w:val="24"/>
        </w:rPr>
        <w:t>，采购人可以按照评审报告推荐的成交候选人名单，确定下一成交候选人为成交人，也可以重新开展采购活动。</w:t>
      </w:r>
    </w:p>
    <w:p w14:paraId="3B2F8756">
      <w:pPr>
        <w:pageBreakBefore w:val="0"/>
        <w:kinsoku/>
        <w:wordWrap w:val="0"/>
        <w:overflowPunct/>
        <w:topLinePunct w:val="0"/>
        <w:bidi w:val="0"/>
        <w:spacing w:line="440" w:lineRule="exact"/>
        <w:ind w:firstLine="412" w:firstLineChars="171"/>
        <w:rPr>
          <w:rFonts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cs="宋体"/>
          <w:b/>
          <w:bCs/>
          <w:sz w:val="24"/>
          <w:szCs w:val="24"/>
          <w:lang w:val="en-US" w:eastAsia="zh-CN"/>
        </w:rPr>
        <w:t>6</w:t>
      </w:r>
      <w:r>
        <w:rPr>
          <w:rFonts w:hint="eastAsia" w:ascii="宋体" w:hAnsi="宋体" w:eastAsia="宋体" w:cs="宋体"/>
          <w:b/>
          <w:bCs/>
          <w:sz w:val="24"/>
          <w:szCs w:val="24"/>
        </w:rPr>
        <w:t>确定成交人</w:t>
      </w:r>
    </w:p>
    <w:p w14:paraId="73C983CE">
      <w:pPr>
        <w:pageBreakBefore w:val="0"/>
        <w:kinsoku/>
        <w:wordWrap w:val="0"/>
        <w:overflowPunct/>
        <w:topLinePunct w:val="0"/>
        <w:bidi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磋商小组根据综合评分情况，按评审得分由高到低的顺序确定3名成交候选人，并编写评审报告。除采购人授权直接确定成交人外，按照各评审专家评审综合得分的算术平均值由高到低顺序推荐3名成交候选供应商</w:t>
      </w:r>
      <w:r>
        <w:rPr>
          <w:rFonts w:hint="eastAsia" w:ascii="宋体" w:hAnsi="宋体" w:eastAsia="宋体" w:cs="宋体"/>
          <w:bCs/>
          <w:sz w:val="24"/>
          <w:szCs w:val="24"/>
        </w:rPr>
        <w:t>（政府购买服务项目及市场竞争不充分的科研项目，以及需要扶持的科技成果转化项目可以为2-3名）</w:t>
      </w:r>
      <w:r>
        <w:rPr>
          <w:rFonts w:hint="eastAsia" w:ascii="宋体" w:hAnsi="宋体" w:eastAsia="宋体" w:cs="宋体"/>
          <w:sz w:val="24"/>
          <w:szCs w:val="24"/>
        </w:rPr>
        <w:t>；评审得分相同的，按照最后报价由低到高的顺序推荐。评审得分且最后报价相同的并列。评审得分相同的，按照最后报价由低到高的顺序推荐。评审得分相同且最后报价相同的，按照技术优劣顺序推荐。</w:t>
      </w:r>
      <w:bookmarkEnd w:id="82"/>
      <w:bookmarkEnd w:id="83"/>
      <w:bookmarkEnd w:id="84"/>
      <w:bookmarkEnd w:id="85"/>
      <w:bookmarkEnd w:id="86"/>
      <w:bookmarkEnd w:id="87"/>
      <w:bookmarkEnd w:id="88"/>
      <w:bookmarkEnd w:id="89"/>
    </w:p>
    <w:bookmarkEnd w:id="53"/>
    <w:bookmarkEnd w:id="54"/>
    <w:bookmarkEnd w:id="55"/>
    <w:bookmarkEnd w:id="56"/>
    <w:bookmarkEnd w:id="57"/>
    <w:bookmarkEnd w:id="58"/>
    <w:bookmarkEnd w:id="59"/>
    <w:bookmarkEnd w:id="60"/>
    <w:p w14:paraId="60CF1856">
      <w:pPr>
        <w:pageBreakBefore w:val="0"/>
        <w:kinsoku/>
        <w:wordWrap w:val="0"/>
        <w:overflowPunct/>
        <w:topLinePunct w:val="0"/>
        <w:bidi w:val="0"/>
        <w:spacing w:line="440" w:lineRule="exact"/>
        <w:ind w:firstLine="482" w:firstLineChars="200"/>
        <w:outlineLvl w:val="0"/>
        <w:rPr>
          <w:rFonts w:cs="宋体" w:asciiTheme="minorEastAsia" w:hAnsiTheme="minorEastAsia" w:eastAsiaTheme="minorEastAsia"/>
          <w:b/>
          <w:bCs/>
          <w:kern w:val="28"/>
          <w:sz w:val="24"/>
          <w:szCs w:val="24"/>
        </w:rPr>
      </w:pPr>
      <w:r>
        <w:rPr>
          <w:rFonts w:hint="eastAsia" w:cs="宋体" w:asciiTheme="minorEastAsia" w:hAnsiTheme="minorEastAsia" w:eastAsiaTheme="minorEastAsia"/>
          <w:b/>
          <w:bCs/>
          <w:kern w:val="28"/>
          <w:sz w:val="24"/>
          <w:szCs w:val="24"/>
        </w:rPr>
        <w:t>6. 磋商细则</w:t>
      </w:r>
      <w:bookmarkEnd w:id="61"/>
      <w:bookmarkEnd w:id="62"/>
      <w:bookmarkEnd w:id="63"/>
      <w:bookmarkEnd w:id="64"/>
      <w:bookmarkEnd w:id="65"/>
    </w:p>
    <w:p w14:paraId="7D5333B7">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6.1采购人按照上传响应文件时间的顺序，决定磋商顺序；</w:t>
      </w:r>
    </w:p>
    <w:p w14:paraId="76C10888">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2BED95E2">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6.3本次磋商中，响应文件中的磋商报价为第一次报价。</w:t>
      </w:r>
    </w:p>
    <w:p w14:paraId="63E683CB">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6.4响应人可以在磋商小组规定的时间内进行第二次报价，通过交易中心系统以电子形式递交，第二次报价为最终报价。</w:t>
      </w:r>
    </w:p>
    <w:p w14:paraId="6AD15B82">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6.5本项目采用综合评分法，磋商小组成员综合评审各响应人提交的响应文件，按总得分由高到低的顺序推荐3名成交候选人，并编写评审报告。</w:t>
      </w:r>
    </w:p>
    <w:p w14:paraId="31820588">
      <w:pPr>
        <w:pageBreakBefore w:val="0"/>
        <w:kinsoku/>
        <w:wordWrap w:val="0"/>
        <w:overflowPunct/>
        <w:topLinePunct w:val="0"/>
        <w:bidi w:val="0"/>
        <w:spacing w:line="440" w:lineRule="exact"/>
        <w:ind w:firstLine="482" w:firstLineChars="200"/>
        <w:outlineLvl w:val="0"/>
        <w:rPr>
          <w:rFonts w:cs="宋体" w:asciiTheme="minorEastAsia" w:hAnsiTheme="minorEastAsia" w:eastAsiaTheme="minorEastAsia"/>
          <w:b/>
          <w:bCs/>
          <w:sz w:val="24"/>
          <w:szCs w:val="24"/>
        </w:rPr>
      </w:pPr>
      <w:bookmarkStart w:id="90" w:name="_Toc10240"/>
      <w:bookmarkStart w:id="91" w:name="_Toc28539"/>
      <w:bookmarkStart w:id="92" w:name="_Toc26867"/>
      <w:bookmarkStart w:id="93" w:name="_Toc22787"/>
      <w:bookmarkStart w:id="94" w:name="_Toc21922"/>
      <w:r>
        <w:rPr>
          <w:rFonts w:hint="eastAsia" w:cs="宋体" w:asciiTheme="minorEastAsia" w:hAnsiTheme="minorEastAsia" w:eastAsiaTheme="minorEastAsia"/>
          <w:b/>
          <w:bCs/>
          <w:sz w:val="24"/>
          <w:szCs w:val="24"/>
        </w:rPr>
        <w:t>7、磋商</w:t>
      </w:r>
      <w:bookmarkEnd w:id="90"/>
      <w:bookmarkEnd w:id="91"/>
      <w:bookmarkEnd w:id="92"/>
      <w:bookmarkEnd w:id="93"/>
      <w:bookmarkEnd w:id="94"/>
    </w:p>
    <w:p w14:paraId="44C6AA51">
      <w:pPr>
        <w:pageBreakBefore w:val="0"/>
        <w:widowControl/>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7</w:t>
      </w:r>
      <w:r>
        <w:rPr>
          <w:rFonts w:hint="eastAsia" w:cs="宋体" w:asciiTheme="minorEastAsia" w:hAnsiTheme="minorEastAsia" w:eastAsiaTheme="minorEastAsia"/>
          <w:sz w:val="24"/>
          <w:szCs w:val="24"/>
        </w:rPr>
        <w:t>.1</w:t>
      </w:r>
      <w:r>
        <w:rPr>
          <w:rFonts w:hint="eastAsia" w:ascii="宋体" w:hAnsi="宋体" w:eastAsia="宋体" w:cs="宋体"/>
          <w:color w:val="auto"/>
          <w:sz w:val="24"/>
          <w:szCs w:val="24"/>
        </w:rPr>
        <w:t>磋商小组由采购人代表和评审专家共3人以上单数组成，其中采购人代表1人，其余评审专家2人从相关评标专家库中随机抽取。</w:t>
      </w:r>
      <w:r>
        <w:rPr>
          <w:rFonts w:hint="eastAsia" w:cs="宋体" w:asciiTheme="minorEastAsia" w:hAnsiTheme="minorEastAsia" w:eastAsiaTheme="minorEastAsia"/>
          <w:sz w:val="24"/>
          <w:szCs w:val="24"/>
        </w:rPr>
        <w:t>。根据《政府采购竞争性磋商采购方式管理办法》的规定，磋商小组应当履行以下义务：</w:t>
      </w:r>
    </w:p>
    <w:p w14:paraId="7E194AA1">
      <w:pPr>
        <w:pageBreakBefore w:val="0"/>
        <w:widowControl/>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（一）遵纪守法，客观、公正、廉洁地履行职责；</w:t>
      </w:r>
    </w:p>
    <w:p w14:paraId="7E5E4F78">
      <w:pPr>
        <w:pageBreakBefore w:val="0"/>
        <w:widowControl/>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（二）根据竞争性磋商文件的规定独立进行评审，对个人的评审意见承担法律责任；</w:t>
      </w:r>
    </w:p>
    <w:p w14:paraId="7B77DE33">
      <w:pPr>
        <w:pageBreakBefore w:val="0"/>
        <w:widowControl/>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（三）参与磋商报告的起草；</w:t>
      </w:r>
    </w:p>
    <w:p w14:paraId="59489DA5">
      <w:pPr>
        <w:pageBreakBefore w:val="0"/>
        <w:widowControl/>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（四）配合采购人、采购代理机构答复响应标人提出的质疑；</w:t>
      </w:r>
    </w:p>
    <w:p w14:paraId="4B70467F">
      <w:pPr>
        <w:pageBreakBefore w:val="0"/>
        <w:widowControl/>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（五）配合财政部门的投诉处理和监督检查工作。</w:t>
      </w:r>
    </w:p>
    <w:p w14:paraId="6CE3D91E">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7.2磋商小组由有关技术、经济方面的专家组成。磋商小组人数及技术、经济专家的确定方式见响应标人须知前附表。</w:t>
      </w:r>
    </w:p>
    <w:p w14:paraId="0D4DC6DD">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 磋商原则</w:t>
      </w:r>
    </w:p>
    <w:p w14:paraId="7CDFE996">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7.3.1严格按照竞争性磋商文件中的所有相关规定；按照“公平、公正、科学”的原则进行磋商。</w:t>
      </w:r>
    </w:p>
    <w:p w14:paraId="5D47CFE7">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7.3.2反对不正当竞争。</w:t>
      </w:r>
    </w:p>
    <w:p w14:paraId="3000C792">
      <w:pPr>
        <w:pageBreakBefore w:val="0"/>
        <w:kinsoku/>
        <w:wordWrap w:val="0"/>
        <w:overflowPunct/>
        <w:topLinePunct w:val="0"/>
        <w:bidi w:val="0"/>
        <w:spacing w:line="440" w:lineRule="exact"/>
        <w:ind w:firstLine="482" w:firstLineChars="200"/>
        <w:outlineLvl w:val="0"/>
        <w:rPr>
          <w:rFonts w:cs="宋体" w:asciiTheme="minorEastAsia" w:hAnsiTheme="minorEastAsia" w:eastAsiaTheme="minorEastAsia"/>
          <w:b/>
          <w:bCs/>
          <w:sz w:val="24"/>
          <w:szCs w:val="24"/>
        </w:rPr>
      </w:pPr>
      <w:bookmarkStart w:id="95" w:name="_Toc12717"/>
      <w:bookmarkStart w:id="96" w:name="_Toc2977"/>
      <w:bookmarkStart w:id="97" w:name="_Toc31324"/>
      <w:bookmarkStart w:id="98" w:name="_Toc12301"/>
      <w:bookmarkStart w:id="99" w:name="_Toc18474"/>
      <w:r>
        <w:rPr>
          <w:rFonts w:hint="eastAsia" w:cs="宋体" w:asciiTheme="minorEastAsia" w:hAnsiTheme="minorEastAsia" w:eastAsiaTheme="minorEastAsia"/>
          <w:b/>
          <w:bCs/>
          <w:sz w:val="24"/>
          <w:szCs w:val="24"/>
        </w:rPr>
        <w:t>8、磋商过程的保密</w:t>
      </w:r>
      <w:bookmarkEnd w:id="95"/>
      <w:bookmarkEnd w:id="96"/>
      <w:bookmarkEnd w:id="97"/>
      <w:bookmarkEnd w:id="98"/>
      <w:bookmarkEnd w:id="99"/>
    </w:p>
    <w:p w14:paraId="2FF95AF8">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8.1响应文件的审查、澄清、评价和比较的有关资料以及成交候选人的推荐情况，与磋商有关的其他任何情况均应严格保密。</w:t>
      </w:r>
    </w:p>
    <w:p w14:paraId="51629259">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8.2在响应文件的评审和比较、成交候选人推荐以及授予合同的过程中，响应人向采购人和磋商小组施加影响的任何行为，都将会导致其磋商被拒绝。</w:t>
      </w:r>
    </w:p>
    <w:p w14:paraId="5902F294">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8.3采购人不对未成交人就磋商过程以及未能成交原因作出任何解释。未成交人不得向磋商小组成员和其他有关人员索问磋商过程的情况和资料。</w:t>
      </w:r>
    </w:p>
    <w:p w14:paraId="595F825A">
      <w:pPr>
        <w:pageBreakBefore w:val="0"/>
        <w:kinsoku/>
        <w:wordWrap w:val="0"/>
        <w:overflowPunct/>
        <w:topLinePunct w:val="0"/>
        <w:bidi w:val="0"/>
        <w:spacing w:line="440" w:lineRule="exact"/>
        <w:ind w:firstLine="482" w:firstLineChars="200"/>
        <w:outlineLvl w:val="0"/>
        <w:rPr>
          <w:rFonts w:cs="宋体" w:asciiTheme="minorEastAsia" w:hAnsiTheme="minorEastAsia" w:eastAsiaTheme="minorEastAsia"/>
          <w:b/>
          <w:bCs/>
          <w:sz w:val="24"/>
          <w:szCs w:val="24"/>
        </w:rPr>
      </w:pPr>
      <w:bookmarkStart w:id="100" w:name="_Toc10832"/>
      <w:bookmarkStart w:id="101" w:name="_Toc11108"/>
      <w:bookmarkStart w:id="102" w:name="_Toc24402"/>
      <w:bookmarkStart w:id="103" w:name="_Toc10668"/>
      <w:bookmarkStart w:id="104" w:name="_Toc30120"/>
      <w:r>
        <w:rPr>
          <w:rFonts w:hint="eastAsia" w:cs="宋体" w:asciiTheme="minorEastAsia" w:hAnsiTheme="minorEastAsia" w:eastAsiaTheme="minorEastAsia"/>
          <w:b/>
          <w:bCs/>
          <w:sz w:val="24"/>
          <w:szCs w:val="24"/>
        </w:rPr>
        <w:t>9、响应文件的澄清</w:t>
      </w:r>
      <w:bookmarkEnd w:id="100"/>
      <w:bookmarkEnd w:id="101"/>
      <w:bookmarkEnd w:id="102"/>
      <w:bookmarkEnd w:id="103"/>
      <w:bookmarkEnd w:id="104"/>
    </w:p>
    <w:p w14:paraId="1C8F3FB6">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4F3B093F">
      <w:pPr>
        <w:pageBreakBefore w:val="0"/>
        <w:kinsoku/>
        <w:wordWrap w:val="0"/>
        <w:overflowPunct/>
        <w:topLinePunct w:val="0"/>
        <w:bidi w:val="0"/>
        <w:spacing w:line="440" w:lineRule="exact"/>
        <w:ind w:firstLine="482" w:firstLineChars="200"/>
        <w:outlineLvl w:val="0"/>
        <w:rPr>
          <w:rFonts w:cs="宋体" w:asciiTheme="minorEastAsia" w:hAnsiTheme="minorEastAsia" w:eastAsiaTheme="minorEastAsia"/>
          <w:b/>
          <w:bCs/>
          <w:sz w:val="24"/>
          <w:szCs w:val="24"/>
        </w:rPr>
      </w:pPr>
      <w:bookmarkStart w:id="105" w:name="_Toc10092"/>
      <w:bookmarkStart w:id="106" w:name="_Toc6569"/>
      <w:bookmarkStart w:id="107" w:name="_Toc16206"/>
      <w:bookmarkStart w:id="108" w:name="_Toc7780"/>
      <w:bookmarkStart w:id="109" w:name="_Toc26096"/>
      <w:r>
        <w:rPr>
          <w:rFonts w:hint="eastAsia" w:cs="宋体" w:asciiTheme="minorEastAsia" w:hAnsiTheme="minorEastAsia" w:eastAsiaTheme="minorEastAsia"/>
          <w:b/>
          <w:bCs/>
          <w:sz w:val="24"/>
          <w:szCs w:val="24"/>
        </w:rPr>
        <w:t>10、响应文件的初步评审</w:t>
      </w:r>
      <w:bookmarkEnd w:id="105"/>
      <w:bookmarkEnd w:id="106"/>
      <w:bookmarkEnd w:id="107"/>
      <w:bookmarkEnd w:id="108"/>
      <w:bookmarkEnd w:id="109"/>
    </w:p>
    <w:p w14:paraId="1A8D4EDE">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10.1根据初步评审要求经审查有效的响应文件，才能提交磋商小组进行评审。</w:t>
      </w:r>
    </w:p>
    <w:p w14:paraId="549BB345">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108D34F0">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10.3如果响应文件实质上不响应竞争性磋商文件的要求，采购人将予以拒绝，并且不允许响应人通过修改或撤消其不符合要求的差异或保留，使之成为具有响应性的磋商。</w:t>
      </w:r>
    </w:p>
    <w:p w14:paraId="6E970D8F">
      <w:pPr>
        <w:pageBreakBefore w:val="0"/>
        <w:kinsoku/>
        <w:wordWrap w:val="0"/>
        <w:overflowPunct/>
        <w:topLinePunct w:val="0"/>
        <w:bidi w:val="0"/>
        <w:spacing w:line="440" w:lineRule="exact"/>
        <w:ind w:firstLine="482" w:firstLineChars="200"/>
        <w:outlineLvl w:val="0"/>
        <w:rPr>
          <w:rFonts w:cs="宋体" w:asciiTheme="minorEastAsia" w:hAnsiTheme="minorEastAsia" w:eastAsiaTheme="minorEastAsia"/>
          <w:b/>
          <w:bCs/>
          <w:sz w:val="24"/>
          <w:szCs w:val="24"/>
        </w:rPr>
      </w:pPr>
      <w:bookmarkStart w:id="110" w:name="_Toc23151"/>
      <w:bookmarkStart w:id="111" w:name="_Toc28395"/>
      <w:bookmarkStart w:id="112" w:name="_Toc10938"/>
      <w:bookmarkStart w:id="113" w:name="_Toc7120"/>
      <w:bookmarkStart w:id="114" w:name="_Toc4879"/>
      <w:r>
        <w:rPr>
          <w:rFonts w:hint="eastAsia" w:cs="宋体" w:asciiTheme="minorEastAsia" w:hAnsiTheme="minorEastAsia" w:eastAsiaTheme="minorEastAsia"/>
          <w:b/>
          <w:bCs/>
          <w:sz w:val="24"/>
          <w:szCs w:val="24"/>
        </w:rPr>
        <w:t>11.响应文件计算错误的修正</w:t>
      </w:r>
      <w:bookmarkEnd w:id="110"/>
      <w:bookmarkEnd w:id="111"/>
      <w:bookmarkEnd w:id="112"/>
      <w:bookmarkEnd w:id="113"/>
      <w:bookmarkEnd w:id="114"/>
    </w:p>
    <w:p w14:paraId="1363D7E6">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11.1磋商小组将对确定为实质上响应竞争性磋商文件要求的响应文件进行校核，看其是否有计算或表达上的错误，修正错误的原则如下：</w:t>
      </w:r>
    </w:p>
    <w:p w14:paraId="091A02E6">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11.1.1如果数字表示的金额和用文字表示的金额不一致时，应以文字表示的金额为准；</w:t>
      </w:r>
    </w:p>
    <w:p w14:paraId="165732BB">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11.1.2当单价与数量的乘积与合价不一致时，以单价为准，除非磋商小组认为单价有明显的小数点错误，此时应以标出的合价为准，并修改单价。</w:t>
      </w:r>
    </w:p>
    <w:p w14:paraId="61DD4C9B">
      <w:pPr>
        <w:pageBreakBefore w:val="0"/>
        <w:kinsoku/>
        <w:wordWrap w:val="0"/>
        <w:overflowPunct/>
        <w:topLinePunct w:val="0"/>
        <w:bidi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11.2按上述修正错误的原则及方法调整或修正响应文件的磋商报价，响应人同意后，调整后的磋商报价对响应人起约束作用。如果响应人不接受修正后的报价，则磋商小组对其不再进行评审。</w:t>
      </w:r>
    </w:p>
    <w:p w14:paraId="2CC66931">
      <w:pPr>
        <w:pageBreakBefore w:val="0"/>
        <w:kinsoku/>
        <w:wordWrap w:val="0"/>
        <w:overflowPunct/>
        <w:topLinePunct w:val="0"/>
        <w:bidi w:val="0"/>
        <w:spacing w:line="440" w:lineRule="exact"/>
        <w:ind w:firstLine="482" w:firstLineChars="200"/>
        <w:outlineLvl w:val="0"/>
        <w:rPr>
          <w:rFonts w:cs="宋体" w:asciiTheme="minorEastAsia" w:hAnsiTheme="minorEastAsia" w:eastAsiaTheme="minorEastAsia"/>
          <w:b/>
          <w:bCs/>
          <w:sz w:val="24"/>
          <w:szCs w:val="24"/>
        </w:rPr>
      </w:pPr>
      <w:bookmarkStart w:id="115" w:name="_Toc25224"/>
      <w:bookmarkStart w:id="116" w:name="_Toc11066"/>
      <w:bookmarkStart w:id="117" w:name="_Toc25476"/>
      <w:bookmarkStart w:id="118" w:name="_Toc7158"/>
      <w:r>
        <w:rPr>
          <w:rFonts w:hint="eastAsia" w:cs="宋体" w:asciiTheme="minorEastAsia" w:hAnsiTheme="minorEastAsia" w:eastAsiaTheme="minorEastAsia"/>
          <w:b/>
          <w:bCs/>
          <w:sz w:val="24"/>
          <w:szCs w:val="24"/>
        </w:rPr>
        <w:t>12. 响应文件的评审、比较和否决</w:t>
      </w:r>
      <w:bookmarkEnd w:id="115"/>
      <w:bookmarkEnd w:id="116"/>
      <w:bookmarkEnd w:id="117"/>
      <w:bookmarkEnd w:id="118"/>
    </w:p>
    <w:p w14:paraId="6BDC9A44">
      <w:pPr>
        <w:pageBreakBefore w:val="0"/>
        <w:kinsoku/>
        <w:wordWrap w:val="0"/>
        <w:overflowPunct/>
        <w:topLinePunct w:val="0"/>
        <w:bidi w:val="0"/>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12.1磋商小组仅对在实质上响应竞争性磋商文件要求的响应文件进行评估和比较。</w:t>
      </w:r>
    </w:p>
    <w:p w14:paraId="0AD04AA9">
      <w:pPr>
        <w:pageBreakBefore w:val="0"/>
        <w:kinsoku/>
        <w:wordWrap w:val="0"/>
        <w:overflowPunct/>
        <w:topLinePunct w:val="0"/>
        <w:bidi w:val="0"/>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040844E7">
      <w:pPr>
        <w:pageBreakBefore w:val="0"/>
        <w:kinsoku/>
        <w:wordWrap w:val="0"/>
        <w:overflowPunct/>
        <w:topLinePunct w:val="0"/>
        <w:bidi w:val="0"/>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12.3在首轮磋商的基础上，磋商小组讨论、分析、综合各种因素后，决定是否与各方再次进行磋商。 </w:t>
      </w:r>
    </w:p>
    <w:p w14:paraId="415F1E60">
      <w:pPr>
        <w:pageBreakBefore w:val="0"/>
        <w:kinsoku/>
        <w:wordWrap w:val="0"/>
        <w:overflowPunct/>
        <w:topLinePunct w:val="0"/>
        <w:bidi w:val="0"/>
        <w:spacing w:line="520" w:lineRule="exact"/>
        <w:ind w:firstLine="482" w:firstLineChars="200"/>
        <w:outlineLvl w:val="0"/>
        <w:rPr>
          <w:rFonts w:ascii="宋体" w:hAnsi="宋体" w:eastAsia="宋体" w:cs="宋体"/>
          <w:b/>
          <w:bCs/>
          <w:sz w:val="24"/>
          <w:szCs w:val="24"/>
        </w:rPr>
      </w:pPr>
      <w:bookmarkStart w:id="119" w:name="_Toc29453"/>
      <w:bookmarkStart w:id="120" w:name="_Toc12402"/>
      <w:bookmarkStart w:id="121" w:name="_Toc12637"/>
      <w:r>
        <w:rPr>
          <w:rFonts w:hint="eastAsia" w:ascii="宋体" w:hAnsi="宋体" w:eastAsia="宋体" w:cs="宋体"/>
          <w:b/>
          <w:bCs/>
          <w:sz w:val="24"/>
          <w:szCs w:val="24"/>
        </w:rPr>
        <w:t>13、成交候选人</w:t>
      </w:r>
      <w:bookmarkEnd w:id="119"/>
      <w:bookmarkEnd w:id="120"/>
      <w:bookmarkEnd w:id="121"/>
    </w:p>
    <w:p w14:paraId="28D7748D">
      <w:pPr>
        <w:pageBreakBefore w:val="0"/>
        <w:kinsoku/>
        <w:wordWrap w:val="0"/>
        <w:overflowPunct/>
        <w:topLinePunct w:val="0"/>
        <w:bidi w:val="0"/>
        <w:spacing w:line="360" w:lineRule="auto"/>
        <w:ind w:firstLine="480" w:firstLineChars="200"/>
        <w:rPr>
          <w:rFonts w:hint="eastAsia" w:cs="宋体" w:asciiTheme="minorEastAsia" w:hAnsiTheme="minorEastAsia" w:eastAsiaTheme="minorEastAsia"/>
          <w:sz w:val="24"/>
        </w:rPr>
      </w:pPr>
      <w:bookmarkStart w:id="122" w:name="_Toc270604607"/>
      <w:r>
        <w:rPr>
          <w:rFonts w:hint="eastAsia" w:cs="宋体" w:asciiTheme="minorEastAsia" w:hAnsiTheme="minorEastAsia" w:eastAsiaTheme="minorEastAsia"/>
          <w:sz w:val="24"/>
        </w:rPr>
        <w:t>磋商小组应当根据综合评分情况，按照评审由高到低的顺序推荐成交候选响应人，并向采购人提供书面评审报告，采购人及采购代理机构在政府采购项目评审结束当日内完成评标报告的报送、中标（成交）响应人的确定、中标（成交）公告发布及中标（成交）通知书的发出等。</w:t>
      </w:r>
    </w:p>
    <w:bookmarkEnd w:id="122"/>
    <w:p w14:paraId="3621865C">
      <w:pPr>
        <w:keepNext/>
        <w:keepLines/>
        <w:pageBreakBefore w:val="0"/>
        <w:kinsoku/>
        <w:wordWrap w:val="0"/>
        <w:overflowPunct/>
        <w:topLinePunct w:val="0"/>
        <w:bidi w:val="0"/>
        <w:spacing w:line="360" w:lineRule="auto"/>
        <w:ind w:firstLine="482" w:firstLineChars="200"/>
        <w:jc w:val="left"/>
        <w:outlineLvl w:val="2"/>
        <w:rPr>
          <w:rFonts w:ascii="宋体" w:hAnsi="宋体" w:eastAsia="宋体" w:cs="宋体"/>
          <w:b/>
          <w:bCs/>
          <w:color w:val="auto"/>
          <w:sz w:val="24"/>
          <w:szCs w:val="24"/>
        </w:rPr>
      </w:pPr>
      <w:bookmarkStart w:id="123" w:name="_Toc4900"/>
      <w:bookmarkStart w:id="124" w:name="_Toc462934310"/>
      <w:bookmarkStart w:id="125" w:name="_Toc18026"/>
      <w:bookmarkStart w:id="126" w:name="_Toc11152"/>
      <w:bookmarkStart w:id="127" w:name="_Toc463011289"/>
      <w:bookmarkStart w:id="128" w:name="_Toc455678136"/>
      <w:r>
        <w:rPr>
          <w:rFonts w:hint="eastAsia" w:ascii="宋体" w:hAnsi="宋体" w:eastAsia="宋体" w:cs="宋体"/>
          <w:b/>
          <w:bCs/>
          <w:color w:val="auto"/>
          <w:sz w:val="24"/>
          <w:szCs w:val="24"/>
        </w:rPr>
        <w:t>1</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、成交通知书</w:t>
      </w:r>
      <w:bookmarkEnd w:id="123"/>
      <w:bookmarkEnd w:id="124"/>
      <w:bookmarkEnd w:id="125"/>
      <w:bookmarkEnd w:id="126"/>
      <w:bookmarkEnd w:id="127"/>
      <w:bookmarkEnd w:id="128"/>
      <w:bookmarkStart w:id="129" w:name="_Toc463011290"/>
      <w:bookmarkStart w:id="130" w:name="_Toc11018"/>
      <w:bookmarkStart w:id="131" w:name="_Toc455678137"/>
      <w:bookmarkStart w:id="132" w:name="_Toc462934311"/>
      <w:bookmarkStart w:id="133" w:name="_Toc23963"/>
    </w:p>
    <w:bookmarkEnd w:id="129"/>
    <w:bookmarkEnd w:id="130"/>
    <w:bookmarkEnd w:id="131"/>
    <w:bookmarkEnd w:id="132"/>
    <w:bookmarkEnd w:id="133"/>
    <w:p w14:paraId="3F2C4C04">
      <w:pPr>
        <w:pageBreakBefore w:val="0"/>
        <w:kinsoku/>
        <w:wordWrap w:val="0"/>
        <w:overflowPunct/>
        <w:topLinePunct w:val="0"/>
        <w:bidi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在公告成交结果的同时，采购人或者采购代理机构向成交人发出成交通知书，成交通知书将作为进行合同磋商和签订合同的依据。</w:t>
      </w:r>
    </w:p>
    <w:p w14:paraId="1E708967">
      <w:pPr>
        <w:pageBreakBefore w:val="0"/>
        <w:kinsoku/>
        <w:wordWrap w:val="0"/>
        <w:overflowPunct/>
        <w:topLinePunct w:val="0"/>
        <w:bidi w:val="0"/>
        <w:snapToGrid w:val="0"/>
        <w:spacing w:line="44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w:t>
      </w:r>
      <w:r>
        <w:rPr>
          <w:rFonts w:hint="eastAsia" w:cs="宋体" w:asciiTheme="minorEastAsia" w:hAnsiTheme="minorEastAsia" w:eastAsiaTheme="minorEastAsia"/>
          <w:b/>
          <w:sz w:val="24"/>
          <w:szCs w:val="24"/>
          <w:lang w:val="en-US" w:eastAsia="zh-CN"/>
        </w:rPr>
        <w:t>5</w:t>
      </w:r>
      <w:r>
        <w:rPr>
          <w:rFonts w:hint="eastAsia" w:cs="宋体" w:asciiTheme="minorEastAsia" w:hAnsiTheme="minorEastAsia" w:eastAsiaTheme="minorEastAsia"/>
          <w:b/>
          <w:sz w:val="24"/>
          <w:szCs w:val="24"/>
        </w:rPr>
        <w:t>、合同授予</w:t>
      </w:r>
    </w:p>
    <w:p w14:paraId="70A6F689">
      <w:pPr>
        <w:pageBreakBefore w:val="0"/>
        <w:kinsoku/>
        <w:wordWrap w:val="0"/>
        <w:overflowPunct/>
        <w:topLinePunct w:val="0"/>
        <w:bidi w:val="0"/>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.1 成交供应商在收到成交通知书后</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个工作日内应与采购人签订承包合同。</w:t>
      </w:r>
    </w:p>
    <w:p w14:paraId="56A7A935">
      <w:pPr>
        <w:pageBreakBefore w:val="0"/>
        <w:kinsoku/>
        <w:wordWrap w:val="0"/>
        <w:overflowPunct/>
        <w:topLinePunct w:val="0"/>
        <w:bidi w:val="0"/>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竞争性磋商文件成交单位的响应性文件及其相关澄清、补遗文件等，均为签订合同的依据。</w:t>
      </w:r>
    </w:p>
    <w:p w14:paraId="6967B03F">
      <w:pPr>
        <w:pageBreakBefore w:val="0"/>
        <w:kinsoku/>
        <w:wordWrap w:val="0"/>
        <w:overflowPunct/>
        <w:topLinePunct w:val="0"/>
        <w:bidi w:val="0"/>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.2成交单位如未能按竞争性磋商文件要求，在规定限期内与采购人签订合同，无论何种原因招标方将取消其成交资格、撤销其成交通知书。在此情况下，采购人可将合同授予排名次高的供应商。</w:t>
      </w:r>
    </w:p>
    <w:p w14:paraId="349D1AD9">
      <w:pPr>
        <w:pageBreakBefore w:val="0"/>
        <w:kinsoku/>
        <w:wordWrap w:val="0"/>
        <w:overflowPunct/>
        <w:topLinePunct w:val="0"/>
        <w:bidi w:val="0"/>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.3在签订合同过程中，如发现成交供应商以他人名义磋商或者以其他方式弄虚作假，骗取成交的，采购人有权取消其成交资格。</w:t>
      </w:r>
    </w:p>
    <w:p w14:paraId="5ED3C461">
      <w:pPr>
        <w:pageBreakBefore w:val="0"/>
        <w:kinsoku/>
        <w:wordWrap w:val="0"/>
        <w:overflowPunct/>
        <w:topLinePunct w:val="0"/>
        <w:bidi w:val="0"/>
        <w:snapToGrid w:val="0"/>
        <w:spacing w:line="440" w:lineRule="exact"/>
        <w:ind w:firstLine="480" w:firstLineChars="200"/>
        <w:rPr>
          <w:rFonts w:asciiTheme="minorEastAsia" w:hAnsiTheme="minorEastAsia" w:eastAsiaTheme="minorEastAsia"/>
          <w:b/>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.4采购人应在采购合同签订之日起</w:t>
      </w:r>
      <w:r>
        <w:rPr>
          <w:rFonts w:hint="eastAsia" w:cs="宋体" w:asciiTheme="minorEastAsia" w:hAnsiTheme="minorEastAsia"/>
          <w:sz w:val="24"/>
          <w:szCs w:val="24"/>
          <w:lang w:val="en-US" w:eastAsia="zh-CN"/>
        </w:rPr>
        <w:t>1</w:t>
      </w:r>
      <w:r>
        <w:rPr>
          <w:rFonts w:hint="eastAsia" w:cs="宋体" w:asciiTheme="minorEastAsia" w:hAnsiTheme="minorEastAsia" w:eastAsiaTheme="minorEastAsia"/>
          <w:sz w:val="24"/>
          <w:szCs w:val="24"/>
        </w:rPr>
        <w:t>个工作日内将政府采购合同在河南省政府采购网发布公告信息及将采购合同报同级财政部门备案。</w:t>
      </w:r>
      <w:bookmarkEnd w:id="23"/>
    </w:p>
    <w:p w14:paraId="4D4EF41B">
      <w:pPr>
        <w:keepNext/>
        <w:pageBreakBefore w:val="0"/>
        <w:tabs>
          <w:tab w:val="left" w:pos="1233"/>
        </w:tabs>
        <w:kinsoku/>
        <w:wordWrap w:val="0"/>
        <w:overflowPunct/>
        <w:topLinePunct w:val="0"/>
        <w:bidi w:val="0"/>
        <w:spacing w:line="440" w:lineRule="exact"/>
        <w:ind w:firstLine="482" w:firstLineChars="200"/>
        <w:outlineLvl w:val="1"/>
        <w:rPr>
          <w:rFonts w:cs="宋体" w:asciiTheme="minorEastAsia" w:hAnsiTheme="minorEastAsia" w:eastAsiaTheme="minorEastAsia"/>
          <w:b/>
          <w:bCs/>
          <w:sz w:val="24"/>
          <w:szCs w:val="24"/>
        </w:rPr>
      </w:pPr>
      <w:bookmarkStart w:id="134" w:name="_Toc18422"/>
      <w:r>
        <w:rPr>
          <w:rFonts w:hint="eastAsia" w:cs="宋体" w:asciiTheme="minorEastAsia" w:hAnsiTheme="minorEastAsia" w:eastAsiaTheme="minorEastAsia"/>
          <w:b/>
          <w:bCs/>
          <w:sz w:val="24"/>
          <w:szCs w:val="24"/>
        </w:rPr>
        <w:t>1</w:t>
      </w:r>
      <w:r>
        <w:rPr>
          <w:rFonts w:hint="eastAsia" w:cs="宋体" w:asciiTheme="minorEastAsia" w:hAnsiTheme="minorEastAsia" w:eastAsiaTheme="minorEastAsia"/>
          <w:b/>
          <w:bCs/>
          <w:sz w:val="24"/>
          <w:szCs w:val="24"/>
          <w:lang w:val="en-US" w:eastAsia="zh-CN"/>
        </w:rPr>
        <w:t>6</w:t>
      </w:r>
      <w:r>
        <w:rPr>
          <w:rFonts w:hint="eastAsia" w:cs="宋体" w:asciiTheme="minorEastAsia" w:hAnsiTheme="minorEastAsia" w:eastAsiaTheme="minorEastAsia"/>
          <w:b/>
          <w:bCs/>
          <w:sz w:val="24"/>
          <w:szCs w:val="24"/>
        </w:rPr>
        <w:t>、重新招标</w:t>
      </w:r>
      <w:bookmarkEnd w:id="134"/>
    </w:p>
    <w:p w14:paraId="15D6FE56">
      <w:pPr>
        <w:pageBreakBefore w:val="0"/>
        <w:kinsoku/>
        <w:wordWrap w:val="0"/>
        <w:overflowPunct/>
        <w:topLinePunct w:val="0"/>
        <w:bidi w:val="0"/>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rPr>
        <w:t>.1出现下列情形之一的，将终止竞争性磋商采购活动，发布项目终止公告并说明原因，重新开展采购活动：</w:t>
      </w:r>
    </w:p>
    <w:p w14:paraId="302229A7">
      <w:pPr>
        <w:pageBreakBefore w:val="0"/>
        <w:kinsoku/>
        <w:wordWrap w:val="0"/>
        <w:overflowPunct/>
        <w:topLinePunct w:val="0"/>
        <w:bidi w:val="0"/>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rPr>
        <w:t>.1.1不符合法律、法规和竞争性磋商文件中规定的其他实质性要求的；</w:t>
      </w:r>
    </w:p>
    <w:p w14:paraId="1484FC38">
      <w:pPr>
        <w:pageBreakBefore w:val="0"/>
        <w:kinsoku/>
        <w:wordWrap w:val="0"/>
        <w:overflowPunct/>
        <w:topLinePunct w:val="0"/>
        <w:bidi w:val="0"/>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rPr>
        <w:t>.1.2、其他法律、法规及本竞争性磋商文件规定的属响应无效的情形。终止竞争性磋商采购活动的条款；</w:t>
      </w:r>
    </w:p>
    <w:p w14:paraId="22087E4A">
      <w:pPr>
        <w:pageBreakBefore w:val="0"/>
        <w:kinsoku/>
        <w:wordWrap w:val="0"/>
        <w:overflowPunct/>
        <w:topLinePunct w:val="0"/>
        <w:bidi w:val="0"/>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rPr>
        <w:t>.1.3、因情况变化，不再符合规定的竞争性磋商采购方式适用情形的；出现影响采购公正的违法、违规行为的；</w:t>
      </w:r>
    </w:p>
    <w:p w14:paraId="3D994DF9">
      <w:pPr>
        <w:pageBreakBefore w:val="0"/>
        <w:kinsoku/>
        <w:wordWrap w:val="0"/>
        <w:overflowPunct/>
        <w:topLinePunct w:val="0"/>
        <w:bidi w:val="0"/>
        <w:snapToGrid w:val="0"/>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rPr>
        <w:t>.2.磋商</w:t>
      </w:r>
      <w:r>
        <w:rPr>
          <w:rFonts w:hint="eastAsia" w:cs="宋体" w:asciiTheme="minorEastAsia" w:hAnsiTheme="minorEastAsia"/>
          <w:sz w:val="24"/>
          <w:szCs w:val="24"/>
          <w:lang w:eastAsia="zh-CN"/>
        </w:rPr>
        <w:t>文件递交</w:t>
      </w:r>
      <w:r>
        <w:rPr>
          <w:rFonts w:hint="eastAsia" w:cs="宋体" w:asciiTheme="minorEastAsia" w:hAnsiTheme="minorEastAsia" w:eastAsiaTheme="minorEastAsia"/>
          <w:sz w:val="24"/>
          <w:szCs w:val="24"/>
        </w:rPr>
        <w:t>截止时间结束后参加响应人不足3家的，应重新组织采购。评审期间符合专业条件的响应人或者对磋商响应文件作出实质响应的响应人不足3家的。</w:t>
      </w:r>
      <w:bookmarkStart w:id="135" w:name="_Toc25425"/>
      <w:bookmarkStart w:id="136" w:name="_Toc23774433"/>
      <w:bookmarkStart w:id="137" w:name="_Toc269470338"/>
      <w:bookmarkStart w:id="138" w:name="_Toc27882"/>
      <w:bookmarkStart w:id="139" w:name="_Toc270604610"/>
    </w:p>
    <w:p w14:paraId="4D4FDCFA">
      <w:pPr>
        <w:pageBreakBefore w:val="0"/>
        <w:kinsoku/>
        <w:wordWrap w:val="0"/>
        <w:overflowPunct/>
        <w:topLinePunct w:val="0"/>
        <w:bidi w:val="0"/>
        <w:snapToGrid w:val="0"/>
        <w:spacing w:line="440" w:lineRule="exact"/>
        <w:ind w:firstLine="482" w:firstLineChars="200"/>
        <w:rPr>
          <w:rFonts w:ascii="宋体" w:hAnsi="宋体" w:eastAsia="宋体" w:cs="宋体"/>
          <w:b/>
          <w:bCs/>
          <w:sz w:val="24"/>
          <w:szCs w:val="24"/>
        </w:rPr>
      </w:pPr>
      <w:r>
        <w:rPr>
          <w:rFonts w:hint="eastAsia" w:ascii="宋体" w:hAnsi="宋体" w:cs="宋体"/>
          <w:b/>
          <w:bCs/>
          <w:sz w:val="24"/>
          <w:szCs w:val="24"/>
          <w:lang w:val="en-US" w:eastAsia="zh-CN"/>
        </w:rPr>
        <w:t>17、</w:t>
      </w:r>
      <w:r>
        <w:rPr>
          <w:rFonts w:hint="eastAsia" w:ascii="宋体" w:hAnsi="宋体" w:eastAsia="宋体" w:cs="宋体"/>
          <w:b/>
          <w:bCs/>
          <w:sz w:val="24"/>
          <w:szCs w:val="24"/>
        </w:rPr>
        <w:t>纪律和监督</w:t>
      </w:r>
      <w:bookmarkEnd w:id="135"/>
      <w:bookmarkEnd w:id="136"/>
      <w:bookmarkEnd w:id="137"/>
      <w:bookmarkEnd w:id="138"/>
      <w:bookmarkEnd w:id="139"/>
      <w:bookmarkStart w:id="140" w:name="_Toc13152"/>
      <w:bookmarkStart w:id="141" w:name="_Toc463011302"/>
      <w:bookmarkStart w:id="142" w:name="_Toc455678149"/>
      <w:bookmarkStart w:id="143" w:name="_Toc454788046"/>
      <w:bookmarkStart w:id="144" w:name="_Toc462934323"/>
      <w:bookmarkStart w:id="145" w:name="_Toc277149399"/>
      <w:bookmarkStart w:id="146" w:name="_Toc428276606"/>
      <w:bookmarkStart w:id="147" w:name="_Toc2717"/>
      <w:bookmarkStart w:id="148" w:name="_Toc269470339"/>
      <w:bookmarkStart w:id="149" w:name="_Toc31772"/>
      <w:bookmarkStart w:id="150" w:name="_Toc270604611"/>
      <w:bookmarkStart w:id="151" w:name="_Toc270604838"/>
      <w:bookmarkStart w:id="152" w:name="_Toc428351666"/>
    </w:p>
    <w:p w14:paraId="0BDD3C4A">
      <w:pPr>
        <w:pageBreakBefore w:val="0"/>
        <w:kinsoku/>
        <w:wordWrap w:val="0"/>
        <w:overflowPunct/>
        <w:topLinePunct w:val="0"/>
        <w:bidi w:val="0"/>
        <w:spacing w:line="520" w:lineRule="exact"/>
        <w:ind w:firstLine="482" w:firstLineChars="200"/>
        <w:outlineLvl w:val="0"/>
        <w:rPr>
          <w:rFonts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cs="宋体"/>
          <w:b/>
          <w:bCs/>
          <w:sz w:val="24"/>
          <w:szCs w:val="24"/>
          <w:lang w:val="en-US" w:eastAsia="zh-CN"/>
        </w:rPr>
        <w:t>7</w:t>
      </w:r>
      <w:r>
        <w:rPr>
          <w:rFonts w:hint="eastAsia" w:ascii="宋体" w:hAnsi="宋体" w:eastAsia="宋体" w:cs="宋体"/>
          <w:b/>
          <w:bCs/>
          <w:sz w:val="24"/>
          <w:szCs w:val="24"/>
        </w:rPr>
        <w:t>.1对采购人的纪律要求</w:t>
      </w:r>
      <w:bookmarkEnd w:id="140"/>
      <w:bookmarkEnd w:id="141"/>
      <w:bookmarkEnd w:id="142"/>
      <w:bookmarkEnd w:id="143"/>
      <w:bookmarkEnd w:id="144"/>
      <w:bookmarkEnd w:id="145"/>
      <w:bookmarkEnd w:id="146"/>
      <w:bookmarkEnd w:id="147"/>
      <w:bookmarkEnd w:id="148"/>
      <w:bookmarkEnd w:id="149"/>
      <w:bookmarkEnd w:id="150"/>
      <w:bookmarkEnd w:id="151"/>
      <w:bookmarkEnd w:id="152"/>
    </w:p>
    <w:p w14:paraId="415E91B7">
      <w:pPr>
        <w:pageBreakBefore w:val="0"/>
        <w:kinsoku/>
        <w:wordWrap w:val="0"/>
        <w:overflowPunct/>
        <w:topLinePunct w:val="0"/>
        <w:bidi w:val="0"/>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.1.1采购人不得泄漏竞争性磋商中应当保密的情况和资料，不得与响应人串通损害国家利益、社会公共利益或者他人合法权益。</w:t>
      </w:r>
    </w:p>
    <w:p w14:paraId="6408E11C">
      <w:pPr>
        <w:pageBreakBefore w:val="0"/>
        <w:kinsoku/>
        <w:wordWrap w:val="0"/>
        <w:overflowPunct/>
        <w:topLinePunct w:val="0"/>
        <w:bidi w:val="0"/>
        <w:spacing w:line="520" w:lineRule="exact"/>
        <w:ind w:firstLine="482" w:firstLineChars="200"/>
        <w:rPr>
          <w:rFonts w:ascii="宋体" w:hAnsi="宋体" w:eastAsia="宋体" w:cs="宋体"/>
          <w:b/>
          <w:bCs/>
          <w:sz w:val="24"/>
          <w:szCs w:val="24"/>
        </w:rPr>
      </w:pPr>
      <w:bookmarkStart w:id="153" w:name="_Toc270604612"/>
      <w:bookmarkStart w:id="154" w:name="_Toc1136"/>
      <w:bookmarkStart w:id="155" w:name="_Toc463011303"/>
      <w:bookmarkStart w:id="156" w:name="_Toc277149400"/>
      <w:bookmarkStart w:id="157" w:name="_Toc462934324"/>
      <w:bookmarkStart w:id="158" w:name="_Toc454788047"/>
      <w:bookmarkStart w:id="159" w:name="_Toc269470340"/>
      <w:bookmarkStart w:id="160" w:name="_Toc10123"/>
      <w:bookmarkStart w:id="161" w:name="_Toc455678150"/>
      <w:bookmarkStart w:id="162" w:name="_Toc428351667"/>
      <w:bookmarkStart w:id="163" w:name="_Toc24245"/>
      <w:bookmarkStart w:id="164" w:name="_Toc270604839"/>
      <w:bookmarkStart w:id="165" w:name="_Toc428276607"/>
      <w:r>
        <w:rPr>
          <w:rFonts w:hint="eastAsia" w:ascii="宋体" w:hAnsi="宋体" w:eastAsia="宋体" w:cs="宋体"/>
          <w:b/>
          <w:bCs/>
          <w:sz w:val="24"/>
          <w:szCs w:val="24"/>
        </w:rPr>
        <w:t>1</w:t>
      </w:r>
      <w:r>
        <w:rPr>
          <w:rFonts w:hint="eastAsia" w:ascii="宋体" w:hAnsi="宋体" w:cs="宋体"/>
          <w:b/>
          <w:bCs/>
          <w:sz w:val="24"/>
          <w:szCs w:val="24"/>
          <w:lang w:val="en-US" w:eastAsia="zh-CN"/>
        </w:rPr>
        <w:t>7</w:t>
      </w:r>
      <w:r>
        <w:rPr>
          <w:rFonts w:hint="eastAsia" w:ascii="宋体" w:hAnsi="宋体" w:eastAsia="宋体" w:cs="宋体"/>
          <w:b/>
          <w:bCs/>
          <w:sz w:val="24"/>
          <w:szCs w:val="24"/>
        </w:rPr>
        <w:t>.2对响应人的纪律要求</w:t>
      </w:r>
      <w:bookmarkEnd w:id="153"/>
      <w:bookmarkEnd w:id="154"/>
      <w:bookmarkEnd w:id="155"/>
      <w:bookmarkEnd w:id="156"/>
      <w:bookmarkEnd w:id="157"/>
      <w:bookmarkEnd w:id="158"/>
      <w:bookmarkEnd w:id="159"/>
      <w:bookmarkEnd w:id="160"/>
      <w:bookmarkEnd w:id="161"/>
      <w:bookmarkEnd w:id="162"/>
      <w:bookmarkEnd w:id="163"/>
      <w:bookmarkEnd w:id="164"/>
      <w:bookmarkEnd w:id="165"/>
    </w:p>
    <w:p w14:paraId="43B0E1E3">
      <w:pPr>
        <w:pageBreakBefore w:val="0"/>
        <w:kinsoku/>
        <w:wordWrap w:val="0"/>
        <w:overflowPunct/>
        <w:topLinePunct w:val="0"/>
        <w:bidi w:val="0"/>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.2.1响应人不得相互串通或者与采购人串通，不得向采购人或者磋商小组成员行贿谋取成交，不得以他人名义磋商或者以其他方式弄虚作假骗取成交；响应人不得以任何方式干扰、影响磋商工作。</w:t>
      </w:r>
    </w:p>
    <w:p w14:paraId="73D69ED3">
      <w:pPr>
        <w:pageBreakBefore w:val="0"/>
        <w:kinsoku/>
        <w:wordWrap w:val="0"/>
        <w:overflowPunct/>
        <w:topLinePunct w:val="0"/>
        <w:bidi w:val="0"/>
        <w:spacing w:line="520" w:lineRule="exact"/>
        <w:ind w:firstLine="482" w:firstLineChars="200"/>
        <w:rPr>
          <w:rFonts w:ascii="宋体" w:hAnsi="宋体" w:eastAsia="宋体" w:cs="宋体"/>
          <w:b/>
          <w:bCs/>
          <w:sz w:val="24"/>
          <w:szCs w:val="24"/>
        </w:rPr>
      </w:pPr>
      <w:bookmarkStart w:id="166" w:name="_Toc277149401"/>
      <w:bookmarkStart w:id="167" w:name="_Toc270604613"/>
      <w:bookmarkStart w:id="168" w:name="_Toc270604840"/>
      <w:bookmarkStart w:id="169" w:name="_Toc463011304"/>
      <w:bookmarkStart w:id="170" w:name="_Toc462934325"/>
      <w:bookmarkStart w:id="171" w:name="_Toc428351668"/>
      <w:bookmarkStart w:id="172" w:name="_Toc23588"/>
      <w:bookmarkStart w:id="173" w:name="_Toc455678151"/>
      <w:bookmarkStart w:id="174" w:name="_Toc454788048"/>
      <w:bookmarkStart w:id="175" w:name="_Toc15953"/>
      <w:bookmarkStart w:id="176" w:name="_Toc26184"/>
      <w:bookmarkStart w:id="177" w:name="_Toc269470341"/>
      <w:bookmarkStart w:id="178" w:name="_Toc428276608"/>
      <w:r>
        <w:rPr>
          <w:rFonts w:hint="eastAsia" w:ascii="宋体" w:hAnsi="宋体" w:eastAsia="宋体" w:cs="宋体"/>
          <w:b/>
          <w:bCs/>
          <w:sz w:val="24"/>
          <w:szCs w:val="24"/>
        </w:rPr>
        <w:t>1</w:t>
      </w:r>
      <w:r>
        <w:rPr>
          <w:rFonts w:hint="eastAsia" w:ascii="宋体" w:hAnsi="宋体" w:cs="宋体"/>
          <w:b/>
          <w:bCs/>
          <w:sz w:val="24"/>
          <w:szCs w:val="24"/>
          <w:lang w:val="en-US" w:eastAsia="zh-CN"/>
        </w:rPr>
        <w:t>7</w:t>
      </w:r>
      <w:r>
        <w:rPr>
          <w:rFonts w:hint="eastAsia" w:ascii="宋体" w:hAnsi="宋体" w:eastAsia="宋体" w:cs="宋体"/>
          <w:b/>
          <w:bCs/>
          <w:sz w:val="24"/>
          <w:szCs w:val="24"/>
        </w:rPr>
        <w:t>.3对磋商小组成员的纪律要求</w:t>
      </w:r>
      <w:bookmarkEnd w:id="166"/>
      <w:bookmarkEnd w:id="167"/>
      <w:bookmarkEnd w:id="168"/>
      <w:bookmarkEnd w:id="169"/>
      <w:bookmarkEnd w:id="170"/>
      <w:bookmarkEnd w:id="171"/>
      <w:bookmarkEnd w:id="172"/>
      <w:bookmarkEnd w:id="173"/>
      <w:bookmarkEnd w:id="174"/>
      <w:bookmarkEnd w:id="175"/>
      <w:bookmarkEnd w:id="176"/>
      <w:bookmarkEnd w:id="177"/>
      <w:bookmarkEnd w:id="178"/>
    </w:p>
    <w:p w14:paraId="0B97EAEF">
      <w:pPr>
        <w:pageBreakBefore w:val="0"/>
        <w:kinsoku/>
        <w:wordWrap w:val="0"/>
        <w:overflowPunct/>
        <w:topLinePunct w:val="0"/>
        <w:bidi w:val="0"/>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3.1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5E1C840D">
      <w:pPr>
        <w:pageBreakBefore w:val="0"/>
        <w:kinsoku/>
        <w:wordWrap w:val="0"/>
        <w:overflowPunct/>
        <w:topLinePunct w:val="0"/>
        <w:bidi w:val="0"/>
        <w:spacing w:line="520" w:lineRule="exact"/>
        <w:ind w:firstLine="482" w:firstLineChars="200"/>
        <w:rPr>
          <w:rFonts w:ascii="宋体" w:hAnsi="宋体" w:eastAsia="宋体" w:cs="宋体"/>
          <w:b/>
          <w:bCs/>
          <w:sz w:val="24"/>
          <w:szCs w:val="24"/>
        </w:rPr>
      </w:pPr>
      <w:bookmarkStart w:id="179" w:name="_Toc463011305"/>
      <w:bookmarkStart w:id="180" w:name="_Toc277149402"/>
      <w:bookmarkStart w:id="181" w:name="_Toc428351669"/>
      <w:bookmarkStart w:id="182" w:name="_Toc455678152"/>
      <w:bookmarkStart w:id="183" w:name="_Toc8563"/>
      <w:bookmarkStart w:id="184" w:name="_Toc462934326"/>
      <w:bookmarkStart w:id="185" w:name="_Toc4673"/>
      <w:bookmarkStart w:id="186" w:name="_Toc428276609"/>
      <w:bookmarkStart w:id="187" w:name="_Toc454788049"/>
      <w:bookmarkStart w:id="188" w:name="_Toc269470342"/>
      <w:bookmarkStart w:id="189" w:name="_Toc270604841"/>
      <w:bookmarkStart w:id="190" w:name="_Toc270604614"/>
      <w:bookmarkStart w:id="191" w:name="_Toc14202"/>
      <w:r>
        <w:rPr>
          <w:rFonts w:hint="eastAsia" w:ascii="宋体" w:hAnsi="宋体" w:eastAsia="宋体" w:cs="宋体"/>
          <w:b/>
          <w:bCs/>
          <w:sz w:val="24"/>
          <w:szCs w:val="24"/>
        </w:rPr>
        <w:t>1</w:t>
      </w:r>
      <w:r>
        <w:rPr>
          <w:rFonts w:hint="eastAsia" w:ascii="宋体" w:hAnsi="宋体" w:cs="宋体"/>
          <w:b/>
          <w:bCs/>
          <w:sz w:val="24"/>
          <w:szCs w:val="24"/>
          <w:lang w:val="en-US" w:eastAsia="zh-CN"/>
        </w:rPr>
        <w:t>7</w:t>
      </w:r>
      <w:r>
        <w:rPr>
          <w:rFonts w:hint="eastAsia" w:ascii="宋体" w:hAnsi="宋体" w:eastAsia="宋体" w:cs="宋体"/>
          <w:b/>
          <w:bCs/>
          <w:sz w:val="24"/>
          <w:szCs w:val="24"/>
        </w:rPr>
        <w:t>.4对与磋商活动有关的工作人员的纪律要求</w:t>
      </w:r>
      <w:bookmarkEnd w:id="179"/>
      <w:bookmarkEnd w:id="180"/>
      <w:bookmarkEnd w:id="181"/>
      <w:bookmarkEnd w:id="182"/>
      <w:bookmarkEnd w:id="183"/>
      <w:bookmarkEnd w:id="184"/>
      <w:bookmarkEnd w:id="185"/>
      <w:bookmarkEnd w:id="186"/>
      <w:bookmarkEnd w:id="187"/>
      <w:bookmarkEnd w:id="188"/>
      <w:bookmarkEnd w:id="189"/>
      <w:bookmarkEnd w:id="190"/>
      <w:bookmarkEnd w:id="191"/>
    </w:p>
    <w:p w14:paraId="0702CD87">
      <w:pPr>
        <w:pageBreakBefore w:val="0"/>
        <w:kinsoku/>
        <w:wordWrap w:val="0"/>
        <w:overflowPunct/>
        <w:topLinePunct w:val="0"/>
        <w:bidi w:val="0"/>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4.1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11936F9D">
      <w:pPr>
        <w:pageBreakBefore w:val="0"/>
        <w:kinsoku/>
        <w:wordWrap w:val="0"/>
        <w:overflowPunct/>
        <w:topLinePunct w:val="0"/>
        <w:bidi w:val="0"/>
        <w:spacing w:line="520" w:lineRule="exact"/>
        <w:ind w:firstLine="482" w:firstLineChars="200"/>
        <w:rPr>
          <w:rFonts w:ascii="宋体" w:hAnsi="宋体" w:eastAsia="宋体" w:cs="宋体"/>
          <w:b/>
          <w:bCs/>
          <w:sz w:val="24"/>
          <w:szCs w:val="24"/>
        </w:rPr>
      </w:pPr>
      <w:bookmarkStart w:id="192" w:name="_Toc29089"/>
      <w:bookmarkStart w:id="193" w:name="_Toc270604842"/>
      <w:bookmarkStart w:id="194" w:name="_Toc428351670"/>
      <w:bookmarkStart w:id="195" w:name="_Toc269470343"/>
      <w:bookmarkStart w:id="196" w:name="_Toc270604615"/>
      <w:bookmarkStart w:id="197" w:name="_Toc454788050"/>
      <w:bookmarkStart w:id="198" w:name="_Toc428276610"/>
      <w:bookmarkStart w:id="199" w:name="_Toc277149403"/>
      <w:r>
        <w:rPr>
          <w:rFonts w:hint="eastAsia" w:ascii="宋体" w:hAnsi="宋体" w:eastAsia="宋体" w:cs="宋体"/>
          <w:b/>
          <w:bCs/>
          <w:sz w:val="24"/>
          <w:szCs w:val="24"/>
        </w:rPr>
        <w:t>1</w:t>
      </w:r>
      <w:r>
        <w:rPr>
          <w:rFonts w:hint="eastAsia" w:ascii="宋体" w:hAnsi="宋体" w:cs="宋体"/>
          <w:b/>
          <w:bCs/>
          <w:sz w:val="24"/>
          <w:szCs w:val="24"/>
          <w:lang w:val="en-US" w:eastAsia="zh-CN"/>
        </w:rPr>
        <w:t>7</w:t>
      </w:r>
      <w:r>
        <w:rPr>
          <w:rFonts w:hint="eastAsia" w:ascii="宋体" w:hAnsi="宋体" w:eastAsia="宋体" w:cs="宋体"/>
          <w:b/>
          <w:bCs/>
          <w:sz w:val="24"/>
          <w:szCs w:val="24"/>
        </w:rPr>
        <w:t>.5</w:t>
      </w:r>
      <w:bookmarkStart w:id="200" w:name="_Toc27033"/>
      <w:r>
        <w:rPr>
          <w:rFonts w:hint="eastAsia" w:ascii="宋体" w:hAnsi="宋体" w:eastAsia="宋体" w:cs="宋体"/>
          <w:b/>
          <w:bCs/>
          <w:sz w:val="24"/>
          <w:szCs w:val="24"/>
        </w:rPr>
        <w:t>询问、质疑和投诉</w:t>
      </w:r>
      <w:bookmarkEnd w:id="192"/>
      <w:bookmarkEnd w:id="193"/>
      <w:bookmarkEnd w:id="194"/>
      <w:bookmarkEnd w:id="195"/>
      <w:bookmarkEnd w:id="196"/>
      <w:bookmarkEnd w:id="197"/>
      <w:bookmarkEnd w:id="198"/>
      <w:bookmarkEnd w:id="199"/>
      <w:bookmarkEnd w:id="200"/>
    </w:p>
    <w:p w14:paraId="602D9D05">
      <w:pPr>
        <w:pageBreakBefore w:val="0"/>
        <w:kinsoku/>
        <w:wordWrap w:val="0"/>
        <w:overflowPunct/>
        <w:topLinePunct w:val="0"/>
        <w:bidi w:val="0"/>
        <w:spacing w:line="520" w:lineRule="exact"/>
        <w:ind w:firstLine="480" w:firstLineChars="200"/>
        <w:rPr>
          <w:rFonts w:ascii="宋体" w:hAnsi="宋体" w:eastAsia="宋体" w:cs="宋体"/>
          <w:sz w:val="24"/>
          <w:szCs w:val="24"/>
        </w:rPr>
      </w:pPr>
      <w:bookmarkStart w:id="201" w:name="_Toc455678154"/>
      <w:bookmarkStart w:id="202" w:name="_Toc463011307"/>
      <w:bookmarkStart w:id="203" w:name="_Toc462934328"/>
      <w:bookmarkStart w:id="204" w:name="_Toc17445"/>
      <w:bookmarkStart w:id="205" w:name="_Toc11785"/>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.5.1响应人或有关当事人对磋商过程、成交结果有异议的，可以向采购人或者采购代理机构提出询问。</w:t>
      </w:r>
      <w:bookmarkEnd w:id="201"/>
      <w:bookmarkEnd w:id="202"/>
      <w:bookmarkEnd w:id="203"/>
      <w:bookmarkEnd w:id="204"/>
      <w:bookmarkEnd w:id="205"/>
    </w:p>
    <w:p w14:paraId="50EDB17E">
      <w:pPr>
        <w:pageBreakBefore w:val="0"/>
        <w:kinsoku/>
        <w:wordWrap w:val="0"/>
        <w:overflowPunct/>
        <w:topLinePunct w:val="0"/>
        <w:bidi w:val="0"/>
        <w:spacing w:line="520" w:lineRule="exact"/>
        <w:ind w:firstLine="480" w:firstLineChars="200"/>
        <w:rPr>
          <w:rFonts w:ascii="宋体" w:hAnsi="宋体" w:eastAsia="宋体" w:cs="宋体"/>
          <w:sz w:val="24"/>
          <w:szCs w:val="24"/>
        </w:rPr>
      </w:pPr>
      <w:bookmarkStart w:id="206" w:name="_Toc463011308"/>
      <w:bookmarkStart w:id="207" w:name="_Toc462934329"/>
      <w:bookmarkStart w:id="208" w:name="_Toc27421"/>
      <w:bookmarkStart w:id="209" w:name="_Toc24621"/>
      <w:bookmarkStart w:id="210" w:name="_Toc455678155"/>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.5.2采购人或者采购代理机构应当在三个工作日内对响应人依法提出的询问作出答复。</w:t>
      </w:r>
      <w:bookmarkEnd w:id="206"/>
      <w:bookmarkEnd w:id="207"/>
      <w:bookmarkEnd w:id="208"/>
      <w:bookmarkEnd w:id="209"/>
      <w:bookmarkEnd w:id="210"/>
    </w:p>
    <w:p w14:paraId="49BEFF19">
      <w:pPr>
        <w:pageBreakBefore w:val="0"/>
        <w:kinsoku/>
        <w:wordWrap w:val="0"/>
        <w:overflowPunct/>
        <w:topLinePunct w:val="0"/>
        <w:bidi w:val="0"/>
        <w:spacing w:line="520" w:lineRule="exact"/>
        <w:ind w:firstLine="480" w:firstLineChars="200"/>
        <w:rPr>
          <w:rFonts w:ascii="宋体" w:hAnsi="宋体" w:eastAsia="宋体" w:cs="宋体"/>
          <w:sz w:val="24"/>
          <w:szCs w:val="24"/>
        </w:rPr>
      </w:pPr>
      <w:bookmarkStart w:id="211" w:name="_Toc462934330"/>
      <w:bookmarkStart w:id="212" w:name="_Toc455678156"/>
      <w:bookmarkStart w:id="213" w:name="_Toc28381"/>
      <w:bookmarkStart w:id="214" w:name="_Toc463011309"/>
      <w:bookmarkStart w:id="215" w:name="_Toc30298"/>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.5.3响应人认为竞争性磋商文件、采购过程使自己的权益受到损害的，可以在知道或者应知其权益受到损害之日起七个工作日内，以书面形式向采购人提出质疑。</w:t>
      </w:r>
      <w:bookmarkEnd w:id="211"/>
      <w:bookmarkEnd w:id="212"/>
      <w:bookmarkEnd w:id="213"/>
      <w:bookmarkEnd w:id="214"/>
      <w:bookmarkEnd w:id="215"/>
    </w:p>
    <w:p w14:paraId="3F4D3122">
      <w:pPr>
        <w:pageBreakBefore w:val="0"/>
        <w:kinsoku/>
        <w:wordWrap w:val="0"/>
        <w:overflowPunct/>
        <w:topLinePunct w:val="0"/>
        <w:bidi w:val="0"/>
        <w:spacing w:line="520" w:lineRule="exact"/>
        <w:ind w:firstLine="480" w:firstLineChars="200"/>
        <w:rPr>
          <w:rFonts w:ascii="宋体" w:hAnsi="宋体" w:eastAsia="宋体" w:cs="宋体"/>
          <w:sz w:val="24"/>
          <w:szCs w:val="24"/>
        </w:rPr>
      </w:pPr>
      <w:bookmarkStart w:id="216" w:name="_Toc288"/>
      <w:bookmarkStart w:id="217" w:name="_Toc16614"/>
      <w:bookmarkStart w:id="218" w:name="_Toc463011310"/>
      <w:bookmarkStart w:id="219" w:name="_Toc462934331"/>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.5.4响应人认为成交结果使自己的权益受到损害的，可以在成交结果公告期限届满之日起七个工作日内，以书面形式向采购人提出质疑，接收质疑函联系部门、电话及地址详见竞争性磋商公告。</w:t>
      </w:r>
      <w:bookmarkEnd w:id="216"/>
      <w:bookmarkEnd w:id="217"/>
      <w:bookmarkEnd w:id="218"/>
      <w:bookmarkEnd w:id="219"/>
      <w:r>
        <w:rPr>
          <w:rFonts w:hint="eastAsia" w:ascii="宋体" w:hAnsi="宋体" w:eastAsia="宋体" w:cs="宋体"/>
          <w:sz w:val="24"/>
          <w:szCs w:val="24"/>
        </w:rPr>
        <w:t>在法定质疑期内响应人针对同一采购程序环节的质疑应当一次性提出。</w:t>
      </w:r>
    </w:p>
    <w:p w14:paraId="0F62B108">
      <w:pPr>
        <w:pageBreakBefore w:val="0"/>
        <w:kinsoku/>
        <w:wordWrap w:val="0"/>
        <w:overflowPunct/>
        <w:topLinePunct w:val="0"/>
        <w:bidi w:val="0"/>
        <w:spacing w:line="520" w:lineRule="exact"/>
        <w:ind w:firstLine="480" w:firstLineChars="200"/>
        <w:rPr>
          <w:rFonts w:ascii="宋体" w:hAnsi="宋体" w:eastAsia="宋体" w:cs="宋体"/>
          <w:sz w:val="24"/>
          <w:szCs w:val="24"/>
        </w:rPr>
      </w:pPr>
      <w:bookmarkStart w:id="220" w:name="_Toc5258"/>
      <w:bookmarkStart w:id="221" w:name="_Toc455678157"/>
      <w:bookmarkStart w:id="222" w:name="_Toc18478"/>
      <w:bookmarkStart w:id="223" w:name="_Toc462934332"/>
      <w:bookmarkStart w:id="224" w:name="_Toc463011311"/>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.5.5采购人或者采购代理机构应当在收到响应人的书面质疑后七个工作日内作出答复，并以书面形式通知质疑响应人和其他有关响应人，但答复的内容不得涉及商业秘密。</w:t>
      </w:r>
      <w:bookmarkEnd w:id="220"/>
      <w:bookmarkEnd w:id="221"/>
      <w:bookmarkEnd w:id="222"/>
      <w:bookmarkEnd w:id="223"/>
      <w:bookmarkEnd w:id="224"/>
    </w:p>
    <w:p w14:paraId="582E44EA">
      <w:pPr>
        <w:pageBreakBefore w:val="0"/>
        <w:kinsoku/>
        <w:wordWrap w:val="0"/>
        <w:overflowPunct/>
        <w:topLinePunct w:val="0"/>
        <w:bidi w:val="0"/>
        <w:spacing w:line="520" w:lineRule="exact"/>
        <w:ind w:firstLine="480" w:firstLineChars="200"/>
        <w:rPr>
          <w:rFonts w:ascii="宋体" w:hAnsi="宋体" w:eastAsia="宋体" w:cs="宋体"/>
          <w:sz w:val="24"/>
          <w:szCs w:val="24"/>
        </w:rPr>
      </w:pPr>
      <w:bookmarkStart w:id="225" w:name="_Toc463011312"/>
      <w:bookmarkStart w:id="226" w:name="_Toc21390"/>
      <w:bookmarkStart w:id="227" w:name="_Toc455678158"/>
      <w:bookmarkStart w:id="228" w:name="_Toc4898"/>
      <w:bookmarkStart w:id="229" w:name="_Toc462934333"/>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.5.6质疑单位对采购人、采购代理机构的答复不满意或者采购人、采购代理机构未在规定的时间内作出答复的，可以在答复期满后十五个工作日内向同级政府采购监督管理部门投诉。</w:t>
      </w:r>
      <w:bookmarkEnd w:id="225"/>
      <w:bookmarkEnd w:id="226"/>
      <w:bookmarkEnd w:id="227"/>
      <w:bookmarkEnd w:id="228"/>
      <w:bookmarkEnd w:id="229"/>
    </w:p>
    <w:p w14:paraId="0216AA04">
      <w:pPr>
        <w:pageBreakBefore w:val="0"/>
        <w:kinsoku/>
        <w:wordWrap w:val="0"/>
        <w:overflowPunct/>
        <w:topLinePunct w:val="0"/>
        <w:bidi w:val="0"/>
        <w:spacing w:line="520" w:lineRule="exact"/>
        <w:ind w:firstLine="480" w:firstLineChars="200"/>
        <w:rPr>
          <w:rFonts w:ascii="宋体" w:hAnsi="宋体" w:eastAsia="宋体" w:cs="宋体"/>
          <w:sz w:val="24"/>
          <w:szCs w:val="24"/>
        </w:rPr>
      </w:pPr>
      <w:bookmarkStart w:id="230" w:name="_Toc462934334"/>
      <w:bookmarkStart w:id="231" w:name="_Toc455678159"/>
      <w:bookmarkStart w:id="232" w:name="_Toc463011313"/>
      <w:bookmarkStart w:id="233" w:name="_Toc17682"/>
      <w:bookmarkStart w:id="234" w:name="_Toc11631"/>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.5.7响应人质疑、投诉应当有明确的请求和必要的证明材料。响应人投诉的事项不得超出已质疑事项的范围。</w:t>
      </w:r>
      <w:bookmarkEnd w:id="230"/>
      <w:bookmarkEnd w:id="231"/>
      <w:bookmarkEnd w:id="232"/>
      <w:bookmarkEnd w:id="233"/>
      <w:bookmarkEnd w:id="234"/>
    </w:p>
    <w:p w14:paraId="3A85093C">
      <w:pPr>
        <w:pageBreakBefore w:val="0"/>
        <w:kinsoku/>
        <w:wordWrap w:val="0"/>
        <w:overflowPunct/>
        <w:topLinePunct w:val="0"/>
        <w:bidi w:val="0"/>
        <w:spacing w:line="520" w:lineRule="exact"/>
        <w:ind w:firstLine="482" w:firstLineChars="200"/>
        <w:rPr>
          <w:rFonts w:ascii="宋体" w:hAnsi="宋体" w:eastAsia="宋体" w:cs="宋体"/>
          <w:b/>
          <w:bCs/>
          <w:sz w:val="24"/>
          <w:szCs w:val="24"/>
        </w:rPr>
      </w:pPr>
      <w:bookmarkStart w:id="235" w:name="_Toc23774435"/>
      <w:bookmarkStart w:id="236" w:name="_Toc5729"/>
      <w:r>
        <w:rPr>
          <w:rFonts w:hint="eastAsia" w:ascii="宋体" w:hAnsi="宋体" w:eastAsia="宋体" w:cs="宋体"/>
          <w:b/>
          <w:bCs/>
          <w:sz w:val="24"/>
          <w:szCs w:val="24"/>
        </w:rPr>
        <w:t>1</w:t>
      </w:r>
      <w:r>
        <w:rPr>
          <w:rFonts w:hint="eastAsia" w:ascii="宋体" w:hAnsi="宋体" w:cs="宋体"/>
          <w:b/>
          <w:bCs/>
          <w:sz w:val="24"/>
          <w:szCs w:val="24"/>
          <w:lang w:val="en-US" w:eastAsia="zh-CN"/>
        </w:rPr>
        <w:t>8</w:t>
      </w:r>
      <w:r>
        <w:rPr>
          <w:rFonts w:hint="eastAsia" w:ascii="宋体" w:hAnsi="宋体" w:eastAsia="宋体" w:cs="宋体"/>
          <w:b/>
          <w:bCs/>
          <w:sz w:val="24"/>
          <w:szCs w:val="24"/>
        </w:rPr>
        <w:t>、需要补充的其他内容</w:t>
      </w:r>
      <w:bookmarkEnd w:id="235"/>
      <w:bookmarkEnd w:id="236"/>
    </w:p>
    <w:p w14:paraId="7226468B">
      <w:pPr>
        <w:pageBreakBefore w:val="0"/>
        <w:kinsoku/>
        <w:wordWrap w:val="0"/>
        <w:overflowPunct/>
        <w:topLinePunct w:val="0"/>
        <w:bidi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需要补充的其他内容：见响应人须知前附表。</w:t>
      </w:r>
    </w:p>
    <w:p w14:paraId="711FBFDB">
      <w:pPr>
        <w:pStyle w:val="16"/>
        <w:pageBreakBefore w:val="0"/>
        <w:kinsoku/>
        <w:wordWrap w:val="0"/>
        <w:overflowPunct/>
        <w:topLinePunct w:val="0"/>
        <w:bidi w:val="0"/>
      </w:pPr>
    </w:p>
    <w:p w14:paraId="44777091">
      <w:pPr>
        <w:pageBreakBefore w:val="0"/>
        <w:kinsoku/>
        <w:wordWrap w:val="0"/>
        <w:overflowPunct/>
        <w:topLinePunct w:val="0"/>
        <w:bidi w:val="0"/>
      </w:pPr>
    </w:p>
    <w:p w14:paraId="483389E0">
      <w:pPr>
        <w:pageBreakBefore w:val="0"/>
        <w:kinsoku/>
        <w:wordWrap w:val="0"/>
        <w:overflowPunct/>
        <w:topLinePunct w:val="0"/>
        <w:bidi w:val="0"/>
      </w:pPr>
    </w:p>
    <w:p w14:paraId="67801594">
      <w:pPr>
        <w:pageBreakBefore w:val="0"/>
        <w:kinsoku/>
        <w:wordWrap w:val="0"/>
        <w:overflowPunct/>
        <w:topLinePunct w:val="0"/>
        <w:bidi w:val="0"/>
      </w:pPr>
    </w:p>
    <w:p w14:paraId="3389DBBA">
      <w:pPr>
        <w:pageBreakBefore w:val="0"/>
        <w:kinsoku/>
        <w:wordWrap w:val="0"/>
        <w:overflowPunct/>
        <w:topLinePunct w:val="0"/>
        <w:bidi w:val="0"/>
      </w:pPr>
    </w:p>
    <w:p w14:paraId="5BF61829">
      <w:pPr>
        <w:pageBreakBefore w:val="0"/>
        <w:kinsoku/>
        <w:wordWrap w:val="0"/>
        <w:overflowPunct/>
        <w:topLinePunct w:val="0"/>
        <w:bidi w:val="0"/>
      </w:pPr>
    </w:p>
    <w:p w14:paraId="64D22E79">
      <w:pPr>
        <w:pageBreakBefore w:val="0"/>
        <w:kinsoku/>
        <w:wordWrap w:val="0"/>
        <w:overflowPunct/>
        <w:topLinePunct w:val="0"/>
        <w:bidi w:val="0"/>
      </w:pPr>
    </w:p>
    <w:p w14:paraId="3AEED18B">
      <w:pPr>
        <w:pageBreakBefore w:val="0"/>
        <w:kinsoku/>
        <w:wordWrap w:val="0"/>
        <w:overflowPunct/>
        <w:topLinePunct w:val="0"/>
        <w:bidi w:val="0"/>
      </w:pPr>
    </w:p>
    <w:p w14:paraId="22D4DFB8">
      <w:pPr>
        <w:pageBreakBefore w:val="0"/>
        <w:kinsoku/>
        <w:wordWrap w:val="0"/>
        <w:overflowPunct/>
        <w:topLinePunct w:val="0"/>
        <w:bidi w:val="0"/>
      </w:pPr>
    </w:p>
    <w:p w14:paraId="2C6FFFCA">
      <w:pPr>
        <w:pageBreakBefore w:val="0"/>
        <w:kinsoku/>
        <w:wordWrap w:val="0"/>
        <w:overflowPunct/>
        <w:topLinePunct w:val="0"/>
        <w:bidi w:val="0"/>
      </w:pPr>
    </w:p>
    <w:p w14:paraId="12A51B1C">
      <w:pPr>
        <w:pageBreakBefore w:val="0"/>
        <w:kinsoku/>
        <w:wordWrap w:val="0"/>
        <w:overflowPunct/>
        <w:topLinePunct w:val="0"/>
        <w:bidi w:val="0"/>
      </w:pPr>
    </w:p>
    <w:p w14:paraId="1A465128">
      <w:pPr>
        <w:pageBreakBefore w:val="0"/>
        <w:kinsoku/>
        <w:wordWrap w:val="0"/>
        <w:overflowPunct/>
        <w:topLinePunct w:val="0"/>
        <w:bidi w:val="0"/>
      </w:pPr>
    </w:p>
    <w:p w14:paraId="4963E759">
      <w:pPr>
        <w:pageBreakBefore w:val="0"/>
        <w:kinsoku/>
        <w:wordWrap w:val="0"/>
        <w:overflowPunct/>
        <w:topLinePunct w:val="0"/>
        <w:bidi w:val="0"/>
      </w:pPr>
    </w:p>
    <w:p w14:paraId="65E18527">
      <w:pPr>
        <w:pageBreakBefore w:val="0"/>
        <w:kinsoku/>
        <w:wordWrap w:val="0"/>
        <w:overflowPunct/>
        <w:topLinePunct w:val="0"/>
        <w:bidi w:val="0"/>
      </w:pPr>
    </w:p>
    <w:p w14:paraId="63AED208">
      <w:pPr>
        <w:pageBreakBefore w:val="0"/>
        <w:kinsoku/>
        <w:wordWrap w:val="0"/>
        <w:overflowPunct/>
        <w:topLinePunct w:val="0"/>
        <w:bidi w:val="0"/>
      </w:pPr>
    </w:p>
    <w:p w14:paraId="3B8179E5">
      <w:pPr>
        <w:pageBreakBefore w:val="0"/>
        <w:kinsoku/>
        <w:wordWrap w:val="0"/>
        <w:overflowPunct/>
        <w:topLinePunct w:val="0"/>
        <w:bidi w:val="0"/>
      </w:pPr>
    </w:p>
    <w:p w14:paraId="62AFC067">
      <w:pPr>
        <w:pageBreakBefore w:val="0"/>
        <w:kinsoku/>
        <w:wordWrap w:val="0"/>
        <w:overflowPunct/>
        <w:topLinePunct w:val="0"/>
        <w:bidi w:val="0"/>
      </w:pPr>
    </w:p>
    <w:p w14:paraId="5FD9E6CF">
      <w:pPr>
        <w:pageBreakBefore w:val="0"/>
        <w:kinsoku/>
        <w:wordWrap w:val="0"/>
        <w:overflowPunct/>
        <w:topLinePunct w:val="0"/>
        <w:bidi w:val="0"/>
      </w:pPr>
    </w:p>
    <w:p w14:paraId="5F068C51">
      <w:pPr>
        <w:pageBreakBefore w:val="0"/>
        <w:kinsoku/>
        <w:wordWrap w:val="0"/>
        <w:overflowPunct/>
        <w:topLinePunct w:val="0"/>
        <w:bidi w:val="0"/>
      </w:pPr>
    </w:p>
    <w:p w14:paraId="5EBA6E74">
      <w:pPr>
        <w:pageBreakBefore w:val="0"/>
        <w:kinsoku/>
        <w:wordWrap w:val="0"/>
        <w:overflowPunct/>
        <w:topLinePunct w:val="0"/>
        <w:bidi w:val="0"/>
      </w:pPr>
    </w:p>
    <w:p w14:paraId="1EAFA033">
      <w:pPr>
        <w:pageBreakBefore w:val="0"/>
        <w:kinsoku/>
        <w:wordWrap w:val="0"/>
        <w:overflowPunct/>
        <w:topLinePunct w:val="0"/>
        <w:bidi w:val="0"/>
      </w:pPr>
    </w:p>
    <w:p w14:paraId="341EBDB2">
      <w:pPr>
        <w:pageBreakBefore w:val="0"/>
        <w:kinsoku/>
        <w:wordWrap w:val="0"/>
        <w:overflowPunct/>
        <w:topLinePunct w:val="0"/>
        <w:bidi w:val="0"/>
      </w:pPr>
    </w:p>
    <w:p w14:paraId="23781C99">
      <w:pPr>
        <w:pageBreakBefore w:val="0"/>
        <w:kinsoku/>
        <w:wordWrap w:val="0"/>
        <w:overflowPunct/>
        <w:topLinePunct w:val="0"/>
        <w:bidi w:val="0"/>
      </w:pPr>
    </w:p>
    <w:p w14:paraId="1073B224">
      <w:pPr>
        <w:pageBreakBefore w:val="0"/>
        <w:kinsoku/>
        <w:wordWrap w:val="0"/>
        <w:overflowPunct/>
        <w:topLinePunct w:val="0"/>
        <w:bidi w:val="0"/>
      </w:pPr>
    </w:p>
    <w:p w14:paraId="3424A96C">
      <w:pPr>
        <w:pageBreakBefore w:val="0"/>
        <w:kinsoku/>
        <w:wordWrap w:val="0"/>
        <w:overflowPunct/>
        <w:topLinePunct w:val="0"/>
        <w:bidi w:val="0"/>
      </w:pPr>
    </w:p>
    <w:p w14:paraId="6BF1A830">
      <w:pPr>
        <w:pageBreakBefore w:val="0"/>
        <w:numPr>
          <w:ilvl w:val="0"/>
          <w:numId w:val="0"/>
        </w:numPr>
        <w:kinsoku/>
        <w:wordWrap w:val="0"/>
        <w:overflowPunct/>
        <w:topLinePunct w:val="0"/>
        <w:bidi w:val="0"/>
        <w:spacing w:line="600" w:lineRule="exact"/>
        <w:jc w:val="center"/>
        <w:outlineLvl w:val="0"/>
        <w:rPr>
          <w:rFonts w:hint="eastAsia" w:ascii="宋体" w:hAnsi="宋体" w:eastAsia="宋体" w:cs="宋体"/>
          <w:bCs/>
          <w:kern w:val="2"/>
          <w:sz w:val="30"/>
          <w:szCs w:val="30"/>
          <w:lang w:val="en-US" w:eastAsia="zh-CN" w:bidi="ar-SA"/>
        </w:rPr>
      </w:pPr>
      <w:bookmarkStart w:id="237" w:name="_Toc20032"/>
      <w:bookmarkStart w:id="238" w:name="_Toc21009"/>
    </w:p>
    <w:p w14:paraId="7BA70677">
      <w:pPr>
        <w:pageBreakBefore w:val="0"/>
        <w:numPr>
          <w:ilvl w:val="0"/>
          <w:numId w:val="0"/>
        </w:numPr>
        <w:kinsoku/>
        <w:wordWrap w:val="0"/>
        <w:overflowPunct/>
        <w:topLinePunct w:val="0"/>
        <w:bidi w:val="0"/>
        <w:spacing w:line="600" w:lineRule="exact"/>
        <w:jc w:val="center"/>
        <w:outlineLvl w:val="0"/>
        <w:rPr>
          <w:rFonts w:hint="eastAsia" w:ascii="宋体" w:hAnsi="宋体" w:cs="宋体"/>
          <w:bCs/>
          <w:kern w:val="2"/>
          <w:sz w:val="30"/>
          <w:szCs w:val="30"/>
        </w:rPr>
      </w:pPr>
      <w:r>
        <w:rPr>
          <w:rFonts w:hint="eastAsia" w:ascii="宋体" w:hAnsi="宋体" w:eastAsia="宋体" w:cs="宋体"/>
          <w:bCs/>
          <w:kern w:val="2"/>
          <w:sz w:val="30"/>
          <w:szCs w:val="30"/>
          <w:lang w:val="en-US" w:eastAsia="zh-CN" w:bidi="ar-SA"/>
        </w:rPr>
        <w:t>第</w:t>
      </w:r>
      <w:r>
        <w:rPr>
          <w:rFonts w:hint="eastAsia" w:ascii="宋体" w:hAnsi="宋体" w:cs="宋体"/>
          <w:bCs/>
          <w:kern w:val="2"/>
          <w:sz w:val="30"/>
          <w:szCs w:val="30"/>
          <w:lang w:val="en-US" w:eastAsia="zh-CN" w:bidi="ar-SA"/>
        </w:rPr>
        <w:t>三</w:t>
      </w:r>
      <w:r>
        <w:rPr>
          <w:rFonts w:hint="eastAsia" w:ascii="宋体" w:hAnsi="宋体" w:eastAsia="宋体" w:cs="宋体"/>
          <w:bCs/>
          <w:kern w:val="2"/>
          <w:sz w:val="30"/>
          <w:szCs w:val="30"/>
          <w:lang w:val="en-US" w:eastAsia="zh-CN" w:bidi="ar-SA"/>
        </w:rPr>
        <w:t>章</w:t>
      </w:r>
      <w:r>
        <w:rPr>
          <w:rFonts w:hint="eastAsia" w:ascii="宋体" w:hAnsi="宋体" w:cs="宋体"/>
          <w:bCs/>
          <w:kern w:val="2"/>
          <w:sz w:val="30"/>
          <w:szCs w:val="30"/>
          <w:lang w:val="en-US" w:eastAsia="zh-CN" w:bidi="ar-SA"/>
        </w:rPr>
        <w:t xml:space="preserve">   </w:t>
      </w:r>
      <w:r>
        <w:rPr>
          <w:rFonts w:hint="eastAsia" w:ascii="宋体" w:hAnsi="宋体" w:cs="宋体"/>
          <w:bCs/>
          <w:kern w:val="2"/>
          <w:sz w:val="30"/>
          <w:szCs w:val="30"/>
        </w:rPr>
        <w:t>评审标准</w:t>
      </w:r>
      <w:bookmarkEnd w:id="237"/>
      <w:bookmarkEnd w:id="238"/>
    </w:p>
    <w:p w14:paraId="29CB1222">
      <w:pPr>
        <w:pageBreakBefore w:val="0"/>
        <w:numPr>
          <w:ilvl w:val="0"/>
          <w:numId w:val="0"/>
        </w:numPr>
        <w:kinsoku/>
        <w:wordWrap w:val="0"/>
        <w:overflowPunct/>
        <w:topLinePunct w:val="0"/>
        <w:bidi w:val="0"/>
        <w:spacing w:line="600" w:lineRule="exact"/>
        <w:jc w:val="center"/>
        <w:outlineLvl w:val="0"/>
        <w:rPr>
          <w:rFonts w:hint="eastAsia" w:ascii="宋体" w:hAnsi="宋体" w:cs="宋体"/>
          <w:bCs/>
          <w:kern w:val="2"/>
          <w:sz w:val="30"/>
          <w:szCs w:val="30"/>
        </w:rPr>
      </w:pPr>
      <w:bookmarkStart w:id="239" w:name="_Toc17665"/>
      <w:r>
        <w:rPr>
          <w:rFonts w:hint="eastAsia" w:ascii="宋体" w:hAnsi="宋体" w:cs="宋体"/>
          <w:b/>
          <w:kern w:val="2"/>
          <w:sz w:val="24"/>
          <w:szCs w:val="24"/>
        </w:rPr>
        <w:t>评标办法前附表</w:t>
      </w:r>
      <w:bookmarkEnd w:id="239"/>
    </w:p>
    <w:tbl>
      <w:tblPr>
        <w:tblStyle w:val="17"/>
        <w:tblW w:w="10225" w:type="dxa"/>
        <w:tblInd w:w="108" w:type="dxa"/>
        <w:tblLayout w:type="fixed"/>
        <w:tblCellMar>
          <w:top w:w="0" w:type="dxa"/>
          <w:left w:w="108" w:type="dxa"/>
          <w:bottom w:w="0" w:type="dxa"/>
          <w:right w:w="108" w:type="dxa"/>
        </w:tblCellMar>
      </w:tblPr>
      <w:tblGrid>
        <w:gridCol w:w="832"/>
        <w:gridCol w:w="978"/>
        <w:gridCol w:w="1965"/>
        <w:gridCol w:w="6450"/>
      </w:tblGrid>
      <w:tr w14:paraId="6538B357">
        <w:tblPrEx>
          <w:tblCellMar>
            <w:top w:w="0" w:type="dxa"/>
            <w:left w:w="108" w:type="dxa"/>
            <w:bottom w:w="0" w:type="dxa"/>
            <w:right w:w="108" w:type="dxa"/>
          </w:tblCellMar>
        </w:tblPrEx>
        <w:trPr>
          <w:trHeight w:val="606" w:hRule="atLeast"/>
        </w:trPr>
        <w:tc>
          <w:tcPr>
            <w:tcW w:w="1810" w:type="dxa"/>
            <w:gridSpan w:val="2"/>
            <w:tcBorders>
              <w:top w:val="single" w:color="auto" w:sz="4" w:space="0"/>
              <w:left w:val="single" w:color="auto" w:sz="4" w:space="0"/>
              <w:bottom w:val="single" w:color="auto" w:sz="4" w:space="0"/>
              <w:right w:val="single" w:color="auto" w:sz="4" w:space="0"/>
            </w:tcBorders>
            <w:vAlign w:val="center"/>
          </w:tcPr>
          <w:p w14:paraId="4BF3DE09">
            <w:pPr>
              <w:pageBreakBefore w:val="0"/>
              <w:widowControl w:val="0"/>
              <w:kinsoku/>
              <w:wordWrap w:val="0"/>
              <w:overflowPunct/>
              <w:topLinePunct w:val="0"/>
              <w:bidi w:val="0"/>
              <w:spacing w:line="600" w:lineRule="exact"/>
              <w:jc w:val="center"/>
              <w:rPr>
                <w:rFonts w:ascii="宋体" w:hAnsi="宋体" w:cs="宋体"/>
                <w:kern w:val="2"/>
                <w:sz w:val="24"/>
                <w:szCs w:val="24"/>
              </w:rPr>
            </w:pPr>
            <w:r>
              <w:rPr>
                <w:rFonts w:ascii="宋体" w:hAnsi="宋体" w:cs="宋体"/>
                <w:kern w:val="2"/>
                <w:sz w:val="24"/>
                <w:szCs w:val="24"/>
              </w:rPr>
              <w:t>2.1初步评审</w:t>
            </w:r>
          </w:p>
        </w:tc>
        <w:tc>
          <w:tcPr>
            <w:tcW w:w="1965" w:type="dxa"/>
            <w:tcBorders>
              <w:top w:val="single" w:color="auto" w:sz="4" w:space="0"/>
              <w:left w:val="nil"/>
              <w:bottom w:val="single" w:color="auto" w:sz="4" w:space="0"/>
              <w:right w:val="single" w:color="auto" w:sz="4" w:space="0"/>
            </w:tcBorders>
            <w:vAlign w:val="center"/>
          </w:tcPr>
          <w:p w14:paraId="152B7B76">
            <w:pPr>
              <w:pageBreakBefore w:val="0"/>
              <w:widowControl w:val="0"/>
              <w:kinsoku/>
              <w:wordWrap w:val="0"/>
              <w:overflowPunct/>
              <w:topLinePunct w:val="0"/>
              <w:bidi w:val="0"/>
              <w:spacing w:line="600" w:lineRule="exact"/>
              <w:jc w:val="center"/>
              <w:rPr>
                <w:rFonts w:ascii="宋体" w:hAnsi="宋体" w:cs="宋体"/>
                <w:kern w:val="2"/>
                <w:sz w:val="24"/>
                <w:szCs w:val="24"/>
              </w:rPr>
            </w:pPr>
            <w:r>
              <w:rPr>
                <w:rFonts w:ascii="宋体" w:hAnsi="宋体" w:cs="宋体"/>
                <w:kern w:val="2"/>
                <w:sz w:val="24"/>
                <w:szCs w:val="24"/>
              </w:rPr>
              <w:t>评审因素</w:t>
            </w:r>
          </w:p>
        </w:tc>
        <w:tc>
          <w:tcPr>
            <w:tcW w:w="6450" w:type="dxa"/>
            <w:tcBorders>
              <w:top w:val="single" w:color="auto" w:sz="4" w:space="0"/>
              <w:left w:val="nil"/>
              <w:bottom w:val="single" w:color="auto" w:sz="4" w:space="0"/>
              <w:right w:val="single" w:color="auto" w:sz="4" w:space="0"/>
            </w:tcBorders>
            <w:vAlign w:val="center"/>
          </w:tcPr>
          <w:p w14:paraId="78581155">
            <w:pPr>
              <w:pageBreakBefore w:val="0"/>
              <w:widowControl w:val="0"/>
              <w:kinsoku/>
              <w:wordWrap w:val="0"/>
              <w:overflowPunct/>
              <w:topLinePunct w:val="0"/>
              <w:bidi w:val="0"/>
              <w:spacing w:line="600" w:lineRule="exact"/>
              <w:jc w:val="center"/>
              <w:rPr>
                <w:rFonts w:ascii="宋体" w:hAnsi="宋体" w:cs="宋体"/>
                <w:kern w:val="2"/>
                <w:sz w:val="24"/>
                <w:szCs w:val="24"/>
              </w:rPr>
            </w:pPr>
            <w:r>
              <w:rPr>
                <w:rFonts w:ascii="宋体" w:hAnsi="宋体" w:cs="宋体"/>
                <w:kern w:val="2"/>
                <w:sz w:val="24"/>
                <w:szCs w:val="24"/>
              </w:rPr>
              <w:t>评审标准</w:t>
            </w:r>
          </w:p>
        </w:tc>
      </w:tr>
      <w:tr w14:paraId="34998165">
        <w:tblPrEx>
          <w:tblCellMar>
            <w:top w:w="0" w:type="dxa"/>
            <w:left w:w="108" w:type="dxa"/>
            <w:bottom w:w="0" w:type="dxa"/>
            <w:right w:w="108" w:type="dxa"/>
          </w:tblCellMar>
        </w:tblPrEx>
        <w:trPr>
          <w:trHeight w:val="90" w:hRule="atLeast"/>
        </w:trPr>
        <w:tc>
          <w:tcPr>
            <w:tcW w:w="832" w:type="dxa"/>
            <w:vMerge w:val="restart"/>
            <w:tcBorders>
              <w:top w:val="single" w:color="auto" w:sz="4" w:space="0"/>
              <w:left w:val="single" w:color="auto" w:sz="4" w:space="0"/>
              <w:right w:val="single" w:color="auto" w:sz="4" w:space="0"/>
            </w:tcBorders>
            <w:vAlign w:val="center"/>
          </w:tcPr>
          <w:p w14:paraId="69DDDA00">
            <w:pPr>
              <w:pageBreakBefore w:val="0"/>
              <w:kinsoku/>
              <w:wordWrap w:val="0"/>
              <w:overflowPunct/>
              <w:topLinePunct w:val="0"/>
              <w:bidi w:val="0"/>
              <w:spacing w:line="600" w:lineRule="exact"/>
              <w:rPr>
                <w:rFonts w:hint="eastAsia" w:ascii="宋体" w:hAnsi="宋体" w:eastAsia="宋体" w:cs="宋体"/>
                <w:kern w:val="2"/>
                <w:sz w:val="24"/>
                <w:szCs w:val="24"/>
                <w:lang w:eastAsia="zh-CN"/>
              </w:rPr>
            </w:pPr>
            <w:r>
              <w:rPr>
                <w:rFonts w:hint="eastAsia" w:ascii="宋体" w:hAnsi="宋体" w:cs="宋体"/>
                <w:kern w:val="2"/>
                <w:sz w:val="24"/>
                <w:szCs w:val="24"/>
              </w:rPr>
              <w:t>2.1.</w:t>
            </w:r>
            <w:r>
              <w:rPr>
                <w:rFonts w:hint="eastAsia" w:ascii="宋体" w:hAnsi="宋体" w:cs="宋体"/>
                <w:kern w:val="2"/>
                <w:sz w:val="24"/>
                <w:szCs w:val="24"/>
                <w:lang w:val="en-US" w:eastAsia="zh-CN"/>
              </w:rPr>
              <w:t>1</w:t>
            </w:r>
          </w:p>
        </w:tc>
        <w:tc>
          <w:tcPr>
            <w:tcW w:w="978" w:type="dxa"/>
            <w:vMerge w:val="restart"/>
            <w:tcBorders>
              <w:top w:val="single" w:color="auto" w:sz="4" w:space="0"/>
              <w:left w:val="nil"/>
              <w:right w:val="single" w:color="auto" w:sz="4" w:space="0"/>
            </w:tcBorders>
            <w:vAlign w:val="center"/>
          </w:tcPr>
          <w:p w14:paraId="568148C8">
            <w:pPr>
              <w:pageBreakBefore w:val="0"/>
              <w:kinsoku/>
              <w:wordWrap w:val="0"/>
              <w:overflowPunct/>
              <w:topLinePunct w:val="0"/>
              <w:bidi w:val="0"/>
              <w:spacing w:line="600" w:lineRule="exact"/>
              <w:jc w:val="center"/>
              <w:rPr>
                <w:rFonts w:ascii="宋体" w:hAnsi="宋体" w:cs="宋体"/>
                <w:kern w:val="2"/>
                <w:sz w:val="24"/>
                <w:szCs w:val="24"/>
              </w:rPr>
            </w:pPr>
            <w:r>
              <w:rPr>
                <w:rFonts w:hint="eastAsia" w:ascii="宋体" w:hAnsi="宋体" w:eastAsia="宋体" w:cs="宋体"/>
                <w:color w:val="auto"/>
                <w:sz w:val="21"/>
                <w:szCs w:val="21"/>
                <w:highlight w:val="none"/>
                <w:lang w:val="en-US" w:bidi="ar-SA"/>
              </w:rPr>
              <w:t>形式评审标准</w:t>
            </w:r>
          </w:p>
        </w:tc>
        <w:tc>
          <w:tcPr>
            <w:tcW w:w="1965" w:type="dxa"/>
            <w:tcBorders>
              <w:top w:val="single" w:color="auto" w:sz="4" w:space="0"/>
              <w:left w:val="nil"/>
              <w:bottom w:val="single" w:color="auto" w:sz="4" w:space="0"/>
              <w:right w:val="single" w:color="auto" w:sz="4" w:space="0"/>
            </w:tcBorders>
            <w:vAlign w:val="center"/>
          </w:tcPr>
          <w:p w14:paraId="073AAEE7">
            <w:pPr>
              <w:pageBreakBefore w:val="0"/>
              <w:widowControl w:val="0"/>
              <w:kinsoku/>
              <w:wordWrap w:val="0"/>
              <w:overflowPunct/>
              <w:topLinePunct w:val="0"/>
              <w:bidi w:val="0"/>
              <w:spacing w:line="600" w:lineRule="exact"/>
              <w:jc w:val="center"/>
              <w:rPr>
                <w:rFonts w:ascii="宋体" w:hAnsi="宋体" w:cs="宋体"/>
                <w:kern w:val="2"/>
                <w:sz w:val="24"/>
                <w:szCs w:val="24"/>
              </w:rPr>
            </w:pPr>
            <w:r>
              <w:rPr>
                <w:rFonts w:hint="eastAsia" w:ascii="宋体" w:hAnsi="宋体" w:cs="宋体"/>
                <w:kern w:val="2"/>
                <w:sz w:val="24"/>
                <w:szCs w:val="24"/>
              </w:rPr>
              <w:t>响应人名称</w:t>
            </w:r>
          </w:p>
        </w:tc>
        <w:tc>
          <w:tcPr>
            <w:tcW w:w="6450" w:type="dxa"/>
            <w:tcBorders>
              <w:top w:val="single" w:color="auto" w:sz="4" w:space="0"/>
              <w:left w:val="nil"/>
              <w:bottom w:val="single" w:color="auto" w:sz="4" w:space="0"/>
              <w:right w:val="single" w:color="auto" w:sz="4" w:space="0"/>
            </w:tcBorders>
            <w:vAlign w:val="center"/>
          </w:tcPr>
          <w:p w14:paraId="76E7EF4A">
            <w:pPr>
              <w:pageBreakBefore w:val="0"/>
              <w:tabs>
                <w:tab w:val="left" w:pos="9720"/>
              </w:tabs>
              <w:kinsoku/>
              <w:wordWrap w:val="0"/>
              <w:overflowPunct/>
              <w:topLinePunct w:val="0"/>
              <w:autoSpaceDE w:val="0"/>
              <w:autoSpaceDN w:val="0"/>
              <w:bidi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与营业执照、资质证书、安全生产许可证一致</w:t>
            </w:r>
          </w:p>
        </w:tc>
      </w:tr>
      <w:tr w14:paraId="00960877">
        <w:tblPrEx>
          <w:tblCellMar>
            <w:top w:w="0" w:type="dxa"/>
            <w:left w:w="108" w:type="dxa"/>
            <w:bottom w:w="0" w:type="dxa"/>
            <w:right w:w="108" w:type="dxa"/>
          </w:tblCellMar>
        </w:tblPrEx>
        <w:trPr>
          <w:trHeight w:val="657" w:hRule="atLeast"/>
        </w:trPr>
        <w:tc>
          <w:tcPr>
            <w:tcW w:w="832" w:type="dxa"/>
            <w:vMerge w:val="continue"/>
            <w:tcBorders>
              <w:left w:val="single" w:color="auto" w:sz="4" w:space="0"/>
              <w:right w:val="single" w:color="auto" w:sz="4" w:space="0"/>
            </w:tcBorders>
            <w:vAlign w:val="center"/>
          </w:tcPr>
          <w:p w14:paraId="628A01A4">
            <w:pPr>
              <w:pageBreakBefore w:val="0"/>
              <w:kinsoku/>
              <w:wordWrap w:val="0"/>
              <w:overflowPunct/>
              <w:topLinePunct w:val="0"/>
              <w:bidi w:val="0"/>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7739B268">
            <w:pPr>
              <w:pageBreakBefore w:val="0"/>
              <w:kinsoku/>
              <w:wordWrap w:val="0"/>
              <w:overflowPunct/>
              <w:topLinePunct w:val="0"/>
              <w:bidi w:val="0"/>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5EBF1E19">
            <w:pPr>
              <w:pageBreakBefore w:val="0"/>
              <w:widowControl w:val="0"/>
              <w:kinsoku/>
              <w:wordWrap w:val="0"/>
              <w:overflowPunct/>
              <w:topLinePunct w:val="0"/>
              <w:bidi w:val="0"/>
              <w:spacing w:line="600" w:lineRule="exact"/>
              <w:jc w:val="center"/>
              <w:rPr>
                <w:rFonts w:ascii="宋体" w:hAnsi="宋体" w:cs="宋体"/>
                <w:kern w:val="2"/>
                <w:sz w:val="24"/>
                <w:szCs w:val="24"/>
              </w:rPr>
            </w:pPr>
            <w:r>
              <w:rPr>
                <w:rFonts w:hint="eastAsia" w:ascii="宋体" w:hAnsi="宋体" w:cs="宋体"/>
                <w:kern w:val="2"/>
                <w:sz w:val="24"/>
                <w:szCs w:val="24"/>
              </w:rPr>
              <w:t>签字盖章</w:t>
            </w:r>
          </w:p>
        </w:tc>
        <w:tc>
          <w:tcPr>
            <w:tcW w:w="6450" w:type="dxa"/>
            <w:tcBorders>
              <w:top w:val="single" w:color="auto" w:sz="4" w:space="0"/>
              <w:left w:val="nil"/>
              <w:bottom w:val="single" w:color="auto" w:sz="4" w:space="0"/>
              <w:right w:val="single" w:color="auto" w:sz="4" w:space="0"/>
            </w:tcBorders>
            <w:vAlign w:val="center"/>
          </w:tcPr>
          <w:p w14:paraId="66A25DF9">
            <w:pPr>
              <w:pageBreakBefore w:val="0"/>
              <w:tabs>
                <w:tab w:val="left" w:pos="9720"/>
              </w:tabs>
              <w:kinsoku/>
              <w:wordWrap w:val="0"/>
              <w:overflowPunct/>
              <w:topLinePunct w:val="0"/>
              <w:autoSpaceDE w:val="0"/>
              <w:autoSpaceDN w:val="0"/>
              <w:bidi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有法定代表人签章并加盖单位公章</w:t>
            </w:r>
          </w:p>
        </w:tc>
      </w:tr>
      <w:tr w14:paraId="2DF39901">
        <w:tblPrEx>
          <w:tblCellMar>
            <w:top w:w="0" w:type="dxa"/>
            <w:left w:w="108" w:type="dxa"/>
            <w:bottom w:w="0" w:type="dxa"/>
            <w:right w:w="108" w:type="dxa"/>
          </w:tblCellMar>
        </w:tblPrEx>
        <w:trPr>
          <w:trHeight w:val="642" w:hRule="atLeast"/>
        </w:trPr>
        <w:tc>
          <w:tcPr>
            <w:tcW w:w="832" w:type="dxa"/>
            <w:vMerge w:val="continue"/>
            <w:tcBorders>
              <w:left w:val="single" w:color="auto" w:sz="4" w:space="0"/>
              <w:right w:val="single" w:color="auto" w:sz="4" w:space="0"/>
            </w:tcBorders>
            <w:vAlign w:val="center"/>
          </w:tcPr>
          <w:p w14:paraId="606EAC05">
            <w:pPr>
              <w:pageBreakBefore w:val="0"/>
              <w:kinsoku/>
              <w:wordWrap w:val="0"/>
              <w:overflowPunct/>
              <w:topLinePunct w:val="0"/>
              <w:bidi w:val="0"/>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720254F7">
            <w:pPr>
              <w:pageBreakBefore w:val="0"/>
              <w:kinsoku/>
              <w:wordWrap w:val="0"/>
              <w:overflowPunct/>
              <w:topLinePunct w:val="0"/>
              <w:bidi w:val="0"/>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125B3843">
            <w:pPr>
              <w:pageBreakBefore w:val="0"/>
              <w:widowControl w:val="0"/>
              <w:kinsoku/>
              <w:wordWrap w:val="0"/>
              <w:overflowPunct/>
              <w:topLinePunct w:val="0"/>
              <w:bidi w:val="0"/>
              <w:spacing w:line="600" w:lineRule="exact"/>
              <w:jc w:val="center"/>
              <w:rPr>
                <w:rFonts w:ascii="宋体" w:hAnsi="宋体" w:cs="宋体"/>
                <w:kern w:val="2"/>
                <w:sz w:val="24"/>
                <w:szCs w:val="24"/>
              </w:rPr>
            </w:pPr>
            <w:r>
              <w:rPr>
                <w:rFonts w:hint="eastAsia" w:ascii="宋体" w:hAnsi="宋体" w:cs="宋体"/>
                <w:kern w:val="2"/>
                <w:sz w:val="24"/>
                <w:szCs w:val="24"/>
              </w:rPr>
              <w:t>报价唯一</w:t>
            </w:r>
          </w:p>
        </w:tc>
        <w:tc>
          <w:tcPr>
            <w:tcW w:w="6450" w:type="dxa"/>
            <w:tcBorders>
              <w:top w:val="single" w:color="auto" w:sz="4" w:space="0"/>
              <w:left w:val="nil"/>
              <w:bottom w:val="single" w:color="auto" w:sz="4" w:space="0"/>
              <w:right w:val="single" w:color="auto" w:sz="4" w:space="0"/>
            </w:tcBorders>
            <w:vAlign w:val="center"/>
          </w:tcPr>
          <w:p w14:paraId="38F662AA">
            <w:pPr>
              <w:pageBreakBefore w:val="0"/>
              <w:tabs>
                <w:tab w:val="left" w:pos="9720"/>
              </w:tabs>
              <w:kinsoku/>
              <w:wordWrap w:val="0"/>
              <w:overflowPunct/>
              <w:topLinePunct w:val="0"/>
              <w:autoSpaceDE w:val="0"/>
              <w:autoSpaceDN w:val="0"/>
              <w:bidi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磋商函及磋商函附录中只能有一个有效报价</w:t>
            </w:r>
          </w:p>
        </w:tc>
      </w:tr>
      <w:tr w14:paraId="32A79818">
        <w:tblPrEx>
          <w:tblCellMar>
            <w:top w:w="0" w:type="dxa"/>
            <w:left w:w="108" w:type="dxa"/>
            <w:bottom w:w="0" w:type="dxa"/>
            <w:right w:w="108" w:type="dxa"/>
          </w:tblCellMar>
        </w:tblPrEx>
        <w:trPr>
          <w:trHeight w:val="642" w:hRule="atLeast"/>
        </w:trPr>
        <w:tc>
          <w:tcPr>
            <w:tcW w:w="832" w:type="dxa"/>
            <w:vMerge w:val="continue"/>
            <w:tcBorders>
              <w:left w:val="single" w:color="auto" w:sz="4" w:space="0"/>
              <w:bottom w:val="single" w:color="auto" w:sz="4" w:space="0"/>
              <w:right w:val="single" w:color="auto" w:sz="4" w:space="0"/>
            </w:tcBorders>
            <w:vAlign w:val="center"/>
          </w:tcPr>
          <w:p w14:paraId="7E7394EA">
            <w:pPr>
              <w:keepNext w:val="0"/>
              <w:keepLines w:val="0"/>
              <w:pageBreakBefore w:val="0"/>
              <w:kinsoku/>
              <w:wordWrap w:val="0"/>
              <w:overflowPunct/>
              <w:topLinePunct w:val="0"/>
              <w:bidi w:val="0"/>
              <w:snapToGrid/>
              <w:spacing w:line="360" w:lineRule="exact"/>
              <w:textAlignment w:val="auto"/>
              <w:rPr>
                <w:rFonts w:ascii="宋体" w:hAnsi="宋体" w:cs="宋体"/>
                <w:kern w:val="2"/>
                <w:sz w:val="24"/>
                <w:szCs w:val="24"/>
              </w:rPr>
            </w:pPr>
          </w:p>
        </w:tc>
        <w:tc>
          <w:tcPr>
            <w:tcW w:w="978" w:type="dxa"/>
            <w:vMerge w:val="continue"/>
            <w:tcBorders>
              <w:left w:val="nil"/>
              <w:bottom w:val="single" w:color="auto" w:sz="4" w:space="0"/>
              <w:right w:val="single" w:color="auto" w:sz="4" w:space="0"/>
            </w:tcBorders>
            <w:vAlign w:val="center"/>
          </w:tcPr>
          <w:p w14:paraId="675C240C">
            <w:pPr>
              <w:keepNext w:val="0"/>
              <w:keepLines w:val="0"/>
              <w:pageBreakBefore w:val="0"/>
              <w:kinsoku/>
              <w:wordWrap w:val="0"/>
              <w:overflowPunct/>
              <w:topLinePunct w:val="0"/>
              <w:bidi w:val="0"/>
              <w:snapToGrid/>
              <w:spacing w:line="360" w:lineRule="exact"/>
              <w:textAlignment w:val="auto"/>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22E69F8C">
            <w:pPr>
              <w:keepNext w:val="0"/>
              <w:keepLines w:val="0"/>
              <w:pageBreakBefore w:val="0"/>
              <w:widowControl w:val="0"/>
              <w:kinsoku/>
              <w:wordWrap w:val="0"/>
              <w:overflowPunct/>
              <w:topLinePunct w:val="0"/>
              <w:bidi w:val="0"/>
              <w:snapToGrid/>
              <w:spacing w:line="360" w:lineRule="exact"/>
              <w:jc w:val="center"/>
              <w:textAlignment w:val="auto"/>
              <w:rPr>
                <w:rFonts w:ascii="宋体" w:hAnsi="宋体" w:cs="宋体"/>
                <w:kern w:val="2"/>
                <w:sz w:val="24"/>
                <w:szCs w:val="24"/>
              </w:rPr>
            </w:pPr>
            <w:r>
              <w:rPr>
                <w:rFonts w:hint="eastAsia" w:cs="宋体" w:asciiTheme="minorEastAsia" w:hAnsiTheme="minorEastAsia" w:eastAsiaTheme="minorEastAsia"/>
                <w:kern w:val="2"/>
                <w:sz w:val="24"/>
                <w:szCs w:val="24"/>
                <w:lang w:val="zh-CN" w:eastAsia="zh-CN"/>
              </w:rPr>
              <w:t>响应文件内容及格式</w:t>
            </w:r>
          </w:p>
        </w:tc>
        <w:tc>
          <w:tcPr>
            <w:tcW w:w="6450" w:type="dxa"/>
            <w:tcBorders>
              <w:top w:val="single" w:color="auto" w:sz="4" w:space="0"/>
              <w:left w:val="nil"/>
              <w:bottom w:val="single" w:color="auto" w:sz="4" w:space="0"/>
              <w:right w:val="single" w:color="auto" w:sz="4" w:space="0"/>
            </w:tcBorders>
            <w:vAlign w:val="center"/>
          </w:tcPr>
          <w:p w14:paraId="69B6B25A">
            <w:pPr>
              <w:keepNext w:val="0"/>
              <w:keepLines w:val="0"/>
              <w:pageBreakBefore w:val="0"/>
              <w:tabs>
                <w:tab w:val="left" w:pos="9720"/>
              </w:tabs>
              <w:kinsoku/>
              <w:wordWrap w:val="0"/>
              <w:overflowPunct/>
              <w:topLinePunct w:val="0"/>
              <w:autoSpaceDE w:val="0"/>
              <w:autoSpaceDN w:val="0"/>
              <w:bidi w:val="0"/>
              <w:adjustRightInd w:val="0"/>
              <w:snapToGrid/>
              <w:spacing w:line="360" w:lineRule="exact"/>
              <w:ind w:right="-34" w:rightChars="-17"/>
              <w:textAlignment w:val="auto"/>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zh-CN"/>
              </w:rPr>
              <w:t>符合第六章“响应文件内容及格式”的要求</w:t>
            </w:r>
          </w:p>
        </w:tc>
      </w:tr>
      <w:tr w14:paraId="2759DEF0">
        <w:tblPrEx>
          <w:tblCellMar>
            <w:top w:w="0" w:type="dxa"/>
            <w:left w:w="108" w:type="dxa"/>
            <w:bottom w:w="0" w:type="dxa"/>
            <w:right w:w="108" w:type="dxa"/>
          </w:tblCellMar>
        </w:tblPrEx>
        <w:trPr>
          <w:trHeight w:val="606" w:hRule="atLeast"/>
        </w:trPr>
        <w:tc>
          <w:tcPr>
            <w:tcW w:w="832" w:type="dxa"/>
            <w:vMerge w:val="restart"/>
            <w:tcBorders>
              <w:top w:val="nil"/>
              <w:left w:val="single" w:color="auto" w:sz="4" w:space="0"/>
              <w:right w:val="single" w:color="auto" w:sz="4" w:space="0"/>
            </w:tcBorders>
            <w:vAlign w:val="center"/>
          </w:tcPr>
          <w:p w14:paraId="3ED7B532">
            <w:pPr>
              <w:pageBreakBefore w:val="0"/>
              <w:widowControl w:val="0"/>
              <w:kinsoku/>
              <w:wordWrap w:val="0"/>
              <w:overflowPunct/>
              <w:topLinePunct w:val="0"/>
              <w:bidi w:val="0"/>
              <w:spacing w:line="600" w:lineRule="exact"/>
              <w:jc w:val="center"/>
              <w:rPr>
                <w:rFonts w:hint="eastAsia" w:ascii="宋体" w:hAnsi="宋体" w:eastAsia="宋体" w:cs="宋体"/>
                <w:kern w:val="2"/>
                <w:sz w:val="24"/>
                <w:szCs w:val="24"/>
                <w:lang w:eastAsia="zh-CN"/>
              </w:rPr>
            </w:pPr>
            <w:r>
              <w:rPr>
                <w:rFonts w:ascii="宋体" w:hAnsi="宋体" w:cs="宋体"/>
                <w:kern w:val="2"/>
                <w:sz w:val="24"/>
                <w:szCs w:val="24"/>
              </w:rPr>
              <w:t>2.1.</w:t>
            </w:r>
            <w:r>
              <w:rPr>
                <w:rFonts w:hint="eastAsia" w:ascii="宋体" w:hAnsi="宋体" w:cs="宋体"/>
                <w:kern w:val="2"/>
                <w:sz w:val="24"/>
                <w:szCs w:val="24"/>
                <w:lang w:val="en-US" w:eastAsia="zh-CN"/>
              </w:rPr>
              <w:t>2</w:t>
            </w:r>
          </w:p>
        </w:tc>
        <w:tc>
          <w:tcPr>
            <w:tcW w:w="978" w:type="dxa"/>
            <w:vMerge w:val="restart"/>
            <w:tcBorders>
              <w:top w:val="nil"/>
              <w:left w:val="nil"/>
              <w:right w:val="single" w:color="auto" w:sz="4" w:space="0"/>
            </w:tcBorders>
            <w:vAlign w:val="center"/>
          </w:tcPr>
          <w:p w14:paraId="6D9B966B">
            <w:pPr>
              <w:pageBreakBefore w:val="0"/>
              <w:widowControl w:val="0"/>
              <w:kinsoku/>
              <w:wordWrap w:val="0"/>
              <w:overflowPunct/>
              <w:topLinePunct w:val="0"/>
              <w:bidi w:val="0"/>
              <w:spacing w:line="600" w:lineRule="exact"/>
              <w:jc w:val="center"/>
              <w:rPr>
                <w:rFonts w:ascii="宋体" w:hAnsi="宋体" w:cs="宋体"/>
                <w:kern w:val="2"/>
                <w:sz w:val="24"/>
                <w:szCs w:val="24"/>
              </w:rPr>
            </w:pPr>
            <w:r>
              <w:rPr>
                <w:rFonts w:ascii="宋体" w:hAnsi="宋体" w:cs="宋体"/>
                <w:kern w:val="2"/>
                <w:sz w:val="24"/>
                <w:szCs w:val="24"/>
              </w:rPr>
              <w:t>资格评审标准</w:t>
            </w:r>
          </w:p>
        </w:tc>
        <w:tc>
          <w:tcPr>
            <w:tcW w:w="1965" w:type="dxa"/>
            <w:tcBorders>
              <w:top w:val="single" w:color="auto" w:sz="4" w:space="0"/>
              <w:left w:val="nil"/>
              <w:bottom w:val="single" w:color="auto" w:sz="4" w:space="0"/>
              <w:right w:val="single" w:color="auto" w:sz="4" w:space="0"/>
            </w:tcBorders>
            <w:vAlign w:val="center"/>
          </w:tcPr>
          <w:p w14:paraId="5FCFF53D">
            <w:pPr>
              <w:pageBreakBefore w:val="0"/>
              <w:widowControl w:val="0"/>
              <w:kinsoku/>
              <w:wordWrap w:val="0"/>
              <w:overflowPunct/>
              <w:topLinePunct w:val="0"/>
              <w:bidi w:val="0"/>
              <w:spacing w:line="600" w:lineRule="exact"/>
              <w:jc w:val="center"/>
              <w:rPr>
                <w:rFonts w:ascii="宋体" w:hAnsi="宋体" w:cs="宋体"/>
                <w:kern w:val="2"/>
                <w:sz w:val="24"/>
                <w:szCs w:val="24"/>
              </w:rPr>
            </w:pPr>
            <w:r>
              <w:rPr>
                <w:rFonts w:ascii="宋体" w:hAnsi="宋体" w:cs="宋体"/>
                <w:kern w:val="2"/>
                <w:sz w:val="24"/>
                <w:szCs w:val="24"/>
              </w:rPr>
              <w:t>营业执照</w:t>
            </w:r>
          </w:p>
        </w:tc>
        <w:tc>
          <w:tcPr>
            <w:tcW w:w="6450" w:type="dxa"/>
            <w:tcBorders>
              <w:top w:val="single" w:color="auto" w:sz="4" w:space="0"/>
              <w:left w:val="nil"/>
              <w:bottom w:val="single" w:color="auto" w:sz="4" w:space="0"/>
              <w:right w:val="single" w:color="auto" w:sz="4" w:space="0"/>
            </w:tcBorders>
            <w:vAlign w:val="center"/>
          </w:tcPr>
          <w:p w14:paraId="39CEFB0F">
            <w:pPr>
              <w:pageBreakBefore w:val="0"/>
              <w:widowControl/>
              <w:tabs>
                <w:tab w:val="left" w:pos="9720"/>
              </w:tabs>
              <w:kinsoku/>
              <w:wordWrap w:val="0"/>
              <w:overflowPunct/>
              <w:topLinePunct w:val="0"/>
              <w:autoSpaceDE w:val="0"/>
              <w:autoSpaceDN w:val="0"/>
              <w:bidi w:val="0"/>
              <w:adjustRightInd w:val="0"/>
              <w:spacing w:line="360" w:lineRule="exact"/>
              <w:ind w:right="-34" w:rightChars="-17"/>
              <w:jc w:val="left"/>
              <w:rPr>
                <w:rFonts w:hint="eastAsia"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lang w:val="en-US" w:eastAsia="zh-CN"/>
              </w:rPr>
              <w:t>在中华人民共和国境内注册且持有国家工商行政管理部门核发的真实有效的营业执照；</w:t>
            </w:r>
          </w:p>
        </w:tc>
      </w:tr>
      <w:tr w14:paraId="19464EB3">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156173C5">
            <w:pPr>
              <w:pageBreakBefore w:val="0"/>
              <w:kinsoku/>
              <w:wordWrap w:val="0"/>
              <w:overflowPunct/>
              <w:topLinePunct w:val="0"/>
              <w:bidi w:val="0"/>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4BE70D46">
            <w:pPr>
              <w:pageBreakBefore w:val="0"/>
              <w:kinsoku/>
              <w:wordWrap w:val="0"/>
              <w:overflowPunct/>
              <w:topLinePunct w:val="0"/>
              <w:bidi w:val="0"/>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1244952F">
            <w:pPr>
              <w:pageBreakBefore w:val="0"/>
              <w:widowControl w:val="0"/>
              <w:kinsoku/>
              <w:wordWrap w:val="0"/>
              <w:overflowPunct/>
              <w:topLinePunct w:val="0"/>
              <w:bidi w:val="0"/>
              <w:spacing w:line="600" w:lineRule="exact"/>
              <w:jc w:val="center"/>
              <w:rPr>
                <w:rFonts w:ascii="宋体" w:hAnsi="宋体" w:cs="宋体" w:eastAsiaTheme="minorEastAsia"/>
                <w:kern w:val="2"/>
                <w:sz w:val="24"/>
                <w:szCs w:val="24"/>
              </w:rPr>
            </w:pPr>
            <w:r>
              <w:rPr>
                <w:rFonts w:hint="eastAsia" w:cs="宋体" w:asciiTheme="minorEastAsia" w:hAnsiTheme="minorEastAsia" w:eastAsiaTheme="minorEastAsia"/>
                <w:kern w:val="2"/>
                <w:sz w:val="24"/>
                <w:szCs w:val="24"/>
                <w:lang w:eastAsia="zh-CN"/>
              </w:rPr>
              <w:t>供应商</w:t>
            </w:r>
            <w:r>
              <w:rPr>
                <w:rFonts w:hint="eastAsia" w:cs="宋体" w:asciiTheme="minorEastAsia" w:hAnsiTheme="minorEastAsia" w:eastAsiaTheme="minorEastAsia"/>
                <w:kern w:val="2"/>
                <w:sz w:val="24"/>
                <w:szCs w:val="24"/>
              </w:rPr>
              <w:t>资质</w:t>
            </w:r>
          </w:p>
        </w:tc>
        <w:tc>
          <w:tcPr>
            <w:tcW w:w="6450" w:type="dxa"/>
            <w:tcBorders>
              <w:top w:val="single" w:color="auto" w:sz="4" w:space="0"/>
              <w:left w:val="nil"/>
              <w:bottom w:val="single" w:color="auto" w:sz="4" w:space="0"/>
              <w:right w:val="single" w:color="auto" w:sz="4" w:space="0"/>
            </w:tcBorders>
            <w:vAlign w:val="center"/>
          </w:tcPr>
          <w:p w14:paraId="198BA309">
            <w:pPr>
              <w:pageBreakBefore w:val="0"/>
              <w:tabs>
                <w:tab w:val="left" w:pos="9720"/>
              </w:tabs>
              <w:kinsoku/>
              <w:wordWrap w:val="0"/>
              <w:overflowPunct/>
              <w:topLinePunct w:val="0"/>
              <w:autoSpaceDE w:val="0"/>
              <w:autoSpaceDN w:val="0"/>
              <w:bidi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en-US" w:eastAsia="zh-CN"/>
              </w:rPr>
              <w:t>供应商须具有水利水电工程施工总承包叁级及以上资质，并在人员、设备、资金等方面具有相应的施工能力；</w:t>
            </w:r>
          </w:p>
        </w:tc>
      </w:tr>
      <w:tr w14:paraId="17F0779A">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16D97876">
            <w:pPr>
              <w:pageBreakBefore w:val="0"/>
              <w:kinsoku/>
              <w:wordWrap w:val="0"/>
              <w:overflowPunct/>
              <w:topLinePunct w:val="0"/>
              <w:bidi w:val="0"/>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344C4A53">
            <w:pPr>
              <w:pageBreakBefore w:val="0"/>
              <w:kinsoku/>
              <w:wordWrap w:val="0"/>
              <w:overflowPunct/>
              <w:topLinePunct w:val="0"/>
              <w:bidi w:val="0"/>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180A7504">
            <w:pPr>
              <w:pageBreakBefore w:val="0"/>
              <w:widowControl w:val="0"/>
              <w:kinsoku/>
              <w:wordWrap w:val="0"/>
              <w:overflowPunct/>
              <w:topLinePunct w:val="0"/>
              <w:bidi w:val="0"/>
              <w:spacing w:line="600" w:lineRule="exact"/>
              <w:jc w:val="center"/>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安全生产许可证</w:t>
            </w:r>
          </w:p>
        </w:tc>
        <w:tc>
          <w:tcPr>
            <w:tcW w:w="6450" w:type="dxa"/>
            <w:tcBorders>
              <w:top w:val="single" w:color="auto" w:sz="4" w:space="0"/>
              <w:left w:val="nil"/>
              <w:bottom w:val="single" w:color="auto" w:sz="4" w:space="0"/>
              <w:right w:val="single" w:color="auto" w:sz="4" w:space="0"/>
            </w:tcBorders>
            <w:vAlign w:val="center"/>
          </w:tcPr>
          <w:p w14:paraId="33B0A5C3">
            <w:pPr>
              <w:pageBreakBefore w:val="0"/>
              <w:tabs>
                <w:tab w:val="left" w:pos="9720"/>
              </w:tabs>
              <w:kinsoku/>
              <w:wordWrap w:val="0"/>
              <w:overflowPunct/>
              <w:topLinePunct w:val="0"/>
              <w:autoSpaceDE w:val="0"/>
              <w:autoSpaceDN w:val="0"/>
              <w:bidi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en-US" w:eastAsia="zh-CN"/>
              </w:rPr>
              <w:t>具有有效的安全生产许可证；</w:t>
            </w:r>
          </w:p>
        </w:tc>
      </w:tr>
      <w:tr w14:paraId="13242AAA">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180434DA">
            <w:pPr>
              <w:pageBreakBefore w:val="0"/>
              <w:kinsoku/>
              <w:wordWrap w:val="0"/>
              <w:overflowPunct/>
              <w:topLinePunct w:val="0"/>
              <w:bidi w:val="0"/>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5B729026">
            <w:pPr>
              <w:pageBreakBefore w:val="0"/>
              <w:kinsoku/>
              <w:wordWrap w:val="0"/>
              <w:overflowPunct/>
              <w:topLinePunct w:val="0"/>
              <w:bidi w:val="0"/>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3DA50D8F">
            <w:pPr>
              <w:pageBreakBefore w:val="0"/>
              <w:widowControl w:val="0"/>
              <w:kinsoku/>
              <w:wordWrap w:val="0"/>
              <w:overflowPunct/>
              <w:topLinePunct w:val="0"/>
              <w:bidi w:val="0"/>
              <w:spacing w:line="600" w:lineRule="exact"/>
              <w:jc w:val="center"/>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项目经理</w:t>
            </w:r>
          </w:p>
        </w:tc>
        <w:tc>
          <w:tcPr>
            <w:tcW w:w="6450" w:type="dxa"/>
            <w:tcBorders>
              <w:top w:val="single" w:color="auto" w:sz="4" w:space="0"/>
              <w:left w:val="nil"/>
              <w:bottom w:val="single" w:color="auto" w:sz="4" w:space="0"/>
              <w:right w:val="single" w:color="auto" w:sz="4" w:space="0"/>
            </w:tcBorders>
            <w:vAlign w:val="center"/>
          </w:tcPr>
          <w:p w14:paraId="56CD780D">
            <w:pPr>
              <w:pageBreakBefore w:val="0"/>
              <w:tabs>
                <w:tab w:val="left" w:pos="9720"/>
              </w:tabs>
              <w:kinsoku/>
              <w:wordWrap w:val="0"/>
              <w:overflowPunct/>
              <w:topLinePunct w:val="0"/>
              <w:autoSpaceDE w:val="0"/>
              <w:autoSpaceDN w:val="0"/>
              <w:bidi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en-US" w:eastAsia="zh-CN"/>
              </w:rPr>
              <w:t>拟派项目经理须具备水利水电工程专业二级及以上注册建造师资格，具有有效的安全生产考核证，为本单位员工（提供劳动合同），提供近半年连续三个月参加社会养老保险的缴费证明且未在其他在建工程项目中担任项目经理；</w:t>
            </w:r>
          </w:p>
        </w:tc>
      </w:tr>
      <w:tr w14:paraId="438A9938">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65B11350">
            <w:pPr>
              <w:pageBreakBefore w:val="0"/>
              <w:kinsoku/>
              <w:wordWrap w:val="0"/>
              <w:overflowPunct/>
              <w:topLinePunct w:val="0"/>
              <w:bidi w:val="0"/>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18D560C8">
            <w:pPr>
              <w:pageBreakBefore w:val="0"/>
              <w:kinsoku/>
              <w:wordWrap w:val="0"/>
              <w:overflowPunct/>
              <w:topLinePunct w:val="0"/>
              <w:bidi w:val="0"/>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680DA609">
            <w:pPr>
              <w:pageBreakBefore w:val="0"/>
              <w:widowControl w:val="0"/>
              <w:kinsoku/>
              <w:wordWrap w:val="0"/>
              <w:overflowPunct/>
              <w:topLinePunct w:val="0"/>
              <w:bidi w:val="0"/>
              <w:spacing w:line="600" w:lineRule="exact"/>
              <w:jc w:val="center"/>
              <w:rPr>
                <w:rFonts w:hint="eastAsia"/>
                <w:lang w:eastAsia="zh-CN"/>
              </w:rPr>
            </w:pPr>
            <w:r>
              <w:rPr>
                <w:rFonts w:hint="eastAsia" w:ascii="宋体" w:hAnsi="宋体" w:cs="宋体"/>
                <w:kern w:val="2"/>
                <w:sz w:val="24"/>
                <w:szCs w:val="24"/>
                <w:lang w:eastAsia="zh-CN"/>
              </w:rPr>
              <w:t>技术负责人</w:t>
            </w:r>
          </w:p>
        </w:tc>
        <w:tc>
          <w:tcPr>
            <w:tcW w:w="6450" w:type="dxa"/>
            <w:tcBorders>
              <w:top w:val="single" w:color="auto" w:sz="4" w:space="0"/>
              <w:left w:val="nil"/>
              <w:bottom w:val="single" w:color="auto" w:sz="4" w:space="0"/>
              <w:right w:val="single" w:color="auto" w:sz="4" w:space="0"/>
            </w:tcBorders>
            <w:vAlign w:val="center"/>
          </w:tcPr>
          <w:p w14:paraId="78CE746A">
            <w:pPr>
              <w:pageBreakBefore w:val="0"/>
              <w:tabs>
                <w:tab w:val="left" w:pos="9720"/>
              </w:tabs>
              <w:kinsoku/>
              <w:wordWrap w:val="0"/>
              <w:overflowPunct/>
              <w:topLinePunct w:val="0"/>
              <w:autoSpaceDE w:val="0"/>
              <w:autoSpaceDN w:val="0"/>
              <w:bidi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en-US" w:eastAsia="zh-CN"/>
              </w:rPr>
              <w:t>拟派技术负责人须具备工程相关专业中级及以上技术职称，提供近半年连续三个月参加社会养老保险的缴费证明；</w:t>
            </w:r>
          </w:p>
        </w:tc>
      </w:tr>
      <w:tr w14:paraId="3950569F">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2F4FDDB5">
            <w:pPr>
              <w:pageBreakBefore w:val="0"/>
              <w:kinsoku/>
              <w:wordWrap w:val="0"/>
              <w:overflowPunct/>
              <w:topLinePunct w:val="0"/>
              <w:bidi w:val="0"/>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38AA239B">
            <w:pPr>
              <w:pageBreakBefore w:val="0"/>
              <w:kinsoku/>
              <w:wordWrap w:val="0"/>
              <w:overflowPunct/>
              <w:topLinePunct w:val="0"/>
              <w:bidi w:val="0"/>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6C3D4401">
            <w:pPr>
              <w:pageBreakBefore w:val="0"/>
              <w:widowControl w:val="0"/>
              <w:kinsoku/>
              <w:wordWrap w:val="0"/>
              <w:overflowPunct/>
              <w:topLinePunct w:val="0"/>
              <w:bidi w:val="0"/>
              <w:spacing w:line="600" w:lineRule="exact"/>
              <w:jc w:val="center"/>
              <w:rPr>
                <w:rFonts w:hint="eastAsia" w:ascii="宋体" w:hAnsi="宋体" w:eastAsia="宋体" w:cs="宋体"/>
                <w:kern w:val="2"/>
                <w:sz w:val="24"/>
                <w:szCs w:val="24"/>
                <w:lang w:eastAsia="zh-CN"/>
              </w:rPr>
            </w:pPr>
            <w:r>
              <w:rPr>
                <w:rFonts w:hint="eastAsia" w:ascii="宋体" w:hAnsi="宋体" w:cs="宋体"/>
                <w:kern w:val="2"/>
                <w:sz w:val="24"/>
                <w:szCs w:val="24"/>
                <w:lang w:eastAsia="zh-CN"/>
              </w:rPr>
              <w:t>财务状况</w:t>
            </w:r>
          </w:p>
        </w:tc>
        <w:tc>
          <w:tcPr>
            <w:tcW w:w="6450" w:type="dxa"/>
            <w:tcBorders>
              <w:top w:val="single" w:color="auto" w:sz="4" w:space="0"/>
              <w:left w:val="nil"/>
              <w:bottom w:val="single" w:color="auto" w:sz="4" w:space="0"/>
              <w:right w:val="single" w:color="auto" w:sz="4" w:space="0"/>
            </w:tcBorders>
            <w:vAlign w:val="center"/>
          </w:tcPr>
          <w:p w14:paraId="4F9031A4">
            <w:pPr>
              <w:pageBreakBefore w:val="0"/>
              <w:tabs>
                <w:tab w:val="left" w:pos="9720"/>
              </w:tabs>
              <w:kinsoku/>
              <w:wordWrap w:val="0"/>
              <w:overflowPunct/>
              <w:topLinePunct w:val="0"/>
              <w:autoSpaceDE w:val="0"/>
              <w:autoSpaceDN w:val="0"/>
              <w:bidi w:val="0"/>
              <w:adjustRightInd w:val="0"/>
              <w:spacing w:line="360" w:lineRule="exact"/>
              <w:ind w:right="-34" w:rightChars="-17"/>
              <w:rPr>
                <w:rFonts w:hint="eastAsia" w:cs="宋体" w:asciiTheme="minorEastAsia" w:hAnsiTheme="minorEastAsia" w:eastAsiaTheme="minorEastAsia"/>
                <w:kern w:val="2"/>
                <w:sz w:val="24"/>
                <w:szCs w:val="24"/>
              </w:rPr>
            </w:pPr>
            <w:r>
              <w:rPr>
                <w:rFonts w:hint="default" w:cs="宋体" w:asciiTheme="minorEastAsia" w:hAnsiTheme="minorEastAsia" w:eastAsiaTheme="minorEastAsia"/>
                <w:kern w:val="2"/>
                <w:sz w:val="24"/>
                <w:szCs w:val="24"/>
                <w:lang w:val="en-US" w:eastAsia="zh-CN"/>
              </w:rPr>
              <w:t>具有良好的财务状况：</w:t>
            </w:r>
            <w:r>
              <w:rPr>
                <w:rFonts w:hint="eastAsia" w:cs="宋体" w:asciiTheme="minorEastAsia" w:hAnsiTheme="minorEastAsia" w:eastAsiaTheme="minorEastAsia"/>
                <w:kern w:val="2"/>
                <w:sz w:val="24"/>
                <w:szCs w:val="24"/>
                <w:lang w:val="en-US" w:eastAsia="zh-CN"/>
              </w:rPr>
              <w:t>供应商</w:t>
            </w:r>
            <w:r>
              <w:rPr>
                <w:rFonts w:hint="default" w:cs="宋体" w:asciiTheme="minorEastAsia" w:hAnsiTheme="minorEastAsia" w:eastAsiaTheme="minorEastAsia"/>
                <w:kern w:val="2"/>
                <w:sz w:val="24"/>
                <w:szCs w:val="24"/>
                <w:lang w:val="en-US" w:eastAsia="zh-CN"/>
              </w:rPr>
              <w:t>须提供近三年任意一年的经第三方审计机构出具的审计报告,</w:t>
            </w:r>
            <w:r>
              <w:rPr>
                <w:rFonts w:hint="eastAsia" w:cs="宋体" w:asciiTheme="minorEastAsia" w:hAnsiTheme="minorEastAsia" w:eastAsiaTheme="minorEastAsia"/>
                <w:kern w:val="2"/>
                <w:sz w:val="24"/>
                <w:szCs w:val="24"/>
                <w:lang w:val="en-US" w:eastAsia="zh-CN"/>
              </w:rPr>
              <w:t>供应商</w:t>
            </w:r>
            <w:r>
              <w:rPr>
                <w:rFonts w:hint="default" w:cs="宋体" w:asciiTheme="minorEastAsia" w:hAnsiTheme="minorEastAsia" w:eastAsiaTheme="minorEastAsia"/>
                <w:kern w:val="2"/>
                <w:sz w:val="24"/>
                <w:szCs w:val="24"/>
                <w:lang w:val="en-US" w:eastAsia="zh-CN"/>
              </w:rPr>
              <w:t>成立不满三年的提供公司成立以来第三方审计机构出具的审计报告，</w:t>
            </w:r>
            <w:r>
              <w:rPr>
                <w:rFonts w:hint="eastAsia" w:cs="宋体" w:asciiTheme="minorEastAsia" w:hAnsiTheme="minorEastAsia" w:eastAsiaTheme="minorEastAsia"/>
                <w:kern w:val="2"/>
                <w:sz w:val="24"/>
                <w:szCs w:val="24"/>
                <w:lang w:val="en-US" w:eastAsia="zh-CN"/>
              </w:rPr>
              <w:t>供应商</w:t>
            </w:r>
            <w:r>
              <w:rPr>
                <w:rFonts w:hint="default" w:cs="宋体" w:asciiTheme="minorEastAsia" w:hAnsiTheme="minorEastAsia" w:eastAsiaTheme="minorEastAsia"/>
                <w:kern w:val="2"/>
                <w:sz w:val="24"/>
                <w:szCs w:val="24"/>
                <w:lang w:val="en-US" w:eastAsia="zh-CN"/>
              </w:rPr>
              <w:t>成立不满一年的提供最近</w:t>
            </w:r>
            <w:r>
              <w:rPr>
                <w:rFonts w:hint="eastAsia" w:cs="宋体" w:asciiTheme="minorEastAsia" w:hAnsiTheme="minorEastAsia" w:eastAsiaTheme="minorEastAsia"/>
                <w:kern w:val="2"/>
                <w:sz w:val="24"/>
                <w:szCs w:val="24"/>
                <w:lang w:val="en-US" w:eastAsia="zh-CN"/>
              </w:rPr>
              <w:t>一个</w:t>
            </w:r>
            <w:r>
              <w:rPr>
                <w:rFonts w:hint="default" w:cs="宋体" w:asciiTheme="minorEastAsia" w:hAnsiTheme="minorEastAsia" w:eastAsiaTheme="minorEastAsia"/>
                <w:kern w:val="2"/>
                <w:sz w:val="24"/>
                <w:szCs w:val="24"/>
                <w:lang w:val="en-US" w:eastAsia="zh-CN"/>
              </w:rPr>
              <w:t>月的财务报表</w:t>
            </w:r>
            <w:r>
              <w:rPr>
                <w:rFonts w:hint="eastAsia" w:cs="宋体" w:asciiTheme="minorEastAsia" w:hAnsiTheme="minorEastAsia" w:eastAsiaTheme="minorEastAsia"/>
                <w:kern w:val="2"/>
                <w:sz w:val="24"/>
                <w:szCs w:val="24"/>
                <w:lang w:val="en-US" w:eastAsia="zh-CN"/>
              </w:rPr>
              <w:t>；</w:t>
            </w:r>
          </w:p>
        </w:tc>
      </w:tr>
      <w:tr w14:paraId="366646B2">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199A2156">
            <w:pPr>
              <w:pageBreakBefore w:val="0"/>
              <w:kinsoku/>
              <w:wordWrap w:val="0"/>
              <w:overflowPunct/>
              <w:topLinePunct w:val="0"/>
              <w:bidi w:val="0"/>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2B34D498">
            <w:pPr>
              <w:pageBreakBefore w:val="0"/>
              <w:kinsoku/>
              <w:wordWrap w:val="0"/>
              <w:overflowPunct/>
              <w:topLinePunct w:val="0"/>
              <w:bidi w:val="0"/>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3C93CEFD">
            <w:pPr>
              <w:pageBreakBefore w:val="0"/>
              <w:widowControl w:val="0"/>
              <w:kinsoku/>
              <w:wordWrap w:val="0"/>
              <w:overflowPunct/>
              <w:topLinePunct w:val="0"/>
              <w:bidi w:val="0"/>
              <w:spacing w:line="600" w:lineRule="exact"/>
              <w:jc w:val="center"/>
              <w:rPr>
                <w:rFonts w:hint="eastAsia" w:ascii="宋体" w:hAnsi="宋体" w:eastAsia="宋体" w:cs="宋体"/>
                <w:kern w:val="2"/>
                <w:sz w:val="24"/>
                <w:szCs w:val="24"/>
                <w:lang w:eastAsia="zh-CN"/>
              </w:rPr>
            </w:pPr>
            <w:r>
              <w:rPr>
                <w:rFonts w:hint="eastAsia" w:ascii="宋体" w:hAnsi="宋体" w:cs="宋体"/>
                <w:kern w:val="2"/>
                <w:sz w:val="24"/>
                <w:szCs w:val="24"/>
                <w:lang w:eastAsia="zh-CN"/>
              </w:rPr>
              <w:t>税收</w:t>
            </w:r>
          </w:p>
        </w:tc>
        <w:tc>
          <w:tcPr>
            <w:tcW w:w="6450" w:type="dxa"/>
            <w:tcBorders>
              <w:top w:val="single" w:color="auto" w:sz="4" w:space="0"/>
              <w:left w:val="nil"/>
              <w:bottom w:val="single" w:color="auto" w:sz="4" w:space="0"/>
              <w:right w:val="single" w:color="auto" w:sz="4" w:space="0"/>
            </w:tcBorders>
            <w:vAlign w:val="center"/>
          </w:tcPr>
          <w:p w14:paraId="262CBCEA">
            <w:pPr>
              <w:pageBreakBefore w:val="0"/>
              <w:widowControl/>
              <w:tabs>
                <w:tab w:val="left" w:pos="9720"/>
              </w:tabs>
              <w:kinsoku/>
              <w:wordWrap w:val="0"/>
              <w:overflowPunct/>
              <w:topLinePunct w:val="0"/>
              <w:autoSpaceDE w:val="0"/>
              <w:autoSpaceDN w:val="0"/>
              <w:bidi w:val="0"/>
              <w:adjustRightInd w:val="0"/>
              <w:spacing w:line="360" w:lineRule="exact"/>
              <w:ind w:right="-34" w:rightChars="-17"/>
              <w:jc w:val="left"/>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en-US" w:eastAsia="zh-CN"/>
              </w:rPr>
              <w:t>须提供企业近半年连续三个月（新成立的企业从成立之日起计算）依法缴纳税收的证明资料：主要是指缴纳增值税或企业所得税或企业附加税的完税证明，依法免税的投标响应人，应提供相应文件证明其依法免税；同时需提供企业法人、项目经理、被委托人近半年连续三个月（新成立企业从成立之日起计算）社保证明；</w:t>
            </w:r>
          </w:p>
        </w:tc>
      </w:tr>
      <w:tr w14:paraId="2FD22F0D">
        <w:tblPrEx>
          <w:tblCellMar>
            <w:top w:w="0" w:type="dxa"/>
            <w:left w:w="108" w:type="dxa"/>
            <w:bottom w:w="0" w:type="dxa"/>
            <w:right w:w="108" w:type="dxa"/>
          </w:tblCellMar>
        </w:tblPrEx>
        <w:trPr>
          <w:trHeight w:val="1645" w:hRule="atLeast"/>
        </w:trPr>
        <w:tc>
          <w:tcPr>
            <w:tcW w:w="832" w:type="dxa"/>
            <w:vMerge w:val="continue"/>
            <w:tcBorders>
              <w:left w:val="single" w:color="auto" w:sz="4" w:space="0"/>
              <w:right w:val="single" w:color="auto" w:sz="4" w:space="0"/>
            </w:tcBorders>
            <w:vAlign w:val="center"/>
          </w:tcPr>
          <w:p w14:paraId="71665D9F">
            <w:pPr>
              <w:pageBreakBefore w:val="0"/>
              <w:kinsoku/>
              <w:wordWrap w:val="0"/>
              <w:overflowPunct/>
              <w:topLinePunct w:val="0"/>
              <w:bidi w:val="0"/>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001C49DE">
            <w:pPr>
              <w:pageBreakBefore w:val="0"/>
              <w:kinsoku/>
              <w:wordWrap w:val="0"/>
              <w:overflowPunct/>
              <w:topLinePunct w:val="0"/>
              <w:bidi w:val="0"/>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26E836D6">
            <w:pPr>
              <w:pageBreakBefore w:val="0"/>
              <w:tabs>
                <w:tab w:val="left" w:pos="9720"/>
              </w:tabs>
              <w:kinsoku/>
              <w:wordWrap w:val="0"/>
              <w:overflowPunct/>
              <w:topLinePunct w:val="0"/>
              <w:autoSpaceDE w:val="0"/>
              <w:autoSpaceDN w:val="0"/>
              <w:bidi w:val="0"/>
              <w:adjustRightInd w:val="0"/>
              <w:spacing w:line="360" w:lineRule="exact"/>
              <w:ind w:right="-34" w:rightChars="-17"/>
              <w:jc w:val="center"/>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参加政府采购活动前3年内无商业贿赂、不正当竞争行为、骗取中标、严重违约及重大工程质量等问题</w:t>
            </w:r>
          </w:p>
        </w:tc>
        <w:tc>
          <w:tcPr>
            <w:tcW w:w="6450" w:type="dxa"/>
            <w:tcBorders>
              <w:top w:val="single" w:color="auto" w:sz="4" w:space="0"/>
              <w:left w:val="nil"/>
              <w:bottom w:val="single" w:color="auto" w:sz="4" w:space="0"/>
              <w:right w:val="single" w:color="auto" w:sz="4" w:space="0"/>
            </w:tcBorders>
            <w:vAlign w:val="center"/>
          </w:tcPr>
          <w:p w14:paraId="77AE8250">
            <w:pPr>
              <w:pageBreakBefore w:val="0"/>
              <w:tabs>
                <w:tab w:val="left" w:pos="9720"/>
              </w:tabs>
              <w:kinsoku/>
              <w:wordWrap w:val="0"/>
              <w:overflowPunct/>
              <w:topLinePunct w:val="0"/>
              <w:autoSpaceDE w:val="0"/>
              <w:autoSpaceDN w:val="0"/>
              <w:bidi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en-US" w:eastAsia="zh-CN"/>
              </w:rPr>
              <w:t>参加政府采购活动前3年内无商业贿赂、不正当竞争行为、骗取中标、严重违约及重大工程质量等问题，提供企业注册地工商管理部门出具的无商业贿赂和不正当竞争行为的查询证明或供应商出具的承诺书（开具时间在有效期内）；</w:t>
            </w:r>
          </w:p>
        </w:tc>
      </w:tr>
      <w:tr w14:paraId="0791B0FF">
        <w:tblPrEx>
          <w:tblCellMar>
            <w:top w:w="0" w:type="dxa"/>
            <w:left w:w="108" w:type="dxa"/>
            <w:bottom w:w="0" w:type="dxa"/>
            <w:right w:w="108" w:type="dxa"/>
          </w:tblCellMar>
        </w:tblPrEx>
        <w:trPr>
          <w:trHeight w:val="1588" w:hRule="atLeast"/>
        </w:trPr>
        <w:tc>
          <w:tcPr>
            <w:tcW w:w="832" w:type="dxa"/>
            <w:vMerge w:val="continue"/>
            <w:tcBorders>
              <w:left w:val="single" w:color="auto" w:sz="4" w:space="0"/>
              <w:right w:val="single" w:color="auto" w:sz="4" w:space="0"/>
            </w:tcBorders>
            <w:vAlign w:val="center"/>
          </w:tcPr>
          <w:p w14:paraId="3515F017">
            <w:pPr>
              <w:pageBreakBefore w:val="0"/>
              <w:kinsoku/>
              <w:wordWrap w:val="0"/>
              <w:overflowPunct/>
              <w:topLinePunct w:val="0"/>
              <w:bidi w:val="0"/>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665DC77D">
            <w:pPr>
              <w:pageBreakBefore w:val="0"/>
              <w:kinsoku/>
              <w:wordWrap w:val="0"/>
              <w:overflowPunct/>
              <w:topLinePunct w:val="0"/>
              <w:bidi w:val="0"/>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1474096F">
            <w:pPr>
              <w:pageBreakBefore w:val="0"/>
              <w:tabs>
                <w:tab w:val="left" w:pos="9720"/>
              </w:tabs>
              <w:kinsoku/>
              <w:wordWrap w:val="0"/>
              <w:overflowPunct/>
              <w:topLinePunct w:val="0"/>
              <w:autoSpaceDE w:val="0"/>
              <w:autoSpaceDN w:val="0"/>
              <w:bidi w:val="0"/>
              <w:adjustRightInd w:val="0"/>
              <w:spacing w:line="360" w:lineRule="exact"/>
              <w:ind w:right="-34" w:rightChars="-17"/>
              <w:jc w:val="center"/>
              <w:rPr>
                <w:rFonts w:hint="eastAsia"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lang w:val="zh-CN"/>
              </w:rPr>
              <w:t>无行贿犯罪记录</w:t>
            </w:r>
            <w:r>
              <w:rPr>
                <w:rFonts w:hint="eastAsia" w:cs="宋体" w:asciiTheme="minorEastAsia" w:hAnsiTheme="minorEastAsia" w:eastAsiaTheme="minorEastAsia"/>
                <w:kern w:val="2"/>
                <w:sz w:val="24"/>
                <w:szCs w:val="24"/>
                <w:lang w:val="zh-CN" w:eastAsia="zh-CN"/>
              </w:rPr>
              <w:t>查询</w:t>
            </w:r>
          </w:p>
        </w:tc>
        <w:tc>
          <w:tcPr>
            <w:tcW w:w="6450" w:type="dxa"/>
            <w:tcBorders>
              <w:top w:val="single" w:color="auto" w:sz="4" w:space="0"/>
              <w:left w:val="nil"/>
              <w:bottom w:val="single" w:color="auto" w:sz="4" w:space="0"/>
              <w:right w:val="single" w:color="auto" w:sz="4" w:space="0"/>
            </w:tcBorders>
            <w:vAlign w:val="center"/>
          </w:tcPr>
          <w:p w14:paraId="1E7DF0C5">
            <w:pPr>
              <w:pageBreakBefore w:val="0"/>
              <w:tabs>
                <w:tab w:val="left" w:pos="9720"/>
              </w:tabs>
              <w:kinsoku/>
              <w:wordWrap w:val="0"/>
              <w:overflowPunct/>
              <w:topLinePunct w:val="0"/>
              <w:autoSpaceDE w:val="0"/>
              <w:autoSpaceDN w:val="0"/>
              <w:bidi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参加政府采购活动前3年内无行贿犯罪记录（提供《中国裁判文书网》查询结果网页截图或供应商自行承诺的无行贿犯罪承诺书，查询&lt;或承诺&gt;对象为“企业，法定代表人，项目</w:t>
            </w:r>
            <w:r>
              <w:rPr>
                <w:rFonts w:hint="eastAsia" w:cs="宋体" w:asciiTheme="minorEastAsia" w:hAnsiTheme="minorEastAsia" w:eastAsiaTheme="minorEastAsia"/>
                <w:kern w:val="2"/>
                <w:sz w:val="24"/>
                <w:szCs w:val="24"/>
                <w:lang w:eastAsia="zh-CN"/>
              </w:rPr>
              <w:t>经理</w:t>
            </w:r>
            <w:r>
              <w:rPr>
                <w:rFonts w:hint="eastAsia" w:cs="宋体" w:asciiTheme="minorEastAsia" w:hAnsiTheme="minorEastAsia" w:eastAsiaTheme="minorEastAsia"/>
                <w:kern w:val="2"/>
                <w:sz w:val="24"/>
                <w:szCs w:val="24"/>
              </w:rPr>
              <w:t>”）</w:t>
            </w:r>
          </w:p>
        </w:tc>
      </w:tr>
      <w:tr w14:paraId="1955BBE5">
        <w:tblPrEx>
          <w:tblCellMar>
            <w:top w:w="0" w:type="dxa"/>
            <w:left w:w="108" w:type="dxa"/>
            <w:bottom w:w="0" w:type="dxa"/>
            <w:right w:w="108" w:type="dxa"/>
          </w:tblCellMar>
        </w:tblPrEx>
        <w:trPr>
          <w:trHeight w:val="1282" w:hRule="atLeast"/>
        </w:trPr>
        <w:tc>
          <w:tcPr>
            <w:tcW w:w="832" w:type="dxa"/>
            <w:vMerge w:val="continue"/>
            <w:tcBorders>
              <w:left w:val="single" w:color="auto" w:sz="4" w:space="0"/>
              <w:right w:val="single" w:color="auto" w:sz="4" w:space="0"/>
            </w:tcBorders>
            <w:vAlign w:val="center"/>
          </w:tcPr>
          <w:p w14:paraId="4DA374E7">
            <w:pPr>
              <w:pageBreakBefore w:val="0"/>
              <w:kinsoku/>
              <w:wordWrap w:val="0"/>
              <w:overflowPunct/>
              <w:topLinePunct w:val="0"/>
              <w:bidi w:val="0"/>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09C3699B">
            <w:pPr>
              <w:pageBreakBefore w:val="0"/>
              <w:kinsoku/>
              <w:wordWrap w:val="0"/>
              <w:overflowPunct/>
              <w:topLinePunct w:val="0"/>
              <w:bidi w:val="0"/>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4AF6EA0C">
            <w:pPr>
              <w:keepNext w:val="0"/>
              <w:keepLines w:val="0"/>
              <w:pageBreakBefore w:val="0"/>
              <w:kinsoku/>
              <w:wordWrap w:val="0"/>
              <w:overflowPunct/>
              <w:topLinePunct w:val="0"/>
              <w:bidi w:val="0"/>
              <w:snapToGrid/>
              <w:spacing w:line="360" w:lineRule="exact"/>
              <w:jc w:val="center"/>
              <w:textAlignment w:val="auto"/>
              <w:rPr>
                <w:rFonts w:ascii="宋体" w:hAnsi="宋体" w:cs="宋体"/>
                <w:kern w:val="2"/>
                <w:sz w:val="24"/>
                <w:szCs w:val="24"/>
              </w:rPr>
            </w:pPr>
            <w:r>
              <w:rPr>
                <w:rFonts w:hint="eastAsia" w:cs="宋体" w:asciiTheme="minorEastAsia" w:hAnsiTheme="minorEastAsia" w:eastAsiaTheme="minorEastAsia"/>
                <w:kern w:val="2"/>
                <w:sz w:val="24"/>
                <w:szCs w:val="24"/>
                <w:lang w:val="en-US" w:eastAsia="zh-CN"/>
              </w:rPr>
              <w:t>信用中国、中国政府采购网查询</w:t>
            </w:r>
          </w:p>
        </w:tc>
        <w:tc>
          <w:tcPr>
            <w:tcW w:w="6450" w:type="dxa"/>
            <w:tcBorders>
              <w:top w:val="single" w:color="auto" w:sz="4" w:space="0"/>
              <w:left w:val="nil"/>
              <w:bottom w:val="single" w:color="auto" w:sz="4" w:space="0"/>
              <w:right w:val="single" w:color="auto" w:sz="4" w:space="0"/>
            </w:tcBorders>
            <w:vAlign w:val="center"/>
          </w:tcPr>
          <w:p w14:paraId="2BC46F87">
            <w:pPr>
              <w:pageBreakBefore w:val="0"/>
              <w:tabs>
                <w:tab w:val="left" w:pos="9720"/>
              </w:tabs>
              <w:kinsoku/>
              <w:wordWrap w:val="0"/>
              <w:overflowPunct/>
              <w:topLinePunct w:val="0"/>
              <w:autoSpaceDE w:val="0"/>
              <w:autoSpaceDN w:val="0"/>
              <w:bidi w:val="0"/>
              <w:adjustRightInd w:val="0"/>
              <w:spacing w:line="360" w:lineRule="exact"/>
              <w:ind w:right="-34" w:rightChars="-17"/>
              <w:rPr>
                <w:rFonts w:hint="eastAsia"/>
              </w:rPr>
            </w:pPr>
            <w:r>
              <w:rPr>
                <w:rFonts w:hint="eastAsia" w:cs="宋体" w:asciiTheme="minorEastAsia" w:hAnsiTheme="minorEastAsia" w:eastAsiaTheme="minorEastAsia"/>
                <w:kern w:val="2"/>
                <w:sz w:val="24"/>
                <w:szCs w:val="24"/>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tc>
      </w:tr>
      <w:tr w14:paraId="426D9CC5">
        <w:tblPrEx>
          <w:tblCellMar>
            <w:top w:w="0" w:type="dxa"/>
            <w:left w:w="108" w:type="dxa"/>
            <w:bottom w:w="0" w:type="dxa"/>
            <w:right w:w="108" w:type="dxa"/>
          </w:tblCellMar>
        </w:tblPrEx>
        <w:trPr>
          <w:trHeight w:val="528" w:hRule="atLeast"/>
        </w:trPr>
        <w:tc>
          <w:tcPr>
            <w:tcW w:w="832" w:type="dxa"/>
            <w:vMerge w:val="continue"/>
            <w:tcBorders>
              <w:left w:val="single" w:color="auto" w:sz="4" w:space="0"/>
              <w:right w:val="single" w:color="auto" w:sz="4" w:space="0"/>
            </w:tcBorders>
            <w:vAlign w:val="center"/>
          </w:tcPr>
          <w:p w14:paraId="5A66A33B">
            <w:pPr>
              <w:pageBreakBefore w:val="0"/>
              <w:kinsoku/>
              <w:wordWrap w:val="0"/>
              <w:overflowPunct/>
              <w:topLinePunct w:val="0"/>
              <w:bidi w:val="0"/>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1A69DB2F">
            <w:pPr>
              <w:pageBreakBefore w:val="0"/>
              <w:kinsoku/>
              <w:wordWrap w:val="0"/>
              <w:overflowPunct/>
              <w:topLinePunct w:val="0"/>
              <w:bidi w:val="0"/>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3F15E25F">
            <w:pPr>
              <w:keepNext w:val="0"/>
              <w:keepLines w:val="0"/>
              <w:pageBreakBefore w:val="0"/>
              <w:kinsoku/>
              <w:wordWrap w:val="0"/>
              <w:overflowPunct/>
              <w:topLinePunct w:val="0"/>
              <w:bidi w:val="0"/>
              <w:snapToGrid/>
              <w:spacing w:line="360" w:lineRule="exact"/>
              <w:jc w:val="center"/>
              <w:textAlignment w:val="auto"/>
              <w:rPr>
                <w:rFonts w:hint="eastAsia" w:ascii="宋体" w:hAnsi="宋体" w:cs="宋体"/>
                <w:kern w:val="2"/>
                <w:sz w:val="24"/>
                <w:szCs w:val="24"/>
              </w:rPr>
            </w:pPr>
            <w:r>
              <w:rPr>
                <w:rFonts w:hint="eastAsia" w:cs="宋体" w:asciiTheme="minorEastAsia" w:hAnsiTheme="minorEastAsia" w:eastAsiaTheme="minorEastAsia"/>
                <w:kern w:val="2"/>
                <w:sz w:val="24"/>
                <w:szCs w:val="24"/>
                <w:lang w:val="en-US" w:eastAsia="zh-CN"/>
              </w:rPr>
              <w:t>国家企业信用信息公示查询</w:t>
            </w:r>
          </w:p>
        </w:tc>
        <w:tc>
          <w:tcPr>
            <w:tcW w:w="6450" w:type="dxa"/>
            <w:tcBorders>
              <w:top w:val="single" w:color="auto" w:sz="4" w:space="0"/>
              <w:left w:val="nil"/>
              <w:bottom w:val="single" w:color="auto" w:sz="4" w:space="0"/>
              <w:right w:val="single" w:color="auto" w:sz="4" w:space="0"/>
            </w:tcBorders>
            <w:vAlign w:val="center"/>
          </w:tcPr>
          <w:p w14:paraId="21C30E19">
            <w:pPr>
              <w:pageBreakBefore w:val="0"/>
              <w:tabs>
                <w:tab w:val="left" w:pos="9720"/>
              </w:tabs>
              <w:kinsoku/>
              <w:wordWrap w:val="0"/>
              <w:overflowPunct/>
              <w:topLinePunct w:val="0"/>
              <w:autoSpaceDE w:val="0"/>
              <w:autoSpaceDN w:val="0"/>
              <w:bidi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en-US" w:eastAsia="zh-CN"/>
              </w:rPr>
              <w:t>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tc>
      </w:tr>
      <w:tr w14:paraId="4D78AC9E">
        <w:tblPrEx>
          <w:tblCellMar>
            <w:top w:w="0" w:type="dxa"/>
            <w:left w:w="108" w:type="dxa"/>
            <w:bottom w:w="0" w:type="dxa"/>
            <w:right w:w="108" w:type="dxa"/>
          </w:tblCellMar>
        </w:tblPrEx>
        <w:trPr>
          <w:trHeight w:val="520" w:hRule="atLeast"/>
        </w:trPr>
        <w:tc>
          <w:tcPr>
            <w:tcW w:w="832" w:type="dxa"/>
            <w:vMerge w:val="continue"/>
            <w:tcBorders>
              <w:left w:val="single" w:color="auto" w:sz="4" w:space="0"/>
              <w:right w:val="single" w:color="auto" w:sz="4" w:space="0"/>
            </w:tcBorders>
            <w:vAlign w:val="center"/>
          </w:tcPr>
          <w:p w14:paraId="1B4B7649">
            <w:pPr>
              <w:pageBreakBefore w:val="0"/>
              <w:widowControl w:val="0"/>
              <w:kinsoku/>
              <w:wordWrap w:val="0"/>
              <w:overflowPunct/>
              <w:topLinePunct w:val="0"/>
              <w:bidi w:val="0"/>
              <w:spacing w:line="600" w:lineRule="exact"/>
              <w:jc w:val="center"/>
              <w:rPr>
                <w:rFonts w:ascii="宋体" w:hAnsi="宋体" w:cs="宋体"/>
                <w:kern w:val="2"/>
                <w:sz w:val="24"/>
                <w:szCs w:val="24"/>
              </w:rPr>
            </w:pPr>
          </w:p>
        </w:tc>
        <w:tc>
          <w:tcPr>
            <w:tcW w:w="978" w:type="dxa"/>
            <w:vMerge w:val="continue"/>
            <w:tcBorders>
              <w:left w:val="nil"/>
              <w:right w:val="single" w:color="auto" w:sz="4" w:space="0"/>
            </w:tcBorders>
            <w:vAlign w:val="center"/>
          </w:tcPr>
          <w:p w14:paraId="1666FD62">
            <w:pPr>
              <w:pageBreakBefore w:val="0"/>
              <w:kinsoku/>
              <w:wordWrap w:val="0"/>
              <w:overflowPunct/>
              <w:topLinePunct w:val="0"/>
              <w:bidi w:val="0"/>
              <w:spacing w:line="600" w:lineRule="exact"/>
              <w:rPr>
                <w:rFonts w:ascii="宋体" w:hAnsi="宋体" w:cs="宋体"/>
                <w:kern w:val="2"/>
                <w:sz w:val="24"/>
                <w:szCs w:val="24"/>
              </w:rPr>
            </w:pPr>
          </w:p>
        </w:tc>
        <w:tc>
          <w:tcPr>
            <w:tcW w:w="1965" w:type="dxa"/>
            <w:tcBorders>
              <w:top w:val="single" w:color="auto" w:sz="4" w:space="0"/>
              <w:left w:val="single" w:color="auto" w:sz="4" w:space="0"/>
              <w:bottom w:val="single" w:color="auto" w:sz="4" w:space="0"/>
              <w:right w:val="single" w:color="auto" w:sz="4" w:space="0"/>
            </w:tcBorders>
            <w:vAlign w:val="center"/>
          </w:tcPr>
          <w:p w14:paraId="72A2E710">
            <w:pPr>
              <w:pageBreakBefore w:val="0"/>
              <w:widowControl w:val="0"/>
              <w:kinsoku/>
              <w:wordWrap w:val="0"/>
              <w:overflowPunct/>
              <w:topLinePunct w:val="0"/>
              <w:bidi w:val="0"/>
              <w:spacing w:line="600" w:lineRule="exact"/>
              <w:jc w:val="center"/>
              <w:rPr>
                <w:rFonts w:ascii="宋体" w:hAnsi="宋体" w:cs="宋体"/>
                <w:kern w:val="2"/>
                <w:sz w:val="24"/>
                <w:szCs w:val="24"/>
              </w:rPr>
            </w:pPr>
            <w:r>
              <w:rPr>
                <w:rFonts w:hint="eastAsia" w:cs="宋体" w:asciiTheme="minorEastAsia" w:hAnsiTheme="minorEastAsia" w:eastAsiaTheme="minorEastAsia"/>
                <w:kern w:val="2"/>
                <w:sz w:val="24"/>
                <w:szCs w:val="24"/>
              </w:rPr>
              <w:t>联合体磋商</w:t>
            </w:r>
          </w:p>
        </w:tc>
        <w:tc>
          <w:tcPr>
            <w:tcW w:w="6450" w:type="dxa"/>
            <w:tcBorders>
              <w:top w:val="single" w:color="auto" w:sz="4" w:space="0"/>
              <w:left w:val="nil"/>
              <w:bottom w:val="single" w:color="auto" w:sz="4" w:space="0"/>
              <w:right w:val="single" w:color="auto" w:sz="4" w:space="0"/>
            </w:tcBorders>
            <w:vAlign w:val="center"/>
          </w:tcPr>
          <w:p w14:paraId="2F8964D6">
            <w:pPr>
              <w:pageBreakBefore w:val="0"/>
              <w:tabs>
                <w:tab w:val="left" w:pos="9720"/>
              </w:tabs>
              <w:kinsoku/>
              <w:wordWrap w:val="0"/>
              <w:overflowPunct/>
              <w:topLinePunct w:val="0"/>
              <w:autoSpaceDE w:val="0"/>
              <w:autoSpaceDN w:val="0"/>
              <w:bidi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本项目不接受联合体磋商</w:t>
            </w:r>
          </w:p>
        </w:tc>
      </w:tr>
      <w:tr w14:paraId="10062D5E">
        <w:tblPrEx>
          <w:tblCellMar>
            <w:top w:w="0" w:type="dxa"/>
            <w:left w:w="108" w:type="dxa"/>
            <w:bottom w:w="0" w:type="dxa"/>
            <w:right w:w="108" w:type="dxa"/>
          </w:tblCellMar>
        </w:tblPrEx>
        <w:trPr>
          <w:trHeight w:val="520" w:hRule="atLeast"/>
        </w:trPr>
        <w:tc>
          <w:tcPr>
            <w:tcW w:w="832" w:type="dxa"/>
            <w:vMerge w:val="continue"/>
            <w:tcBorders>
              <w:left w:val="single" w:color="auto" w:sz="4" w:space="0"/>
              <w:bottom w:val="single" w:color="auto" w:sz="4" w:space="0"/>
              <w:right w:val="single" w:color="auto" w:sz="4" w:space="0"/>
            </w:tcBorders>
            <w:vAlign w:val="center"/>
          </w:tcPr>
          <w:p w14:paraId="61AE33BC">
            <w:pPr>
              <w:pageBreakBefore w:val="0"/>
              <w:widowControl w:val="0"/>
              <w:kinsoku/>
              <w:wordWrap w:val="0"/>
              <w:overflowPunct/>
              <w:topLinePunct w:val="0"/>
              <w:bidi w:val="0"/>
              <w:spacing w:line="600" w:lineRule="exact"/>
              <w:jc w:val="center"/>
              <w:rPr>
                <w:rFonts w:ascii="宋体" w:hAnsi="宋体" w:cs="宋体"/>
                <w:kern w:val="2"/>
                <w:sz w:val="24"/>
                <w:szCs w:val="24"/>
              </w:rPr>
            </w:pPr>
          </w:p>
        </w:tc>
        <w:tc>
          <w:tcPr>
            <w:tcW w:w="978" w:type="dxa"/>
            <w:vMerge w:val="continue"/>
            <w:tcBorders>
              <w:left w:val="nil"/>
              <w:bottom w:val="single" w:color="auto" w:sz="4" w:space="0"/>
              <w:right w:val="single" w:color="auto" w:sz="4" w:space="0"/>
            </w:tcBorders>
            <w:vAlign w:val="center"/>
          </w:tcPr>
          <w:p w14:paraId="0402E53B">
            <w:pPr>
              <w:pageBreakBefore w:val="0"/>
              <w:kinsoku/>
              <w:wordWrap w:val="0"/>
              <w:overflowPunct/>
              <w:topLinePunct w:val="0"/>
              <w:bidi w:val="0"/>
              <w:spacing w:line="600" w:lineRule="exact"/>
              <w:rPr>
                <w:rFonts w:ascii="宋体" w:hAnsi="宋体" w:cs="宋体"/>
                <w:kern w:val="2"/>
                <w:sz w:val="24"/>
                <w:szCs w:val="24"/>
              </w:rPr>
            </w:pPr>
          </w:p>
        </w:tc>
        <w:tc>
          <w:tcPr>
            <w:tcW w:w="1965" w:type="dxa"/>
            <w:tcBorders>
              <w:top w:val="single" w:color="auto" w:sz="4" w:space="0"/>
              <w:left w:val="single" w:color="auto" w:sz="4" w:space="0"/>
              <w:bottom w:val="single" w:color="auto" w:sz="4" w:space="0"/>
              <w:right w:val="single" w:color="auto" w:sz="4" w:space="0"/>
            </w:tcBorders>
            <w:vAlign w:val="center"/>
          </w:tcPr>
          <w:p w14:paraId="593EA8B7">
            <w:pPr>
              <w:pageBreakBefore w:val="0"/>
              <w:widowControl w:val="0"/>
              <w:kinsoku/>
              <w:wordWrap w:val="0"/>
              <w:overflowPunct/>
              <w:topLinePunct w:val="0"/>
              <w:bidi w:val="0"/>
              <w:spacing w:line="600" w:lineRule="exact"/>
              <w:jc w:val="center"/>
              <w:rPr>
                <w:rFonts w:ascii="宋体" w:hAnsi="宋体" w:cs="宋体"/>
                <w:kern w:val="2"/>
                <w:sz w:val="24"/>
                <w:szCs w:val="24"/>
              </w:rPr>
            </w:pPr>
            <w:r>
              <w:rPr>
                <w:rFonts w:hint="eastAsia" w:cs="宋体" w:asciiTheme="minorEastAsia" w:hAnsiTheme="minorEastAsia" w:eastAsiaTheme="minorEastAsia"/>
                <w:kern w:val="2"/>
                <w:sz w:val="24"/>
                <w:szCs w:val="24"/>
              </w:rPr>
              <w:t>中小企业声明</w:t>
            </w:r>
          </w:p>
        </w:tc>
        <w:tc>
          <w:tcPr>
            <w:tcW w:w="6450" w:type="dxa"/>
            <w:tcBorders>
              <w:top w:val="single" w:color="auto" w:sz="4" w:space="0"/>
              <w:left w:val="nil"/>
              <w:bottom w:val="single" w:color="auto" w:sz="4" w:space="0"/>
              <w:right w:val="single" w:color="auto" w:sz="4" w:space="0"/>
            </w:tcBorders>
            <w:vAlign w:val="center"/>
          </w:tcPr>
          <w:p w14:paraId="637853D1">
            <w:pPr>
              <w:pageBreakBefore w:val="0"/>
              <w:tabs>
                <w:tab w:val="left" w:pos="9720"/>
              </w:tabs>
              <w:kinsoku/>
              <w:wordWrap w:val="0"/>
              <w:overflowPunct/>
              <w:topLinePunct w:val="0"/>
              <w:autoSpaceDE w:val="0"/>
              <w:autoSpaceDN w:val="0"/>
              <w:bidi w:val="0"/>
              <w:adjustRightInd w:val="0"/>
              <w:spacing w:line="360" w:lineRule="exact"/>
              <w:ind w:right="-34" w:rightChars="-17"/>
              <w:rPr>
                <w:rFonts w:hint="eastAsia"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rPr>
              <w:t>本项目专门面向中小企业采购,供应商须提供《中小企业声明函》</w:t>
            </w:r>
            <w:r>
              <w:rPr>
                <w:rFonts w:hint="eastAsia" w:cs="宋体" w:asciiTheme="minorEastAsia" w:hAnsiTheme="minorEastAsia" w:eastAsiaTheme="minorEastAsia"/>
                <w:kern w:val="2"/>
                <w:sz w:val="24"/>
                <w:szCs w:val="24"/>
                <w:lang w:eastAsia="zh-CN"/>
              </w:rPr>
              <w:t>；</w:t>
            </w:r>
          </w:p>
        </w:tc>
      </w:tr>
      <w:tr w14:paraId="16019504">
        <w:tblPrEx>
          <w:tblCellMar>
            <w:top w:w="0" w:type="dxa"/>
            <w:left w:w="108" w:type="dxa"/>
            <w:bottom w:w="0" w:type="dxa"/>
            <w:right w:w="108" w:type="dxa"/>
          </w:tblCellMar>
        </w:tblPrEx>
        <w:trPr>
          <w:trHeight w:val="520" w:hRule="atLeast"/>
        </w:trPr>
        <w:tc>
          <w:tcPr>
            <w:tcW w:w="832" w:type="dxa"/>
            <w:vMerge w:val="restart"/>
            <w:tcBorders>
              <w:top w:val="single" w:color="auto" w:sz="4" w:space="0"/>
              <w:left w:val="single" w:color="auto" w:sz="4" w:space="0"/>
              <w:right w:val="single" w:color="auto" w:sz="4" w:space="0"/>
            </w:tcBorders>
            <w:vAlign w:val="center"/>
          </w:tcPr>
          <w:p w14:paraId="2B2C7215">
            <w:pPr>
              <w:pageBreakBefore w:val="0"/>
              <w:widowControl w:val="0"/>
              <w:kinsoku/>
              <w:wordWrap w:val="0"/>
              <w:overflowPunct/>
              <w:topLinePunct w:val="0"/>
              <w:bidi w:val="0"/>
              <w:spacing w:line="600" w:lineRule="exact"/>
              <w:jc w:val="center"/>
              <w:rPr>
                <w:rFonts w:hint="eastAsia" w:ascii="宋体" w:hAnsi="宋体" w:eastAsia="宋体" w:cs="宋体"/>
                <w:kern w:val="2"/>
                <w:sz w:val="24"/>
                <w:szCs w:val="24"/>
                <w:lang w:eastAsia="zh-CN"/>
              </w:rPr>
            </w:pPr>
            <w:r>
              <w:rPr>
                <w:rFonts w:ascii="宋体" w:hAnsi="宋体" w:cs="宋体"/>
                <w:kern w:val="2"/>
                <w:sz w:val="24"/>
                <w:szCs w:val="24"/>
              </w:rPr>
              <w:t>2.1.</w:t>
            </w:r>
            <w:r>
              <w:rPr>
                <w:rFonts w:hint="eastAsia" w:ascii="宋体" w:hAnsi="宋体" w:cs="宋体"/>
                <w:kern w:val="2"/>
                <w:sz w:val="24"/>
                <w:szCs w:val="24"/>
                <w:lang w:val="en-US" w:eastAsia="zh-CN"/>
              </w:rPr>
              <w:t>3</w:t>
            </w:r>
          </w:p>
        </w:tc>
        <w:tc>
          <w:tcPr>
            <w:tcW w:w="978" w:type="dxa"/>
            <w:vMerge w:val="restart"/>
            <w:tcBorders>
              <w:top w:val="single" w:color="auto" w:sz="4" w:space="0"/>
              <w:left w:val="nil"/>
              <w:right w:val="single" w:color="auto" w:sz="4" w:space="0"/>
            </w:tcBorders>
            <w:vAlign w:val="center"/>
          </w:tcPr>
          <w:p w14:paraId="2F620837">
            <w:pPr>
              <w:pageBreakBefore w:val="0"/>
              <w:kinsoku/>
              <w:wordWrap w:val="0"/>
              <w:overflowPunct/>
              <w:topLinePunct w:val="0"/>
              <w:bidi w:val="0"/>
              <w:spacing w:line="600" w:lineRule="exact"/>
              <w:jc w:val="center"/>
              <w:rPr>
                <w:rFonts w:ascii="宋体" w:hAnsi="宋体" w:cs="宋体"/>
                <w:kern w:val="2"/>
                <w:sz w:val="24"/>
                <w:szCs w:val="24"/>
              </w:rPr>
            </w:pPr>
            <w:r>
              <w:rPr>
                <w:rFonts w:hint="eastAsia" w:ascii="宋体" w:hAnsi="宋体" w:eastAsia="宋体" w:cs="宋体"/>
                <w:kern w:val="0"/>
                <w:sz w:val="24"/>
                <w:szCs w:val="24"/>
              </w:rPr>
              <w:t>响应性评审标准</w:t>
            </w:r>
          </w:p>
        </w:tc>
        <w:tc>
          <w:tcPr>
            <w:tcW w:w="1965" w:type="dxa"/>
            <w:tcBorders>
              <w:top w:val="single" w:color="auto" w:sz="4" w:space="0"/>
              <w:left w:val="nil"/>
              <w:bottom w:val="single" w:color="auto" w:sz="4" w:space="0"/>
              <w:right w:val="single" w:color="auto" w:sz="4" w:space="0"/>
            </w:tcBorders>
            <w:vAlign w:val="center"/>
          </w:tcPr>
          <w:p w14:paraId="0B696045">
            <w:pPr>
              <w:pageBreakBefore w:val="0"/>
              <w:widowControl w:val="0"/>
              <w:kinsoku/>
              <w:wordWrap w:val="0"/>
              <w:overflowPunct/>
              <w:topLinePunct w:val="0"/>
              <w:bidi w:val="0"/>
              <w:spacing w:line="600" w:lineRule="exact"/>
              <w:jc w:val="center"/>
              <w:rPr>
                <w:rFonts w:ascii="宋体" w:hAnsi="宋体" w:cs="宋体"/>
                <w:color w:val="auto"/>
                <w:kern w:val="2"/>
                <w:sz w:val="24"/>
                <w:szCs w:val="24"/>
              </w:rPr>
            </w:pPr>
            <w:r>
              <w:rPr>
                <w:rFonts w:hint="eastAsia" w:ascii="宋体" w:hAnsi="宋体" w:cs="宋体"/>
                <w:color w:val="auto"/>
                <w:kern w:val="2"/>
                <w:sz w:val="24"/>
                <w:szCs w:val="24"/>
              </w:rPr>
              <w:t>计划工期</w:t>
            </w:r>
          </w:p>
        </w:tc>
        <w:tc>
          <w:tcPr>
            <w:tcW w:w="6450" w:type="dxa"/>
            <w:tcBorders>
              <w:top w:val="single" w:color="auto" w:sz="4" w:space="0"/>
              <w:left w:val="nil"/>
              <w:bottom w:val="single" w:color="auto" w:sz="4" w:space="0"/>
              <w:right w:val="single" w:color="auto" w:sz="4" w:space="0"/>
            </w:tcBorders>
            <w:vAlign w:val="center"/>
          </w:tcPr>
          <w:p w14:paraId="3A795587">
            <w:pPr>
              <w:pageBreakBefore w:val="0"/>
              <w:tabs>
                <w:tab w:val="left" w:pos="9720"/>
              </w:tabs>
              <w:kinsoku/>
              <w:wordWrap w:val="0"/>
              <w:overflowPunct/>
              <w:topLinePunct w:val="0"/>
              <w:autoSpaceDE w:val="0"/>
              <w:autoSpaceDN w:val="0"/>
              <w:bidi w:val="0"/>
              <w:adjustRightInd w:val="0"/>
              <w:spacing w:line="360" w:lineRule="exact"/>
              <w:ind w:right="-34" w:rightChars="-17"/>
              <w:rPr>
                <w:rFonts w:hint="eastAsia" w:cs="宋体" w:asciiTheme="minorEastAsia" w:hAnsiTheme="minorEastAsia" w:eastAsiaTheme="minorEastAsia"/>
                <w:color w:val="auto"/>
                <w:kern w:val="2"/>
                <w:sz w:val="24"/>
                <w:szCs w:val="24"/>
                <w:lang w:eastAsia="zh-CN"/>
              </w:rPr>
            </w:pPr>
            <w:r>
              <w:rPr>
                <w:rFonts w:hint="eastAsia" w:cs="宋体" w:asciiTheme="minorEastAsia" w:hAnsiTheme="minorEastAsia" w:eastAsiaTheme="minorEastAsia"/>
                <w:color w:val="auto"/>
                <w:kern w:val="2"/>
                <w:sz w:val="24"/>
                <w:szCs w:val="24"/>
                <w:lang w:val="en-US" w:eastAsia="zh-CN"/>
              </w:rPr>
              <w:t>90日历天</w:t>
            </w:r>
          </w:p>
        </w:tc>
      </w:tr>
      <w:tr w14:paraId="4E36B6C0">
        <w:tblPrEx>
          <w:tblCellMar>
            <w:top w:w="0" w:type="dxa"/>
            <w:left w:w="108" w:type="dxa"/>
            <w:bottom w:w="0" w:type="dxa"/>
            <w:right w:w="108" w:type="dxa"/>
          </w:tblCellMar>
        </w:tblPrEx>
        <w:trPr>
          <w:trHeight w:val="610" w:hRule="atLeast"/>
        </w:trPr>
        <w:tc>
          <w:tcPr>
            <w:tcW w:w="832" w:type="dxa"/>
            <w:vMerge w:val="continue"/>
            <w:tcBorders>
              <w:left w:val="single" w:color="auto" w:sz="4" w:space="0"/>
              <w:right w:val="single" w:color="auto" w:sz="4" w:space="0"/>
            </w:tcBorders>
            <w:vAlign w:val="center"/>
          </w:tcPr>
          <w:p w14:paraId="3B0AFE14">
            <w:pPr>
              <w:pageBreakBefore w:val="0"/>
              <w:kinsoku/>
              <w:wordWrap w:val="0"/>
              <w:overflowPunct/>
              <w:topLinePunct w:val="0"/>
              <w:bidi w:val="0"/>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3BC6C4E7">
            <w:pPr>
              <w:pageBreakBefore w:val="0"/>
              <w:kinsoku/>
              <w:wordWrap w:val="0"/>
              <w:overflowPunct/>
              <w:topLinePunct w:val="0"/>
              <w:bidi w:val="0"/>
              <w:spacing w:line="600" w:lineRule="exact"/>
              <w:jc w:val="center"/>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7278939A">
            <w:pPr>
              <w:pageBreakBefore w:val="0"/>
              <w:widowControl w:val="0"/>
              <w:kinsoku/>
              <w:wordWrap w:val="0"/>
              <w:overflowPunct/>
              <w:topLinePunct w:val="0"/>
              <w:bidi w:val="0"/>
              <w:spacing w:line="600" w:lineRule="exact"/>
              <w:jc w:val="center"/>
              <w:rPr>
                <w:rFonts w:ascii="宋体" w:hAnsi="宋体" w:cs="宋体"/>
                <w:kern w:val="2"/>
                <w:sz w:val="24"/>
                <w:szCs w:val="24"/>
              </w:rPr>
            </w:pPr>
            <w:r>
              <w:rPr>
                <w:rFonts w:hint="eastAsia" w:ascii="宋体" w:hAnsi="宋体" w:cs="宋体"/>
                <w:kern w:val="2"/>
                <w:sz w:val="24"/>
                <w:szCs w:val="24"/>
              </w:rPr>
              <w:t>质量</w:t>
            </w:r>
            <w:r>
              <w:rPr>
                <w:rFonts w:ascii="宋体" w:hAnsi="宋体" w:cs="宋体"/>
                <w:kern w:val="2"/>
                <w:sz w:val="24"/>
                <w:szCs w:val="24"/>
              </w:rPr>
              <w:t>要求</w:t>
            </w:r>
          </w:p>
        </w:tc>
        <w:tc>
          <w:tcPr>
            <w:tcW w:w="6450" w:type="dxa"/>
            <w:tcBorders>
              <w:top w:val="single" w:color="auto" w:sz="4" w:space="0"/>
              <w:left w:val="nil"/>
              <w:bottom w:val="single" w:color="auto" w:sz="4" w:space="0"/>
              <w:right w:val="single" w:color="auto" w:sz="4" w:space="0"/>
            </w:tcBorders>
            <w:vAlign w:val="center"/>
          </w:tcPr>
          <w:p w14:paraId="4102B55E">
            <w:pPr>
              <w:pageBreakBefore w:val="0"/>
              <w:tabs>
                <w:tab w:val="left" w:pos="9720"/>
              </w:tabs>
              <w:kinsoku/>
              <w:wordWrap w:val="0"/>
              <w:overflowPunct/>
              <w:topLinePunct w:val="0"/>
              <w:autoSpaceDE w:val="0"/>
              <w:autoSpaceDN w:val="0"/>
              <w:bidi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en-US" w:eastAsia="zh-CN"/>
              </w:rPr>
              <w:t>达到国家现行建设工程施工质量验收规范合格标准</w:t>
            </w:r>
          </w:p>
        </w:tc>
      </w:tr>
      <w:tr w14:paraId="5515C3E8">
        <w:tblPrEx>
          <w:tblCellMar>
            <w:top w:w="0" w:type="dxa"/>
            <w:left w:w="108" w:type="dxa"/>
            <w:bottom w:w="0" w:type="dxa"/>
            <w:right w:w="108" w:type="dxa"/>
          </w:tblCellMar>
        </w:tblPrEx>
        <w:trPr>
          <w:trHeight w:val="606" w:hRule="atLeast"/>
        </w:trPr>
        <w:tc>
          <w:tcPr>
            <w:tcW w:w="832" w:type="dxa"/>
            <w:vMerge w:val="continue"/>
            <w:tcBorders>
              <w:left w:val="single" w:color="auto" w:sz="4" w:space="0"/>
              <w:right w:val="single" w:color="auto" w:sz="4" w:space="0"/>
            </w:tcBorders>
            <w:vAlign w:val="center"/>
          </w:tcPr>
          <w:p w14:paraId="3315FBBF">
            <w:pPr>
              <w:pageBreakBefore w:val="0"/>
              <w:kinsoku/>
              <w:wordWrap w:val="0"/>
              <w:overflowPunct/>
              <w:topLinePunct w:val="0"/>
              <w:bidi w:val="0"/>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59CFD57E">
            <w:pPr>
              <w:pageBreakBefore w:val="0"/>
              <w:kinsoku/>
              <w:wordWrap w:val="0"/>
              <w:overflowPunct/>
              <w:topLinePunct w:val="0"/>
              <w:bidi w:val="0"/>
              <w:spacing w:line="600" w:lineRule="exact"/>
              <w:jc w:val="center"/>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7FCBBB0F">
            <w:pPr>
              <w:pageBreakBefore w:val="0"/>
              <w:widowControl w:val="0"/>
              <w:kinsoku/>
              <w:wordWrap w:val="0"/>
              <w:overflowPunct/>
              <w:topLinePunct w:val="0"/>
              <w:bidi w:val="0"/>
              <w:spacing w:line="600" w:lineRule="exact"/>
              <w:jc w:val="center"/>
              <w:rPr>
                <w:rFonts w:ascii="宋体" w:hAnsi="宋体" w:cs="宋体"/>
                <w:kern w:val="2"/>
                <w:sz w:val="24"/>
                <w:szCs w:val="24"/>
              </w:rPr>
            </w:pPr>
            <w:r>
              <w:rPr>
                <w:rFonts w:ascii="宋体" w:hAnsi="宋体" w:cs="宋体"/>
                <w:kern w:val="2"/>
                <w:sz w:val="24"/>
                <w:szCs w:val="24"/>
              </w:rPr>
              <w:t>磋商有效期</w:t>
            </w:r>
          </w:p>
        </w:tc>
        <w:tc>
          <w:tcPr>
            <w:tcW w:w="6450" w:type="dxa"/>
            <w:tcBorders>
              <w:top w:val="single" w:color="auto" w:sz="4" w:space="0"/>
              <w:left w:val="nil"/>
              <w:bottom w:val="single" w:color="auto" w:sz="4" w:space="0"/>
              <w:right w:val="single" w:color="auto" w:sz="4" w:space="0"/>
            </w:tcBorders>
            <w:vAlign w:val="center"/>
          </w:tcPr>
          <w:p w14:paraId="0DDC1741">
            <w:pPr>
              <w:pageBreakBefore w:val="0"/>
              <w:tabs>
                <w:tab w:val="left" w:pos="9720"/>
              </w:tabs>
              <w:kinsoku/>
              <w:wordWrap w:val="0"/>
              <w:overflowPunct/>
              <w:topLinePunct w:val="0"/>
              <w:autoSpaceDE w:val="0"/>
              <w:autoSpaceDN w:val="0"/>
              <w:bidi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符合磋商文件要求</w:t>
            </w:r>
          </w:p>
        </w:tc>
      </w:tr>
      <w:tr w14:paraId="0A5BC0AC">
        <w:tblPrEx>
          <w:tblCellMar>
            <w:top w:w="0" w:type="dxa"/>
            <w:left w:w="108" w:type="dxa"/>
            <w:bottom w:w="0" w:type="dxa"/>
            <w:right w:w="108" w:type="dxa"/>
          </w:tblCellMar>
        </w:tblPrEx>
        <w:trPr>
          <w:trHeight w:val="540" w:hRule="atLeast"/>
        </w:trPr>
        <w:tc>
          <w:tcPr>
            <w:tcW w:w="832" w:type="dxa"/>
            <w:vMerge w:val="continue"/>
            <w:tcBorders>
              <w:left w:val="single" w:color="auto" w:sz="4" w:space="0"/>
              <w:right w:val="single" w:color="auto" w:sz="4" w:space="0"/>
            </w:tcBorders>
            <w:vAlign w:val="center"/>
          </w:tcPr>
          <w:p w14:paraId="1C497422">
            <w:pPr>
              <w:pageBreakBefore w:val="0"/>
              <w:kinsoku/>
              <w:wordWrap w:val="0"/>
              <w:overflowPunct/>
              <w:topLinePunct w:val="0"/>
              <w:bidi w:val="0"/>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3F3A8A0D">
            <w:pPr>
              <w:pageBreakBefore w:val="0"/>
              <w:kinsoku/>
              <w:wordWrap w:val="0"/>
              <w:overflowPunct/>
              <w:topLinePunct w:val="0"/>
              <w:bidi w:val="0"/>
              <w:spacing w:line="600" w:lineRule="exact"/>
              <w:jc w:val="center"/>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696423DA">
            <w:pPr>
              <w:keepNext w:val="0"/>
              <w:keepLines w:val="0"/>
              <w:pageBreakBefore w:val="0"/>
              <w:kinsoku/>
              <w:wordWrap w:val="0"/>
              <w:overflowPunct/>
              <w:topLinePunct w:val="0"/>
              <w:bidi w:val="0"/>
              <w:snapToGrid/>
              <w:spacing w:line="360" w:lineRule="exact"/>
              <w:jc w:val="center"/>
              <w:textAlignment w:val="auto"/>
              <w:rPr>
                <w:rFonts w:ascii="宋体" w:hAnsi="宋体" w:cs="宋体"/>
                <w:kern w:val="2"/>
                <w:sz w:val="24"/>
                <w:szCs w:val="24"/>
              </w:rPr>
            </w:pPr>
            <w:r>
              <w:rPr>
                <w:rFonts w:hint="eastAsia" w:cs="宋体" w:asciiTheme="minorEastAsia" w:hAnsiTheme="minorEastAsia" w:eastAsiaTheme="minorEastAsia"/>
                <w:kern w:val="2"/>
                <w:sz w:val="24"/>
                <w:szCs w:val="24"/>
                <w:lang w:val="en-US" w:eastAsia="zh-CN"/>
              </w:rPr>
              <w:t>已标价工程量清单</w:t>
            </w:r>
          </w:p>
        </w:tc>
        <w:tc>
          <w:tcPr>
            <w:tcW w:w="6450" w:type="dxa"/>
            <w:tcBorders>
              <w:top w:val="single" w:color="auto" w:sz="4" w:space="0"/>
              <w:left w:val="nil"/>
              <w:bottom w:val="single" w:color="auto" w:sz="4" w:space="0"/>
              <w:right w:val="single" w:color="auto" w:sz="4" w:space="0"/>
            </w:tcBorders>
            <w:vAlign w:val="center"/>
          </w:tcPr>
          <w:p w14:paraId="75AD689A">
            <w:pPr>
              <w:pageBreakBefore w:val="0"/>
              <w:tabs>
                <w:tab w:val="left" w:pos="9720"/>
              </w:tabs>
              <w:kinsoku/>
              <w:wordWrap w:val="0"/>
              <w:overflowPunct/>
              <w:topLinePunct w:val="0"/>
              <w:autoSpaceDE w:val="0"/>
              <w:autoSpaceDN w:val="0"/>
              <w:bidi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sz w:val="24"/>
                <w:szCs w:val="24"/>
              </w:rPr>
              <w:t>符合“工程量清单”给出的范围及数量，投标人不得擅自修改工程量清单的工程项目和数量，否则将否决其投标。</w:t>
            </w:r>
          </w:p>
        </w:tc>
      </w:tr>
      <w:tr w14:paraId="2926E4FB">
        <w:tblPrEx>
          <w:tblCellMar>
            <w:top w:w="0" w:type="dxa"/>
            <w:left w:w="108" w:type="dxa"/>
            <w:bottom w:w="0" w:type="dxa"/>
            <w:right w:w="108" w:type="dxa"/>
          </w:tblCellMar>
        </w:tblPrEx>
        <w:trPr>
          <w:trHeight w:val="540" w:hRule="atLeast"/>
        </w:trPr>
        <w:tc>
          <w:tcPr>
            <w:tcW w:w="832" w:type="dxa"/>
            <w:vMerge w:val="continue"/>
            <w:tcBorders>
              <w:left w:val="single" w:color="auto" w:sz="4" w:space="0"/>
              <w:right w:val="single" w:color="auto" w:sz="4" w:space="0"/>
            </w:tcBorders>
            <w:vAlign w:val="center"/>
          </w:tcPr>
          <w:p w14:paraId="64340802">
            <w:pPr>
              <w:pageBreakBefore w:val="0"/>
              <w:kinsoku/>
              <w:wordWrap w:val="0"/>
              <w:overflowPunct/>
              <w:topLinePunct w:val="0"/>
              <w:bidi w:val="0"/>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2878062A">
            <w:pPr>
              <w:pageBreakBefore w:val="0"/>
              <w:kinsoku/>
              <w:wordWrap w:val="0"/>
              <w:overflowPunct/>
              <w:topLinePunct w:val="0"/>
              <w:bidi w:val="0"/>
              <w:spacing w:line="600" w:lineRule="exact"/>
              <w:jc w:val="center"/>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1C92A744">
            <w:pPr>
              <w:pageBreakBefore w:val="0"/>
              <w:widowControl w:val="0"/>
              <w:kinsoku/>
              <w:wordWrap w:val="0"/>
              <w:overflowPunct/>
              <w:topLinePunct w:val="0"/>
              <w:bidi w:val="0"/>
              <w:spacing w:line="600" w:lineRule="exact"/>
              <w:jc w:val="center"/>
              <w:rPr>
                <w:rFonts w:hint="eastAsia" w:ascii="宋体" w:hAnsi="宋体" w:eastAsia="宋体" w:cs="宋体"/>
                <w:kern w:val="2"/>
                <w:sz w:val="24"/>
                <w:szCs w:val="24"/>
                <w:lang w:eastAsia="zh-CN"/>
              </w:rPr>
            </w:pPr>
            <w:r>
              <w:rPr>
                <w:rFonts w:hint="eastAsia" w:ascii="宋体" w:hAnsi="宋体" w:cs="宋体"/>
                <w:kern w:val="2"/>
                <w:sz w:val="24"/>
                <w:szCs w:val="24"/>
                <w:lang w:eastAsia="zh-CN"/>
              </w:rPr>
              <w:t>磋商范围</w:t>
            </w:r>
          </w:p>
        </w:tc>
        <w:tc>
          <w:tcPr>
            <w:tcW w:w="6450" w:type="dxa"/>
            <w:tcBorders>
              <w:top w:val="single" w:color="auto" w:sz="4" w:space="0"/>
              <w:left w:val="nil"/>
              <w:bottom w:val="single" w:color="auto" w:sz="4" w:space="0"/>
              <w:right w:val="single" w:color="auto" w:sz="4" w:space="0"/>
            </w:tcBorders>
            <w:vAlign w:val="center"/>
          </w:tcPr>
          <w:p w14:paraId="77B488E7">
            <w:pPr>
              <w:pageBreakBefore w:val="0"/>
              <w:tabs>
                <w:tab w:val="left" w:pos="9720"/>
              </w:tabs>
              <w:kinsoku/>
              <w:wordWrap w:val="0"/>
              <w:overflowPunct/>
              <w:topLinePunct w:val="0"/>
              <w:autoSpaceDE w:val="0"/>
              <w:autoSpaceDN w:val="0"/>
              <w:bidi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en-US" w:eastAsia="zh-CN"/>
              </w:rPr>
              <w:t>竞争性磋商文件、工程量清单及图纸所包含的全部内容。</w:t>
            </w:r>
          </w:p>
        </w:tc>
      </w:tr>
      <w:tr w14:paraId="09B2A697">
        <w:tblPrEx>
          <w:tblCellMar>
            <w:top w:w="0" w:type="dxa"/>
            <w:left w:w="108" w:type="dxa"/>
            <w:bottom w:w="0" w:type="dxa"/>
            <w:right w:w="108" w:type="dxa"/>
          </w:tblCellMar>
        </w:tblPrEx>
        <w:trPr>
          <w:trHeight w:val="452" w:hRule="atLeast"/>
        </w:trPr>
        <w:tc>
          <w:tcPr>
            <w:tcW w:w="832" w:type="dxa"/>
            <w:vMerge w:val="continue"/>
            <w:tcBorders>
              <w:left w:val="single" w:color="auto" w:sz="4" w:space="0"/>
              <w:bottom w:val="single" w:color="auto" w:sz="4" w:space="0"/>
              <w:right w:val="single" w:color="auto" w:sz="4" w:space="0"/>
            </w:tcBorders>
            <w:vAlign w:val="center"/>
          </w:tcPr>
          <w:p w14:paraId="433D4168">
            <w:pPr>
              <w:pageBreakBefore w:val="0"/>
              <w:kinsoku/>
              <w:wordWrap w:val="0"/>
              <w:overflowPunct/>
              <w:topLinePunct w:val="0"/>
              <w:bidi w:val="0"/>
              <w:spacing w:line="600" w:lineRule="exact"/>
              <w:rPr>
                <w:rFonts w:ascii="宋体" w:hAnsi="宋体" w:cs="宋体"/>
                <w:kern w:val="2"/>
                <w:sz w:val="24"/>
                <w:szCs w:val="24"/>
              </w:rPr>
            </w:pPr>
          </w:p>
        </w:tc>
        <w:tc>
          <w:tcPr>
            <w:tcW w:w="978" w:type="dxa"/>
            <w:vMerge w:val="continue"/>
            <w:tcBorders>
              <w:left w:val="nil"/>
              <w:bottom w:val="single" w:color="auto" w:sz="4" w:space="0"/>
              <w:right w:val="single" w:color="auto" w:sz="4" w:space="0"/>
            </w:tcBorders>
            <w:vAlign w:val="center"/>
          </w:tcPr>
          <w:p w14:paraId="045DE5EC">
            <w:pPr>
              <w:pageBreakBefore w:val="0"/>
              <w:kinsoku/>
              <w:wordWrap w:val="0"/>
              <w:overflowPunct/>
              <w:topLinePunct w:val="0"/>
              <w:bidi w:val="0"/>
              <w:spacing w:line="600" w:lineRule="exact"/>
              <w:jc w:val="center"/>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2B922DA6">
            <w:pPr>
              <w:pageBreakBefore w:val="0"/>
              <w:widowControl w:val="0"/>
              <w:kinsoku/>
              <w:wordWrap w:val="0"/>
              <w:overflowPunct/>
              <w:topLinePunct w:val="0"/>
              <w:bidi w:val="0"/>
              <w:spacing w:line="600" w:lineRule="exact"/>
              <w:jc w:val="center"/>
              <w:rPr>
                <w:rFonts w:ascii="宋体" w:hAnsi="宋体" w:cs="宋体"/>
                <w:kern w:val="2"/>
                <w:sz w:val="24"/>
                <w:szCs w:val="24"/>
              </w:rPr>
            </w:pPr>
            <w:r>
              <w:rPr>
                <w:rFonts w:ascii="宋体" w:hAnsi="宋体" w:cs="宋体"/>
                <w:kern w:val="2"/>
                <w:sz w:val="24"/>
                <w:szCs w:val="24"/>
              </w:rPr>
              <w:t>磋商报价</w:t>
            </w:r>
          </w:p>
        </w:tc>
        <w:tc>
          <w:tcPr>
            <w:tcW w:w="6450" w:type="dxa"/>
            <w:tcBorders>
              <w:top w:val="single" w:color="auto" w:sz="4" w:space="0"/>
              <w:left w:val="nil"/>
              <w:bottom w:val="single" w:color="auto" w:sz="4" w:space="0"/>
              <w:right w:val="single" w:color="auto" w:sz="4" w:space="0"/>
            </w:tcBorders>
            <w:vAlign w:val="center"/>
          </w:tcPr>
          <w:p w14:paraId="273AF395">
            <w:pPr>
              <w:pageBreakBefore w:val="0"/>
              <w:tabs>
                <w:tab w:val="left" w:pos="9720"/>
              </w:tabs>
              <w:kinsoku/>
              <w:wordWrap w:val="0"/>
              <w:overflowPunct/>
              <w:topLinePunct w:val="0"/>
              <w:autoSpaceDE w:val="0"/>
              <w:autoSpaceDN w:val="0"/>
              <w:bidi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sz w:val="24"/>
                <w:szCs w:val="24"/>
              </w:rPr>
              <w:t>供应商磋商总报价不得高于采购人公布的招标控制价，否则其投标将予否决。</w:t>
            </w:r>
          </w:p>
        </w:tc>
      </w:tr>
    </w:tbl>
    <w:p w14:paraId="7E757D68">
      <w:pPr>
        <w:pageBreakBefore w:val="0"/>
        <w:widowControl w:val="0"/>
        <w:kinsoku/>
        <w:wordWrap w:val="0"/>
        <w:overflowPunct/>
        <w:topLinePunct w:val="0"/>
        <w:autoSpaceDE w:val="0"/>
        <w:autoSpaceDN w:val="0"/>
        <w:bidi w:val="0"/>
        <w:adjustRightInd w:val="0"/>
        <w:spacing w:line="360" w:lineRule="auto"/>
        <w:ind w:firstLine="464" w:firstLineChars="200"/>
        <w:jc w:val="both"/>
        <w:rPr>
          <w:rFonts w:hint="eastAsia" w:ascii="宋体" w:hAnsi="宋体" w:eastAsia="宋体" w:cs="宋体"/>
          <w:spacing w:val="-4"/>
          <w:sz w:val="24"/>
          <w:szCs w:val="24"/>
        </w:rPr>
      </w:pPr>
      <w:bookmarkStart w:id="240" w:name="_Toc17450"/>
      <w:r>
        <w:rPr>
          <w:rFonts w:hint="eastAsia" w:ascii="宋体" w:hAnsi="宋体" w:eastAsia="宋体" w:cs="宋体"/>
          <w:spacing w:val="-4"/>
          <w:sz w:val="24"/>
          <w:szCs w:val="24"/>
        </w:rPr>
        <w:t>1. 磋商文件的评审、比较和否决</w:t>
      </w:r>
      <w:bookmarkEnd w:id="240"/>
    </w:p>
    <w:p w14:paraId="4094ED16">
      <w:pPr>
        <w:pageBreakBefore w:val="0"/>
        <w:widowControl w:val="0"/>
        <w:kinsoku/>
        <w:wordWrap w:val="0"/>
        <w:overflowPunct/>
        <w:topLinePunct w:val="0"/>
        <w:autoSpaceDE w:val="0"/>
        <w:autoSpaceDN w:val="0"/>
        <w:bidi w:val="0"/>
        <w:adjustRightInd w:val="0"/>
        <w:spacing w:line="360" w:lineRule="auto"/>
        <w:ind w:firstLine="464" w:firstLineChars="200"/>
        <w:jc w:val="both"/>
        <w:rPr>
          <w:rFonts w:hint="eastAsia" w:ascii="宋体" w:hAnsi="宋体" w:eastAsia="宋体" w:cs="宋体"/>
          <w:spacing w:val="-4"/>
          <w:sz w:val="24"/>
          <w:szCs w:val="24"/>
        </w:rPr>
      </w:pPr>
      <w:r>
        <w:rPr>
          <w:rFonts w:hint="eastAsia" w:ascii="宋体" w:hAnsi="宋体" w:eastAsia="宋体" w:cs="宋体"/>
          <w:spacing w:val="-4"/>
          <w:sz w:val="24"/>
          <w:szCs w:val="24"/>
        </w:rPr>
        <w:t>1.1磋商小组将按照竞争性磋商文件的规定，仅对在实质上响应竞争性磋商文件要求的磋商文件进行评估和比较。</w:t>
      </w:r>
    </w:p>
    <w:p w14:paraId="2C503FF2">
      <w:pPr>
        <w:pageBreakBefore w:val="0"/>
        <w:widowControl w:val="0"/>
        <w:kinsoku/>
        <w:wordWrap w:val="0"/>
        <w:overflowPunct/>
        <w:topLinePunct w:val="0"/>
        <w:autoSpaceDE w:val="0"/>
        <w:autoSpaceDN w:val="0"/>
        <w:bidi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eastAsia="宋体" w:cs="宋体"/>
          <w:spacing w:val="-4"/>
          <w:sz w:val="24"/>
          <w:szCs w:val="24"/>
        </w:rPr>
        <w:t>1.2根据相关法律法规及有关招磋商文件规</w:t>
      </w:r>
      <w:r>
        <w:rPr>
          <w:rFonts w:hint="eastAsia" w:ascii="宋体" w:hAnsi="宋体" w:cs="宋体"/>
          <w:spacing w:val="-4"/>
          <w:sz w:val="24"/>
          <w:szCs w:val="24"/>
        </w:rPr>
        <w:t>定，结合本项目具体情况，制定本次采购评标办法。并按照“公平、公正、科学、择优”的原则进行评标。采用百分制综合评估法进行评比。</w:t>
      </w:r>
    </w:p>
    <w:p w14:paraId="19DD5E06">
      <w:pPr>
        <w:pageBreakBefore w:val="0"/>
        <w:widowControl w:val="0"/>
        <w:kinsoku/>
        <w:wordWrap w:val="0"/>
        <w:overflowPunct/>
        <w:topLinePunct w:val="0"/>
        <w:autoSpaceDE w:val="0"/>
        <w:autoSpaceDN w:val="0"/>
        <w:bidi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1.3在评审过程中，磋商小组可以以书面形式要求磋商供应商就磋商文件中含义不明确的内容进行书面说明并提供相关材料；凡遇到竞争性磋商文件中无界定或界定不清、前后不一致使评委会成员意见有分歧且又难于协商一致的问题，均由评委会予以表决，获半数以上同意的即为通过，未获半数同意的即为否决。</w:t>
      </w:r>
    </w:p>
    <w:p w14:paraId="6C4E366B">
      <w:pPr>
        <w:pageBreakBefore w:val="0"/>
        <w:widowControl w:val="0"/>
        <w:kinsoku/>
        <w:wordWrap w:val="0"/>
        <w:overflowPunct/>
        <w:topLinePunct w:val="0"/>
        <w:autoSpaceDE w:val="0"/>
        <w:autoSpaceDN w:val="0"/>
        <w:bidi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1.4评标时，磋商报价是评标的重要依据，但不是唯一依据，采购人不承诺将合同授予报价最低或最高的磋商供应商。</w:t>
      </w:r>
    </w:p>
    <w:p w14:paraId="55B86244">
      <w:pPr>
        <w:pageBreakBefore w:val="0"/>
        <w:widowControl w:val="0"/>
        <w:kinsoku/>
        <w:wordWrap w:val="0"/>
        <w:overflowPunct/>
        <w:topLinePunct w:val="0"/>
        <w:autoSpaceDE w:val="0"/>
        <w:autoSpaceDN w:val="0"/>
        <w:bidi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1.5磋商小组依据竞争性磋商文件中规定的评标标准和方法，对磋商文件进行评审和比较，向采购人提出书面评标报告，并推荐合格的中标候选人。采购人根据磋商小组提出的书面评标报告和推荐的中标候选人按序确定中标人。</w:t>
      </w:r>
    </w:p>
    <w:p w14:paraId="1584DAEF">
      <w:pPr>
        <w:pageBreakBefore w:val="0"/>
        <w:widowControl w:val="0"/>
        <w:kinsoku/>
        <w:wordWrap w:val="0"/>
        <w:overflowPunct/>
        <w:topLinePunct w:val="0"/>
        <w:autoSpaceDE w:val="0"/>
        <w:autoSpaceDN w:val="0"/>
        <w:bidi w:val="0"/>
        <w:adjustRightInd w:val="0"/>
        <w:spacing w:line="360" w:lineRule="auto"/>
        <w:ind w:firstLine="464" w:firstLineChars="200"/>
        <w:jc w:val="both"/>
        <w:rPr>
          <w:rFonts w:hint="eastAsia" w:ascii="宋体" w:hAnsi="宋体" w:cs="宋体"/>
          <w:spacing w:val="-4"/>
          <w:sz w:val="24"/>
          <w:szCs w:val="24"/>
        </w:rPr>
      </w:pPr>
      <w:bookmarkStart w:id="241" w:name="_Toc29771"/>
      <w:bookmarkStart w:id="242" w:name="_Toc4591"/>
      <w:r>
        <w:rPr>
          <w:rFonts w:hint="eastAsia" w:ascii="宋体" w:hAnsi="宋体" w:cs="宋体"/>
          <w:spacing w:val="-4"/>
          <w:sz w:val="24"/>
          <w:szCs w:val="24"/>
        </w:rPr>
        <w:t>2. 评审程序</w:t>
      </w:r>
      <w:bookmarkEnd w:id="241"/>
      <w:bookmarkEnd w:id="242"/>
    </w:p>
    <w:p w14:paraId="39A0968F">
      <w:pPr>
        <w:pageBreakBefore w:val="0"/>
        <w:widowControl w:val="0"/>
        <w:kinsoku/>
        <w:wordWrap w:val="0"/>
        <w:overflowPunct/>
        <w:topLinePunct w:val="0"/>
        <w:autoSpaceDE w:val="0"/>
        <w:autoSpaceDN w:val="0"/>
        <w:bidi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2.1 资格审查</w:t>
      </w:r>
    </w:p>
    <w:p w14:paraId="3BE2FDF8">
      <w:pPr>
        <w:pageBreakBefore w:val="0"/>
        <w:widowControl w:val="0"/>
        <w:kinsoku/>
        <w:wordWrap w:val="0"/>
        <w:overflowPunct/>
        <w:topLinePunct w:val="0"/>
        <w:autoSpaceDE w:val="0"/>
        <w:autoSpaceDN w:val="0"/>
        <w:bidi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本项目采用资格后审</w:t>
      </w:r>
    </w:p>
    <w:p w14:paraId="670DCED0">
      <w:pPr>
        <w:pageBreakBefore w:val="0"/>
        <w:widowControl w:val="0"/>
        <w:kinsoku/>
        <w:wordWrap w:val="0"/>
        <w:overflowPunct/>
        <w:topLinePunct w:val="0"/>
        <w:autoSpaceDE w:val="0"/>
        <w:autoSpaceDN w:val="0"/>
        <w:bidi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磋商小组按照竞争性磋商文件供应商资格要求，对磋商供应商的磋商文件进行初步评审，有一项不符合的，视为未通过初步审查，按废标处理，符合的进入下一评标程序。</w:t>
      </w:r>
    </w:p>
    <w:p w14:paraId="5ADFA295">
      <w:pPr>
        <w:pageBreakBefore w:val="0"/>
        <w:widowControl w:val="0"/>
        <w:kinsoku/>
        <w:wordWrap w:val="0"/>
        <w:overflowPunct/>
        <w:topLinePunct w:val="0"/>
        <w:autoSpaceDE w:val="0"/>
        <w:autoSpaceDN w:val="0"/>
        <w:bidi w:val="0"/>
        <w:adjustRightInd w:val="0"/>
        <w:spacing w:line="360" w:lineRule="auto"/>
        <w:ind w:firstLine="464" w:firstLineChars="200"/>
        <w:jc w:val="both"/>
        <w:rPr>
          <w:rFonts w:hint="eastAsia" w:ascii="宋体" w:hAnsi="宋体" w:cs="宋体"/>
          <w:spacing w:val="-4"/>
          <w:sz w:val="24"/>
          <w:szCs w:val="24"/>
        </w:rPr>
      </w:pPr>
      <w:bookmarkStart w:id="243" w:name="_Toc3412"/>
      <w:bookmarkStart w:id="244" w:name="_Toc20772"/>
      <w:r>
        <w:rPr>
          <w:rFonts w:hint="eastAsia" w:ascii="宋体" w:hAnsi="宋体" w:cs="宋体"/>
          <w:spacing w:val="-4"/>
          <w:sz w:val="24"/>
          <w:szCs w:val="24"/>
        </w:rPr>
        <w:t>3.评标具体方法和标准</w:t>
      </w:r>
      <w:bookmarkEnd w:id="243"/>
      <w:bookmarkEnd w:id="244"/>
    </w:p>
    <w:p w14:paraId="4A9ED0AA">
      <w:pPr>
        <w:pageBreakBefore w:val="0"/>
        <w:widowControl w:val="0"/>
        <w:kinsoku/>
        <w:wordWrap w:val="0"/>
        <w:overflowPunct/>
        <w:topLinePunct w:val="0"/>
        <w:autoSpaceDE w:val="0"/>
        <w:autoSpaceDN w:val="0"/>
        <w:bidi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磋商小组根据评标原则和办法对所有磋商文件进行集中审核，分别评价。</w:t>
      </w:r>
    </w:p>
    <w:p w14:paraId="34192C15">
      <w:pPr>
        <w:pageBreakBefore w:val="0"/>
        <w:widowControl w:val="0"/>
        <w:kinsoku/>
        <w:wordWrap w:val="0"/>
        <w:overflowPunct/>
        <w:topLinePunct w:val="0"/>
        <w:autoSpaceDE w:val="0"/>
        <w:autoSpaceDN w:val="0"/>
        <w:bidi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评审因素：首先应对投标企业的资格文件进行审查，不能通过初步审查的，其投标文件不再评审，通过初步审查的，其投标进入以下评标程序。</w:t>
      </w:r>
    </w:p>
    <w:p w14:paraId="3A00D157">
      <w:pPr>
        <w:pageBreakBefore w:val="0"/>
        <w:kinsoku/>
        <w:wordWrap w:val="0"/>
        <w:overflowPunct/>
        <w:topLinePunct w:val="0"/>
        <w:bidi w:val="0"/>
        <w:rPr>
          <w:rFonts w:ascii="宋体" w:hAnsi="宋体" w:cs="宋体"/>
          <w:b/>
          <w:bCs/>
          <w:sz w:val="24"/>
          <w:szCs w:val="24"/>
        </w:rPr>
      </w:pPr>
      <w:bookmarkStart w:id="245" w:name="_Toc22971"/>
      <w:bookmarkStart w:id="246" w:name="_Toc15290"/>
      <w:r>
        <w:rPr>
          <w:rFonts w:hint="eastAsia" w:ascii="宋体" w:hAnsi="宋体" w:cs="宋体"/>
          <w:b/>
          <w:bCs/>
          <w:sz w:val="24"/>
          <w:szCs w:val="24"/>
        </w:rPr>
        <w:br w:type="page"/>
      </w:r>
    </w:p>
    <w:p w14:paraId="6AB7A98C">
      <w:pPr>
        <w:pStyle w:val="16"/>
        <w:pageBreakBefore w:val="0"/>
        <w:kinsoku/>
        <w:wordWrap w:val="0"/>
        <w:overflowPunct/>
        <w:topLinePunct w:val="0"/>
        <w:bidi w:val="0"/>
        <w:spacing w:after="0" w:line="600" w:lineRule="exact"/>
        <w:ind w:left="400" w:firstLine="3132" w:firstLineChars="1300"/>
        <w:jc w:val="both"/>
        <w:outlineLvl w:val="1"/>
        <w:rPr>
          <w:rFonts w:ascii="宋体" w:hAnsi="宋体" w:cs="宋体"/>
          <w:b/>
          <w:bCs/>
          <w:sz w:val="24"/>
          <w:szCs w:val="24"/>
        </w:rPr>
      </w:pPr>
      <w:r>
        <w:rPr>
          <w:rFonts w:hint="eastAsia" w:ascii="宋体" w:hAnsi="宋体" w:cs="宋体"/>
          <w:b/>
          <w:bCs/>
          <w:sz w:val="24"/>
          <w:szCs w:val="24"/>
        </w:rPr>
        <w:t>综合评分法评标办法</w:t>
      </w:r>
      <w:bookmarkEnd w:id="245"/>
      <w:bookmarkEnd w:id="246"/>
    </w:p>
    <w:tbl>
      <w:tblPr>
        <w:tblStyle w:val="17"/>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348"/>
        <w:gridCol w:w="7144"/>
      </w:tblGrid>
      <w:tr w14:paraId="7800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80" w:type="dxa"/>
            <w:gridSpan w:val="2"/>
            <w:tcBorders>
              <w:top w:val="single" w:color="auto" w:sz="4" w:space="0"/>
              <w:left w:val="single" w:color="auto" w:sz="4" w:space="0"/>
              <w:bottom w:val="single" w:color="auto" w:sz="4" w:space="0"/>
              <w:right w:val="single" w:color="auto" w:sz="4" w:space="0"/>
            </w:tcBorders>
            <w:noWrap w:val="0"/>
            <w:vAlign w:val="center"/>
          </w:tcPr>
          <w:p w14:paraId="7F19CC90">
            <w:pPr>
              <w:pageBreakBefore w:val="0"/>
              <w:widowControl/>
              <w:kinsoku/>
              <w:wordWrap w:val="0"/>
              <w:overflowPunct/>
              <w:topLinePunct w:val="0"/>
              <w:autoSpaceDE w:val="0"/>
              <w:autoSpaceDN w:val="0"/>
              <w:bidi w:val="0"/>
              <w:spacing w:line="360" w:lineRule="auto"/>
              <w:jc w:val="center"/>
              <w:rPr>
                <w:rFonts w:ascii="宋体" w:hAnsi="宋体" w:eastAsia="宋体" w:cs="宋体"/>
                <w:kern w:val="0"/>
                <w:sz w:val="24"/>
              </w:rPr>
            </w:pPr>
            <w:r>
              <w:rPr>
                <w:rFonts w:hint="eastAsia" w:ascii="宋体" w:hAnsi="宋体" w:eastAsia="宋体" w:cs="宋体"/>
                <w:kern w:val="0"/>
                <w:sz w:val="24"/>
              </w:rPr>
              <w:t>条款内容</w:t>
            </w:r>
          </w:p>
        </w:tc>
        <w:tc>
          <w:tcPr>
            <w:tcW w:w="7144" w:type="dxa"/>
            <w:tcBorders>
              <w:top w:val="single" w:color="auto" w:sz="4" w:space="0"/>
              <w:left w:val="nil"/>
              <w:bottom w:val="single" w:color="auto" w:sz="4" w:space="0"/>
              <w:right w:val="single" w:color="auto" w:sz="4" w:space="0"/>
            </w:tcBorders>
            <w:noWrap w:val="0"/>
            <w:vAlign w:val="center"/>
          </w:tcPr>
          <w:p w14:paraId="75C91FFC">
            <w:pPr>
              <w:pageBreakBefore w:val="0"/>
              <w:widowControl/>
              <w:kinsoku/>
              <w:wordWrap w:val="0"/>
              <w:overflowPunct/>
              <w:topLinePunct w:val="0"/>
              <w:autoSpaceDE w:val="0"/>
              <w:autoSpaceDN w:val="0"/>
              <w:bidi w:val="0"/>
              <w:spacing w:line="360" w:lineRule="auto"/>
              <w:jc w:val="center"/>
              <w:rPr>
                <w:rFonts w:ascii="宋体" w:hAnsi="宋体" w:eastAsia="宋体" w:cs="宋体"/>
                <w:kern w:val="0"/>
                <w:sz w:val="24"/>
              </w:rPr>
            </w:pPr>
            <w:r>
              <w:rPr>
                <w:rFonts w:hint="eastAsia" w:ascii="宋体" w:hAnsi="宋体" w:eastAsia="宋体" w:cs="宋体"/>
                <w:sz w:val="24"/>
              </w:rPr>
              <w:t>编列内容</w:t>
            </w:r>
          </w:p>
        </w:tc>
      </w:tr>
      <w:tr w14:paraId="06D4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2"/>
            <w:tcBorders>
              <w:top w:val="single" w:color="auto" w:sz="4" w:space="0"/>
              <w:left w:val="single" w:color="auto" w:sz="4" w:space="0"/>
              <w:bottom w:val="single" w:color="auto" w:sz="4" w:space="0"/>
              <w:right w:val="single" w:color="auto" w:sz="4" w:space="0"/>
            </w:tcBorders>
            <w:noWrap w:val="0"/>
            <w:vAlign w:val="center"/>
          </w:tcPr>
          <w:p w14:paraId="54885AD9">
            <w:pPr>
              <w:pageBreakBefore w:val="0"/>
              <w:widowControl/>
              <w:kinsoku/>
              <w:wordWrap w:val="0"/>
              <w:overflowPunct/>
              <w:topLinePunct w:val="0"/>
              <w:bidi w:val="0"/>
              <w:spacing w:line="360" w:lineRule="auto"/>
              <w:jc w:val="center"/>
              <w:rPr>
                <w:rFonts w:ascii="宋体" w:hAnsi="宋体" w:eastAsia="宋体" w:cs="宋体"/>
                <w:sz w:val="24"/>
              </w:rPr>
            </w:pPr>
            <w:r>
              <w:rPr>
                <w:rFonts w:hint="eastAsia" w:ascii="宋体" w:hAnsi="宋体" w:eastAsia="宋体" w:cs="宋体"/>
                <w:sz w:val="24"/>
              </w:rPr>
              <w:t>分值构成（总分100分）</w:t>
            </w:r>
          </w:p>
        </w:tc>
        <w:tc>
          <w:tcPr>
            <w:tcW w:w="7144" w:type="dxa"/>
            <w:tcBorders>
              <w:top w:val="single" w:color="auto" w:sz="4" w:space="0"/>
              <w:left w:val="nil"/>
              <w:bottom w:val="single" w:color="auto" w:sz="4" w:space="0"/>
              <w:right w:val="single" w:color="auto" w:sz="4" w:space="0"/>
            </w:tcBorders>
            <w:noWrap w:val="0"/>
            <w:vAlign w:val="center"/>
          </w:tcPr>
          <w:p w14:paraId="6690E884">
            <w:pPr>
              <w:pageBreakBefore w:val="0"/>
              <w:widowControl/>
              <w:kinsoku/>
              <w:wordWrap w:val="0"/>
              <w:overflowPunct/>
              <w:topLinePunct w:val="0"/>
              <w:bidi w:val="0"/>
              <w:adjustRightInd w:val="0"/>
              <w:snapToGrid w:val="0"/>
              <w:spacing w:line="360" w:lineRule="auto"/>
              <w:jc w:val="left"/>
              <w:rPr>
                <w:rFonts w:ascii="宋体" w:hAnsi="宋体" w:eastAsia="宋体" w:cs="宋体"/>
                <w:sz w:val="24"/>
              </w:rPr>
            </w:pPr>
            <w:r>
              <w:rPr>
                <w:rFonts w:hint="eastAsia" w:ascii="宋体" w:hAnsi="宋体" w:eastAsia="宋体" w:cs="宋体"/>
                <w:sz w:val="24"/>
              </w:rPr>
              <w:t>商务部分：30分</w:t>
            </w:r>
          </w:p>
          <w:p w14:paraId="075CA978">
            <w:pPr>
              <w:pageBreakBefore w:val="0"/>
              <w:widowControl/>
              <w:kinsoku/>
              <w:wordWrap w:val="0"/>
              <w:overflowPunct/>
              <w:topLinePunct w:val="0"/>
              <w:bidi w:val="0"/>
              <w:adjustRightInd w:val="0"/>
              <w:snapToGrid w:val="0"/>
              <w:spacing w:line="360" w:lineRule="auto"/>
              <w:jc w:val="left"/>
              <w:rPr>
                <w:rFonts w:ascii="宋体" w:hAnsi="宋体" w:eastAsia="宋体" w:cs="宋体"/>
                <w:sz w:val="24"/>
              </w:rPr>
            </w:pPr>
            <w:r>
              <w:rPr>
                <w:rFonts w:hint="eastAsia" w:ascii="宋体" w:hAnsi="宋体" w:eastAsia="宋体" w:cs="宋体"/>
                <w:sz w:val="24"/>
              </w:rPr>
              <w:t>技术部分：50分</w:t>
            </w:r>
          </w:p>
          <w:p w14:paraId="3F134DF4">
            <w:pPr>
              <w:pageBreakBefore w:val="0"/>
              <w:widowControl/>
              <w:kinsoku/>
              <w:wordWrap w:val="0"/>
              <w:overflowPunct/>
              <w:topLinePunct w:val="0"/>
              <w:bidi w:val="0"/>
              <w:adjustRightInd w:val="0"/>
              <w:snapToGrid w:val="0"/>
              <w:spacing w:line="360" w:lineRule="auto"/>
              <w:jc w:val="left"/>
              <w:rPr>
                <w:rFonts w:ascii="宋体" w:hAnsi="宋体" w:eastAsia="宋体" w:cs="宋体"/>
                <w:sz w:val="24"/>
              </w:rPr>
            </w:pPr>
            <w:r>
              <w:rPr>
                <w:rFonts w:hint="eastAsia" w:ascii="宋体" w:hAnsi="宋体" w:eastAsia="宋体" w:cs="宋体"/>
                <w:sz w:val="24"/>
              </w:rPr>
              <w:t>综合部分：20分</w:t>
            </w:r>
          </w:p>
        </w:tc>
      </w:tr>
      <w:tr w14:paraId="1CEC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2"/>
            <w:tcBorders>
              <w:top w:val="single" w:color="auto" w:sz="4" w:space="0"/>
              <w:left w:val="single" w:color="auto" w:sz="4" w:space="0"/>
              <w:bottom w:val="single" w:color="auto" w:sz="4" w:space="0"/>
              <w:right w:val="single" w:color="auto" w:sz="4" w:space="0"/>
            </w:tcBorders>
            <w:noWrap w:val="0"/>
            <w:vAlign w:val="center"/>
          </w:tcPr>
          <w:p w14:paraId="2A999D11">
            <w:pPr>
              <w:pageBreakBefore w:val="0"/>
              <w:widowControl/>
              <w:kinsoku/>
              <w:wordWrap w:val="0"/>
              <w:overflowPunct/>
              <w:topLinePunct w:val="0"/>
              <w:bidi w:val="0"/>
              <w:spacing w:line="360" w:lineRule="auto"/>
              <w:jc w:val="center"/>
              <w:textAlignment w:val="baseline"/>
              <w:rPr>
                <w:rFonts w:ascii="宋体" w:hAnsi="宋体" w:eastAsia="宋体" w:cs="宋体"/>
                <w:sz w:val="24"/>
              </w:rPr>
            </w:pPr>
            <w:r>
              <w:rPr>
                <w:rFonts w:hint="eastAsia" w:ascii="宋体" w:hAnsi="宋体" w:eastAsia="宋体" w:cs="宋体"/>
                <w:sz w:val="24"/>
              </w:rPr>
              <w:t>招标采购预算</w:t>
            </w:r>
          </w:p>
        </w:tc>
        <w:tc>
          <w:tcPr>
            <w:tcW w:w="7144" w:type="dxa"/>
            <w:tcBorders>
              <w:top w:val="single" w:color="auto" w:sz="4" w:space="0"/>
              <w:left w:val="nil"/>
              <w:bottom w:val="single" w:color="auto" w:sz="4" w:space="0"/>
              <w:right w:val="single" w:color="auto" w:sz="4" w:space="0"/>
            </w:tcBorders>
            <w:noWrap w:val="0"/>
            <w:vAlign w:val="center"/>
          </w:tcPr>
          <w:p w14:paraId="1BBC6CDE">
            <w:pPr>
              <w:pageBreakBefore w:val="0"/>
              <w:widowControl/>
              <w:kinsoku/>
              <w:wordWrap w:val="0"/>
              <w:overflowPunct/>
              <w:topLinePunct w:val="0"/>
              <w:bidi w:val="0"/>
              <w:spacing w:line="360" w:lineRule="auto"/>
              <w:textAlignment w:val="baseline"/>
              <w:rPr>
                <w:rFonts w:ascii="宋体" w:hAnsi="宋体" w:eastAsia="宋体" w:cs="宋体"/>
                <w:sz w:val="24"/>
              </w:rPr>
            </w:pPr>
            <w:r>
              <w:rPr>
                <w:rFonts w:hint="eastAsia" w:ascii="宋体" w:hAnsi="宋体" w:eastAsia="宋体" w:cs="宋体"/>
                <w:sz w:val="24"/>
              </w:rPr>
              <w:t>本项目设招标采购预算，响应人的总报价超出采购预算的</w:t>
            </w:r>
            <w:r>
              <w:rPr>
                <w:rFonts w:hint="eastAsia" w:ascii="宋体" w:hAnsi="宋体" w:eastAsia="宋体" w:cs="宋体"/>
                <w:bCs/>
                <w:sz w:val="24"/>
              </w:rPr>
              <w:t>采购人不予接受且</w:t>
            </w:r>
            <w:r>
              <w:rPr>
                <w:rFonts w:hint="eastAsia" w:ascii="宋体" w:hAnsi="宋体" w:eastAsia="宋体" w:cs="宋体"/>
                <w:sz w:val="24"/>
              </w:rPr>
              <w:t>按无效标处理。</w:t>
            </w:r>
          </w:p>
        </w:tc>
      </w:tr>
      <w:tr w14:paraId="7B2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2"/>
            <w:tcBorders>
              <w:top w:val="single" w:color="auto" w:sz="4" w:space="0"/>
              <w:left w:val="single" w:color="auto" w:sz="4" w:space="0"/>
              <w:bottom w:val="single" w:color="auto" w:sz="4" w:space="0"/>
              <w:right w:val="single" w:color="auto" w:sz="4" w:space="0"/>
            </w:tcBorders>
            <w:noWrap w:val="0"/>
            <w:vAlign w:val="center"/>
          </w:tcPr>
          <w:p w14:paraId="606EDBF8">
            <w:pPr>
              <w:pageBreakBefore w:val="0"/>
              <w:widowControl/>
              <w:kinsoku/>
              <w:wordWrap w:val="0"/>
              <w:overflowPunct/>
              <w:topLinePunct w:val="0"/>
              <w:bidi w:val="0"/>
              <w:spacing w:line="360" w:lineRule="auto"/>
              <w:jc w:val="center"/>
              <w:textAlignment w:val="baseline"/>
              <w:rPr>
                <w:rFonts w:ascii="宋体" w:hAnsi="宋体" w:eastAsia="宋体" w:cs="宋体"/>
                <w:sz w:val="24"/>
              </w:rPr>
            </w:pPr>
            <w:r>
              <w:rPr>
                <w:rFonts w:hint="eastAsia" w:ascii="宋体" w:hAnsi="宋体" w:eastAsia="宋体" w:cs="宋体"/>
                <w:sz w:val="24"/>
              </w:rPr>
              <w:t>评标基准值计算</w:t>
            </w:r>
          </w:p>
          <w:p w14:paraId="32517C21">
            <w:pPr>
              <w:pageBreakBefore w:val="0"/>
              <w:widowControl/>
              <w:kinsoku/>
              <w:wordWrap w:val="0"/>
              <w:overflowPunct/>
              <w:topLinePunct w:val="0"/>
              <w:bidi w:val="0"/>
              <w:spacing w:line="360" w:lineRule="auto"/>
              <w:jc w:val="center"/>
              <w:textAlignment w:val="baseline"/>
              <w:rPr>
                <w:rFonts w:ascii="宋体" w:hAnsi="宋体" w:eastAsia="宋体" w:cs="宋体"/>
                <w:sz w:val="24"/>
              </w:rPr>
            </w:pPr>
            <w:r>
              <w:rPr>
                <w:rFonts w:hint="eastAsia" w:ascii="宋体" w:hAnsi="宋体" w:eastAsia="宋体" w:cs="宋体"/>
                <w:sz w:val="24"/>
              </w:rPr>
              <w:t>方法</w:t>
            </w:r>
          </w:p>
        </w:tc>
        <w:tc>
          <w:tcPr>
            <w:tcW w:w="7144" w:type="dxa"/>
            <w:tcBorders>
              <w:top w:val="single" w:color="auto" w:sz="4" w:space="0"/>
              <w:left w:val="nil"/>
              <w:bottom w:val="single" w:color="auto" w:sz="4" w:space="0"/>
              <w:right w:val="single" w:color="auto" w:sz="4" w:space="0"/>
            </w:tcBorders>
            <w:noWrap w:val="0"/>
            <w:vAlign w:val="center"/>
          </w:tcPr>
          <w:p w14:paraId="529B5F3E">
            <w:pPr>
              <w:pageBreakBefore w:val="0"/>
              <w:widowControl/>
              <w:kinsoku/>
              <w:wordWrap w:val="0"/>
              <w:overflowPunct/>
              <w:topLinePunct w:val="0"/>
              <w:bidi w:val="0"/>
              <w:spacing w:line="360" w:lineRule="auto"/>
              <w:textAlignment w:val="baseline"/>
              <w:rPr>
                <w:rFonts w:ascii="宋体" w:hAnsi="宋体" w:eastAsia="宋体" w:cs="宋体"/>
                <w:sz w:val="24"/>
              </w:rPr>
            </w:pPr>
            <w:r>
              <w:rPr>
                <w:rFonts w:hint="eastAsia" w:ascii="宋体" w:hAnsi="宋体" w:eastAsia="宋体" w:cs="宋体"/>
                <w:sz w:val="24"/>
              </w:rPr>
              <w:t>1、低于采购预算且通过初步评审的有效响应人报价为有效报价。</w:t>
            </w:r>
          </w:p>
          <w:p w14:paraId="3089E505">
            <w:pPr>
              <w:pageBreakBefore w:val="0"/>
              <w:widowControl/>
              <w:kinsoku/>
              <w:wordWrap w:val="0"/>
              <w:overflowPunct/>
              <w:topLinePunct w:val="0"/>
              <w:bidi w:val="0"/>
              <w:spacing w:line="360" w:lineRule="auto"/>
              <w:textAlignment w:val="baseline"/>
              <w:rPr>
                <w:rFonts w:ascii="宋体" w:hAnsi="宋体" w:eastAsia="宋体" w:cs="宋体"/>
                <w:sz w:val="24"/>
              </w:rPr>
            </w:pPr>
            <w:r>
              <w:rPr>
                <w:rFonts w:hint="eastAsia" w:ascii="宋体" w:hAnsi="宋体" w:eastAsia="宋体" w:cs="宋体"/>
                <w:sz w:val="24"/>
              </w:rPr>
              <w:t>2、评标基准价=满足招标文件要求的最低有效报价为基准价</w:t>
            </w:r>
          </w:p>
        </w:tc>
      </w:tr>
      <w:tr w14:paraId="06A1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tcBorders>
              <w:top w:val="single" w:color="auto" w:sz="4" w:space="0"/>
              <w:left w:val="single" w:color="auto" w:sz="4" w:space="0"/>
              <w:bottom w:val="single" w:color="auto" w:sz="4" w:space="0"/>
              <w:right w:val="single" w:color="auto" w:sz="4" w:space="0"/>
            </w:tcBorders>
            <w:noWrap w:val="0"/>
            <w:vAlign w:val="center"/>
          </w:tcPr>
          <w:p w14:paraId="6396D2F3">
            <w:pPr>
              <w:pageBreakBefore w:val="0"/>
              <w:widowControl/>
              <w:kinsoku/>
              <w:wordWrap w:val="0"/>
              <w:overflowPunct/>
              <w:topLinePunct w:val="0"/>
              <w:autoSpaceDE w:val="0"/>
              <w:autoSpaceDN w:val="0"/>
              <w:bidi w:val="0"/>
              <w:spacing w:line="360" w:lineRule="auto"/>
              <w:jc w:val="center"/>
              <w:rPr>
                <w:rFonts w:ascii="宋体" w:hAnsi="宋体" w:eastAsia="宋体" w:cs="宋体"/>
                <w:kern w:val="0"/>
                <w:sz w:val="24"/>
              </w:rPr>
            </w:pPr>
            <w:r>
              <w:rPr>
                <w:rFonts w:hint="eastAsia" w:ascii="宋体" w:hAnsi="宋体" w:eastAsia="宋体" w:cs="宋体"/>
                <w:sz w:val="24"/>
              </w:rPr>
              <w:t>评审项</w:t>
            </w:r>
          </w:p>
        </w:tc>
        <w:tc>
          <w:tcPr>
            <w:tcW w:w="1348" w:type="dxa"/>
            <w:tcBorders>
              <w:top w:val="single" w:color="auto" w:sz="4" w:space="0"/>
              <w:left w:val="nil"/>
              <w:bottom w:val="single" w:color="auto" w:sz="4" w:space="0"/>
              <w:right w:val="single" w:color="auto" w:sz="4" w:space="0"/>
            </w:tcBorders>
            <w:noWrap w:val="0"/>
            <w:vAlign w:val="center"/>
          </w:tcPr>
          <w:p w14:paraId="7429DE85">
            <w:pPr>
              <w:pageBreakBefore w:val="0"/>
              <w:widowControl/>
              <w:kinsoku/>
              <w:wordWrap w:val="0"/>
              <w:overflowPunct/>
              <w:topLinePunct w:val="0"/>
              <w:autoSpaceDE w:val="0"/>
              <w:autoSpaceDN w:val="0"/>
              <w:bidi w:val="0"/>
              <w:spacing w:line="360" w:lineRule="auto"/>
              <w:jc w:val="center"/>
              <w:rPr>
                <w:rFonts w:ascii="宋体" w:hAnsi="宋体" w:eastAsia="宋体" w:cs="宋体"/>
                <w:kern w:val="0"/>
                <w:sz w:val="24"/>
              </w:rPr>
            </w:pPr>
            <w:r>
              <w:rPr>
                <w:rFonts w:hint="eastAsia" w:ascii="宋体" w:hAnsi="宋体" w:eastAsia="宋体" w:cs="宋体"/>
                <w:sz w:val="24"/>
              </w:rPr>
              <w:t>编列内容</w:t>
            </w:r>
          </w:p>
        </w:tc>
        <w:tc>
          <w:tcPr>
            <w:tcW w:w="7144" w:type="dxa"/>
            <w:tcBorders>
              <w:top w:val="single" w:color="auto" w:sz="4" w:space="0"/>
              <w:left w:val="nil"/>
              <w:bottom w:val="single" w:color="auto" w:sz="4" w:space="0"/>
              <w:right w:val="single" w:color="auto" w:sz="4" w:space="0"/>
            </w:tcBorders>
            <w:noWrap w:val="0"/>
            <w:vAlign w:val="center"/>
          </w:tcPr>
          <w:p w14:paraId="2A81D7D5">
            <w:pPr>
              <w:pageBreakBefore w:val="0"/>
              <w:widowControl/>
              <w:kinsoku/>
              <w:wordWrap w:val="0"/>
              <w:overflowPunct/>
              <w:topLinePunct w:val="0"/>
              <w:autoSpaceDE w:val="0"/>
              <w:autoSpaceDN w:val="0"/>
              <w:bidi w:val="0"/>
              <w:spacing w:line="360" w:lineRule="auto"/>
              <w:jc w:val="center"/>
              <w:rPr>
                <w:rFonts w:ascii="宋体" w:hAnsi="宋体" w:eastAsia="宋体" w:cs="宋体"/>
                <w:kern w:val="0"/>
                <w:sz w:val="24"/>
              </w:rPr>
            </w:pPr>
            <w:r>
              <w:rPr>
                <w:rFonts w:hint="eastAsia" w:ascii="宋体" w:hAnsi="宋体" w:eastAsia="宋体" w:cs="宋体"/>
                <w:kern w:val="0"/>
                <w:sz w:val="24"/>
              </w:rPr>
              <w:t>评审方法</w:t>
            </w:r>
          </w:p>
        </w:tc>
      </w:tr>
      <w:tr w14:paraId="0422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2" w:type="dxa"/>
            <w:tcBorders>
              <w:top w:val="single" w:color="auto" w:sz="4" w:space="0"/>
              <w:left w:val="single" w:color="auto" w:sz="4" w:space="0"/>
              <w:bottom w:val="single" w:color="auto" w:sz="4" w:space="0"/>
              <w:right w:val="single" w:color="auto" w:sz="4" w:space="0"/>
            </w:tcBorders>
            <w:noWrap w:val="0"/>
            <w:vAlign w:val="center"/>
          </w:tcPr>
          <w:p w14:paraId="0F9B43C0">
            <w:pPr>
              <w:pageBreakBefore w:val="0"/>
              <w:widowControl/>
              <w:kinsoku/>
              <w:wordWrap w:val="0"/>
              <w:overflowPunct/>
              <w:topLinePunct w:val="0"/>
              <w:bidi w:val="0"/>
              <w:spacing w:line="360" w:lineRule="auto"/>
              <w:jc w:val="center"/>
              <w:rPr>
                <w:rFonts w:ascii="宋体" w:hAnsi="宋体" w:eastAsia="宋体" w:cs="宋体"/>
                <w:sz w:val="24"/>
              </w:rPr>
            </w:pPr>
            <w:r>
              <w:rPr>
                <w:rFonts w:hint="eastAsia" w:ascii="宋体" w:hAnsi="宋体" w:eastAsia="宋体" w:cs="宋体"/>
                <w:sz w:val="24"/>
              </w:rPr>
              <w:t>商务部分（30分）</w:t>
            </w:r>
          </w:p>
        </w:tc>
        <w:tc>
          <w:tcPr>
            <w:tcW w:w="1348" w:type="dxa"/>
            <w:tcBorders>
              <w:top w:val="single" w:color="auto" w:sz="4" w:space="0"/>
              <w:left w:val="nil"/>
              <w:bottom w:val="single" w:color="auto" w:sz="4" w:space="0"/>
              <w:right w:val="single" w:color="auto" w:sz="4" w:space="0"/>
            </w:tcBorders>
            <w:noWrap w:val="0"/>
            <w:vAlign w:val="center"/>
          </w:tcPr>
          <w:p w14:paraId="00CB5694">
            <w:pPr>
              <w:pageBreakBefore w:val="0"/>
              <w:widowControl/>
              <w:kinsoku/>
              <w:wordWrap w:val="0"/>
              <w:overflowPunct/>
              <w:topLinePunct w:val="0"/>
              <w:bidi w:val="0"/>
              <w:spacing w:line="360" w:lineRule="auto"/>
              <w:jc w:val="center"/>
              <w:rPr>
                <w:rFonts w:ascii="宋体" w:hAnsi="宋体" w:eastAsia="宋体" w:cs="宋体"/>
                <w:sz w:val="24"/>
              </w:rPr>
            </w:pPr>
            <w:r>
              <w:rPr>
                <w:rFonts w:hint="eastAsia" w:ascii="宋体" w:hAnsi="宋体" w:cs="宋体"/>
                <w:sz w:val="24"/>
                <w:lang w:eastAsia="zh-CN"/>
              </w:rPr>
              <w:t>磋商</w:t>
            </w:r>
            <w:r>
              <w:rPr>
                <w:rFonts w:hint="eastAsia" w:ascii="宋体" w:hAnsi="宋体" w:eastAsia="宋体" w:cs="宋体"/>
                <w:sz w:val="24"/>
              </w:rPr>
              <w:t>报价</w:t>
            </w:r>
          </w:p>
        </w:tc>
        <w:tc>
          <w:tcPr>
            <w:tcW w:w="7144" w:type="dxa"/>
            <w:tcBorders>
              <w:top w:val="single" w:color="auto" w:sz="4" w:space="0"/>
              <w:left w:val="nil"/>
              <w:bottom w:val="single" w:color="auto" w:sz="4" w:space="0"/>
              <w:right w:val="single" w:color="auto" w:sz="4" w:space="0"/>
            </w:tcBorders>
            <w:noWrap w:val="0"/>
            <w:vAlign w:val="center"/>
          </w:tcPr>
          <w:p w14:paraId="74EEA3AE">
            <w:pPr>
              <w:pageBreakBefore w:val="0"/>
              <w:widowControl/>
              <w:kinsoku/>
              <w:wordWrap w:val="0"/>
              <w:overflowPunct/>
              <w:topLinePunct w:val="0"/>
              <w:bidi w:val="0"/>
              <w:spacing w:line="360" w:lineRule="auto"/>
              <w:textAlignment w:val="baseline"/>
              <w:rPr>
                <w:rFonts w:ascii="宋体" w:hAnsi="宋体" w:eastAsia="宋体" w:cs="宋体"/>
                <w:sz w:val="24"/>
              </w:rPr>
            </w:pPr>
            <w:r>
              <w:rPr>
                <w:rFonts w:hint="eastAsia" w:ascii="宋体" w:hAnsi="宋体" w:eastAsia="宋体" w:cs="宋体"/>
                <w:sz w:val="24"/>
              </w:rPr>
              <w:t>1、价格分采用低价优先法计算，即满足磋商文件通过资格性和符合性审查且价格最低的投标报价为评标基准价，其价格得分为满分30分。</w:t>
            </w:r>
          </w:p>
          <w:p w14:paraId="4E2C6AA7">
            <w:pPr>
              <w:pageBreakBefore w:val="0"/>
              <w:widowControl/>
              <w:kinsoku/>
              <w:wordWrap w:val="0"/>
              <w:overflowPunct/>
              <w:topLinePunct w:val="0"/>
              <w:bidi w:val="0"/>
              <w:spacing w:line="360" w:lineRule="auto"/>
              <w:textAlignment w:val="baseline"/>
              <w:rPr>
                <w:rFonts w:ascii="宋体" w:hAnsi="宋体" w:eastAsia="宋体" w:cs="宋体"/>
                <w:sz w:val="24"/>
              </w:rPr>
            </w:pPr>
            <w:r>
              <w:rPr>
                <w:rFonts w:hint="eastAsia" w:ascii="宋体" w:hAnsi="宋体" w:eastAsia="宋体" w:cs="宋体"/>
                <w:sz w:val="24"/>
              </w:rPr>
              <w:t>2、其他响应人的价格分统一按照下列公式计算：</w:t>
            </w:r>
          </w:p>
          <w:p w14:paraId="3F351909">
            <w:pPr>
              <w:pageBreakBefore w:val="0"/>
              <w:widowControl/>
              <w:kinsoku/>
              <w:wordWrap w:val="0"/>
              <w:overflowPunct/>
              <w:topLinePunct w:val="0"/>
              <w:bidi w:val="0"/>
              <w:spacing w:line="360" w:lineRule="auto"/>
              <w:textAlignment w:val="baseline"/>
              <w:rPr>
                <w:rFonts w:ascii="宋体" w:hAnsi="宋体" w:eastAsia="宋体" w:cs="宋体"/>
                <w:sz w:val="24"/>
              </w:rPr>
            </w:pPr>
            <w:r>
              <w:rPr>
                <w:rFonts w:hint="eastAsia" w:ascii="宋体" w:hAnsi="宋体" w:eastAsia="宋体" w:cs="宋体"/>
                <w:sz w:val="24"/>
              </w:rPr>
              <w:t>投标报价得分=(评标基准价／投标报价)×30</w:t>
            </w:r>
          </w:p>
          <w:p w14:paraId="133400B7">
            <w:pPr>
              <w:pageBreakBefore w:val="0"/>
              <w:widowControl/>
              <w:numPr>
                <w:ilvl w:val="0"/>
                <w:numId w:val="1"/>
              </w:numPr>
              <w:kinsoku/>
              <w:wordWrap w:val="0"/>
              <w:overflowPunct/>
              <w:topLinePunct w:val="0"/>
              <w:bidi w:val="0"/>
              <w:spacing w:line="360" w:lineRule="auto"/>
              <w:textAlignment w:val="baseline"/>
              <w:rPr>
                <w:rFonts w:hint="eastAsia" w:ascii="宋体" w:hAnsi="宋体" w:eastAsia="宋体" w:cs="宋体"/>
                <w:sz w:val="24"/>
              </w:rPr>
            </w:pPr>
            <w:r>
              <w:rPr>
                <w:rFonts w:hint="eastAsia" w:ascii="宋体" w:hAnsi="宋体" w:eastAsia="宋体" w:cs="宋体"/>
                <w:sz w:val="24"/>
              </w:rPr>
              <w:t>超出采购人预算价的响应报价为无效报价。</w:t>
            </w:r>
          </w:p>
          <w:p w14:paraId="17EF6D59">
            <w:pPr>
              <w:pageBreakBefore w:val="0"/>
              <w:widowControl/>
              <w:kinsoku/>
              <w:wordWrap w:val="0"/>
              <w:overflowPunct/>
              <w:topLinePunct w:val="0"/>
              <w:bidi w:val="0"/>
              <w:spacing w:line="360" w:lineRule="auto"/>
              <w:textAlignment w:val="baseline"/>
              <w:rPr>
                <w:rFonts w:hint="eastAsia" w:ascii="宋体" w:hAnsi="宋体" w:eastAsia="宋体" w:cs="宋体"/>
                <w:sz w:val="24"/>
              </w:rPr>
            </w:pPr>
            <w:r>
              <w:rPr>
                <w:rFonts w:hint="eastAsia" w:ascii="宋体" w:hAnsi="宋体" w:eastAsia="宋体" w:cs="宋体"/>
                <w:sz w:val="24"/>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3188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2" w:type="dxa"/>
            <w:vMerge w:val="restart"/>
            <w:tcBorders>
              <w:left w:val="single" w:color="auto" w:sz="4" w:space="0"/>
              <w:right w:val="single" w:color="auto" w:sz="4" w:space="0"/>
            </w:tcBorders>
            <w:noWrap w:val="0"/>
            <w:vAlign w:val="center"/>
          </w:tcPr>
          <w:p w14:paraId="20E1BD3C">
            <w:pPr>
              <w:pageBreakBefore w:val="0"/>
              <w:widowControl/>
              <w:kinsoku/>
              <w:wordWrap w:val="0"/>
              <w:overflowPunct/>
              <w:topLinePunct w:val="0"/>
              <w:bidi w:val="0"/>
              <w:spacing w:line="360" w:lineRule="auto"/>
              <w:jc w:val="both"/>
              <w:textAlignment w:val="baseline"/>
              <w:rPr>
                <w:rFonts w:hint="eastAsia" w:ascii="宋体" w:hAnsi="宋体" w:eastAsia="宋体" w:cs="宋体"/>
                <w:sz w:val="24"/>
                <w:lang w:eastAsia="zh-CN"/>
              </w:rPr>
            </w:pPr>
            <w:r>
              <w:rPr>
                <w:rFonts w:hint="eastAsia" w:ascii="宋体" w:hAnsi="宋体" w:cs="宋体"/>
                <w:sz w:val="24"/>
                <w:lang w:eastAsia="zh-CN"/>
              </w:rPr>
              <w:t>技术部分（</w:t>
            </w:r>
            <w:r>
              <w:rPr>
                <w:rFonts w:hint="eastAsia" w:ascii="宋体" w:hAnsi="宋体" w:cs="宋体"/>
                <w:sz w:val="24"/>
                <w:lang w:val="en-US" w:eastAsia="zh-CN"/>
              </w:rPr>
              <w:t>50</w:t>
            </w:r>
            <w:r>
              <w:rPr>
                <w:rFonts w:hint="eastAsia" w:ascii="宋体" w:hAnsi="宋体" w:cs="宋体"/>
                <w:sz w:val="24"/>
                <w:lang w:eastAsia="zh-CN"/>
              </w:rPr>
              <w:t>分）</w:t>
            </w:r>
          </w:p>
        </w:tc>
        <w:tc>
          <w:tcPr>
            <w:tcW w:w="1348" w:type="dxa"/>
            <w:tcBorders>
              <w:top w:val="single" w:color="auto" w:sz="4" w:space="0"/>
              <w:left w:val="single" w:color="auto" w:sz="4" w:space="0"/>
              <w:right w:val="single" w:color="auto" w:sz="4" w:space="0"/>
            </w:tcBorders>
            <w:noWrap w:val="0"/>
            <w:vAlign w:val="center"/>
          </w:tcPr>
          <w:p w14:paraId="1D79E304">
            <w:pPr>
              <w:pageBreakBefore w:val="0"/>
              <w:widowControl/>
              <w:kinsoku/>
              <w:wordWrap w:val="0"/>
              <w:overflowPunct/>
              <w:topLinePunct w:val="0"/>
              <w:bidi w:val="0"/>
              <w:spacing w:line="360" w:lineRule="auto"/>
              <w:jc w:val="center"/>
              <w:rPr>
                <w:rFonts w:ascii="宋体" w:hAnsi="宋体" w:eastAsia="宋体" w:cs="宋体"/>
                <w:sz w:val="24"/>
              </w:rPr>
            </w:pPr>
            <w:r>
              <w:rPr>
                <w:rFonts w:hint="eastAsia" w:ascii="宋体" w:hAnsi="宋体" w:eastAsia="宋体" w:cs="宋体"/>
                <w:sz w:val="24"/>
              </w:rPr>
              <w:t>施工方案与技术措施（0-</w:t>
            </w:r>
            <w:r>
              <w:rPr>
                <w:rFonts w:hint="eastAsia" w:ascii="宋体" w:hAnsi="宋体" w:cs="宋体"/>
                <w:sz w:val="24"/>
                <w:lang w:val="en-US" w:eastAsia="zh-CN"/>
              </w:rPr>
              <w:t>8</w:t>
            </w:r>
            <w:r>
              <w:rPr>
                <w:rFonts w:hint="eastAsia" w:ascii="宋体" w:hAnsi="宋体" w:eastAsia="宋体" w:cs="宋体"/>
                <w:sz w:val="24"/>
              </w:rPr>
              <w:t>分）</w:t>
            </w:r>
          </w:p>
        </w:tc>
        <w:tc>
          <w:tcPr>
            <w:tcW w:w="7144" w:type="dxa"/>
            <w:tcBorders>
              <w:top w:val="single" w:color="auto" w:sz="4" w:space="0"/>
              <w:left w:val="nil"/>
              <w:right w:val="single" w:color="auto" w:sz="4" w:space="0"/>
            </w:tcBorders>
            <w:noWrap w:val="0"/>
            <w:vAlign w:val="center"/>
          </w:tcPr>
          <w:p w14:paraId="78201C60">
            <w:pPr>
              <w:pageBreakBefore w:val="0"/>
              <w:widowControl/>
              <w:kinsoku/>
              <w:wordWrap w:val="0"/>
              <w:overflowPunct/>
              <w:topLinePunct w:val="0"/>
              <w:bidi w:val="0"/>
              <w:spacing w:line="360" w:lineRule="auto"/>
              <w:rPr>
                <w:rFonts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施工方案(含工程特点、施工重点与难点、科学运用先进、合理的施工工艺、施工机械，流水段的划分、各项交叉作业切合实际）</w:t>
            </w:r>
            <w:r>
              <w:rPr>
                <w:rFonts w:hint="eastAsia" w:cs="微软雅黑" w:asciiTheme="minorEastAsia" w:hAnsiTheme="minorEastAsia" w:eastAsiaTheme="minorEastAsia"/>
                <w:sz w:val="24"/>
                <w:szCs w:val="24"/>
              </w:rPr>
              <w:t>对施工难点有先进和合理的建议</w:t>
            </w:r>
            <w:r>
              <w:rPr>
                <w:rFonts w:hint="eastAsia" w:cs="微软雅黑" w:asciiTheme="minorEastAsia" w:hAnsiTheme="minorEastAsia" w:eastAsiaTheme="minorEastAsia"/>
                <w:sz w:val="24"/>
                <w:szCs w:val="24"/>
                <w:lang w:eastAsia="zh-CN"/>
              </w:rPr>
              <w:t>，</w:t>
            </w:r>
            <w:r>
              <w:rPr>
                <w:rFonts w:hint="eastAsia" w:ascii="宋体" w:hAnsi="宋体" w:eastAsia="宋体" w:cs="宋体"/>
                <w:sz w:val="24"/>
              </w:rPr>
              <w:t>总体安排完整合理、技术措施详细全面、可行</w:t>
            </w:r>
            <w:bookmarkStart w:id="483" w:name="_GoBack"/>
            <w:bookmarkEnd w:id="483"/>
            <w:r>
              <w:rPr>
                <w:rFonts w:hint="eastAsia" w:ascii="宋体" w:hAnsi="宋体" w:eastAsia="宋体" w:cs="宋体"/>
                <w:sz w:val="24"/>
              </w:rPr>
              <w:t>，完全满足项目需求</w:t>
            </w:r>
            <w:r>
              <w:rPr>
                <w:rFonts w:hint="eastAsia" w:ascii="宋体" w:hAnsi="宋体" w:cs="宋体"/>
                <w:sz w:val="24"/>
                <w:lang w:eastAsia="zh-CN"/>
              </w:rPr>
              <w:t>，</w:t>
            </w:r>
            <w:r>
              <w:rPr>
                <w:rFonts w:hint="eastAsia" w:cs="微软雅黑" w:asciiTheme="minorEastAsia" w:hAnsiTheme="minorEastAsia" w:eastAsiaTheme="minorEastAsia"/>
                <w:sz w:val="24"/>
                <w:szCs w:val="24"/>
                <w:lang w:eastAsia="zh-CN"/>
              </w:rPr>
              <w:t>得</w:t>
            </w:r>
            <w:r>
              <w:rPr>
                <w:rFonts w:hint="eastAsia" w:cs="微软雅黑" w:asciiTheme="minorEastAsia" w:hAnsiTheme="minorEastAsia" w:eastAsiaTheme="minorEastAsia"/>
                <w:sz w:val="24"/>
                <w:szCs w:val="24"/>
                <w:lang w:val="en-US" w:eastAsia="zh-CN"/>
              </w:rPr>
              <w:t>8分</w:t>
            </w:r>
            <w:r>
              <w:rPr>
                <w:rFonts w:hint="eastAsia" w:ascii="宋体" w:hAnsi="宋体" w:eastAsia="宋体" w:cs="宋体"/>
                <w:sz w:val="24"/>
              </w:rPr>
              <w:t>；</w:t>
            </w:r>
          </w:p>
          <w:p w14:paraId="69EB6840">
            <w:pPr>
              <w:pageBreakBefore w:val="0"/>
              <w:widowControl/>
              <w:kinsoku/>
              <w:wordWrap w:val="0"/>
              <w:overflowPunct/>
              <w:topLinePunct w:val="0"/>
              <w:bidi w:val="0"/>
              <w:spacing w:line="360" w:lineRule="auto"/>
              <w:rPr>
                <w:rFonts w:hint="default" w:ascii="宋体" w:hAnsi="宋体" w:eastAsia="宋体" w:cs="宋体"/>
                <w:sz w:val="24"/>
                <w:lang w:val="en-US"/>
              </w:rPr>
            </w:pPr>
            <w:r>
              <w:rPr>
                <w:rFonts w:hint="eastAsia" w:ascii="宋体" w:hAnsi="宋体" w:cs="宋体"/>
                <w:sz w:val="24"/>
                <w:lang w:val="en-US" w:eastAsia="zh-CN"/>
              </w:rPr>
              <w:t>2、</w:t>
            </w:r>
            <w:r>
              <w:rPr>
                <w:rFonts w:hint="eastAsia" w:cs="微软雅黑" w:asciiTheme="minorEastAsia" w:hAnsiTheme="minorEastAsia" w:eastAsiaTheme="minorEastAsia"/>
                <w:sz w:val="24"/>
                <w:szCs w:val="24"/>
              </w:rPr>
              <w:t>施工方案（含工程特点、施工重点与难点及绿色施工）总体安排合理，施工工艺、施工机械合理、可行；对施工难点有合理的建议</w:t>
            </w:r>
            <w:r>
              <w:rPr>
                <w:rFonts w:hint="eastAsia" w:cs="微软雅黑" w:asciiTheme="minorEastAsia" w:hAnsiTheme="minorEastAsia" w:eastAsiaTheme="minorEastAsia"/>
                <w:sz w:val="24"/>
                <w:szCs w:val="24"/>
                <w:lang w:eastAsia="zh-CN"/>
              </w:rPr>
              <w:t>，</w:t>
            </w:r>
            <w:r>
              <w:rPr>
                <w:rFonts w:hint="eastAsia" w:cs="微软雅黑" w:asciiTheme="minorEastAsia" w:hAnsiTheme="minorEastAsia" w:eastAsiaTheme="minorEastAsia"/>
                <w:sz w:val="24"/>
                <w:szCs w:val="24"/>
                <w:lang w:val="en-US" w:eastAsia="zh-CN"/>
              </w:rPr>
              <w:t>得4分；</w:t>
            </w:r>
          </w:p>
          <w:p w14:paraId="2A7A7E4F">
            <w:pPr>
              <w:pageBreakBefore w:val="0"/>
              <w:widowControl/>
              <w:kinsoku/>
              <w:wordWrap w:val="0"/>
              <w:overflowPunct/>
              <w:topLinePunct w:val="0"/>
              <w:bidi w:val="0"/>
              <w:spacing w:line="360" w:lineRule="auto"/>
              <w:rPr>
                <w:rFonts w:hint="eastAsia" w:ascii="宋体" w:hAnsi="宋体" w:eastAsia="宋体" w:cs="宋体"/>
                <w:sz w:val="24"/>
                <w:lang w:eastAsia="zh-CN"/>
              </w:rPr>
            </w:pPr>
            <w:r>
              <w:rPr>
                <w:rFonts w:hint="eastAsia" w:ascii="宋体" w:hAnsi="宋体" w:cs="宋体"/>
                <w:sz w:val="24"/>
                <w:lang w:val="en-US" w:eastAsia="zh-CN"/>
              </w:rPr>
              <w:t>3、</w:t>
            </w:r>
            <w:r>
              <w:rPr>
                <w:rFonts w:hint="eastAsia" w:ascii="宋体" w:hAnsi="宋体" w:eastAsia="宋体" w:cs="宋体"/>
                <w:sz w:val="24"/>
              </w:rPr>
              <w:t>缺项</w:t>
            </w:r>
            <w:r>
              <w:rPr>
                <w:rFonts w:hint="eastAsia" w:ascii="宋体" w:hAnsi="宋体" w:cs="宋体"/>
                <w:sz w:val="24"/>
                <w:lang w:eastAsia="zh-CN"/>
              </w:rPr>
              <w:t>、</w:t>
            </w:r>
            <w:r>
              <w:rPr>
                <w:rFonts w:hint="eastAsia" w:ascii="宋体" w:hAnsi="宋体" w:eastAsia="宋体" w:cs="宋体"/>
                <w:sz w:val="24"/>
              </w:rPr>
              <w:t>不能满足项目需求不得分</w:t>
            </w:r>
            <w:r>
              <w:rPr>
                <w:rFonts w:hint="eastAsia" w:ascii="宋体" w:hAnsi="宋体" w:eastAsia="宋体" w:cs="宋体"/>
                <w:sz w:val="24"/>
                <w:lang w:eastAsia="zh-CN"/>
              </w:rPr>
              <w:t>；</w:t>
            </w:r>
          </w:p>
        </w:tc>
      </w:tr>
      <w:tr w14:paraId="1BF3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vMerge w:val="continue"/>
            <w:tcBorders>
              <w:left w:val="single" w:color="auto" w:sz="4" w:space="0"/>
              <w:right w:val="single" w:color="auto" w:sz="4" w:space="0"/>
            </w:tcBorders>
            <w:noWrap w:val="0"/>
            <w:vAlign w:val="center"/>
          </w:tcPr>
          <w:p w14:paraId="2B662C3E">
            <w:pPr>
              <w:pageBreakBefore w:val="0"/>
              <w:widowControl/>
              <w:kinsoku/>
              <w:wordWrap w:val="0"/>
              <w:overflowPunct/>
              <w:topLinePunct w:val="0"/>
              <w:bidi w:val="0"/>
              <w:spacing w:line="360" w:lineRule="auto"/>
              <w:textAlignment w:val="baseline"/>
              <w:rPr>
                <w:rFonts w:ascii="宋体" w:hAnsi="宋体" w:eastAsia="宋体" w:cs="宋体"/>
                <w:sz w:val="24"/>
              </w:rPr>
            </w:pPr>
          </w:p>
        </w:tc>
        <w:tc>
          <w:tcPr>
            <w:tcW w:w="1348" w:type="dxa"/>
            <w:tcBorders>
              <w:top w:val="single" w:color="auto" w:sz="4" w:space="0"/>
              <w:left w:val="single" w:color="auto" w:sz="4" w:space="0"/>
              <w:right w:val="single" w:color="auto" w:sz="4" w:space="0"/>
            </w:tcBorders>
            <w:noWrap w:val="0"/>
            <w:vAlign w:val="center"/>
          </w:tcPr>
          <w:p w14:paraId="13C046EF">
            <w:pPr>
              <w:pageBreakBefore w:val="0"/>
              <w:widowControl/>
              <w:kinsoku/>
              <w:wordWrap w:val="0"/>
              <w:overflowPunct/>
              <w:topLinePunct w:val="0"/>
              <w:bidi w:val="0"/>
              <w:spacing w:line="360" w:lineRule="auto"/>
              <w:jc w:val="center"/>
              <w:rPr>
                <w:rFonts w:ascii="宋体" w:hAnsi="宋体" w:eastAsia="宋体" w:cs="宋体"/>
                <w:sz w:val="24"/>
              </w:rPr>
            </w:pPr>
            <w:r>
              <w:rPr>
                <w:rFonts w:hint="eastAsia" w:ascii="宋体" w:hAnsi="宋体" w:eastAsia="宋体" w:cs="宋体"/>
                <w:sz w:val="24"/>
              </w:rPr>
              <w:t>质量管理体系与措施（0-</w:t>
            </w:r>
            <w:r>
              <w:rPr>
                <w:rFonts w:hint="eastAsia" w:ascii="宋体" w:hAnsi="宋体" w:cs="宋体"/>
                <w:sz w:val="24"/>
                <w:lang w:val="en-US" w:eastAsia="zh-CN"/>
              </w:rPr>
              <w:t>8</w:t>
            </w:r>
            <w:r>
              <w:rPr>
                <w:rFonts w:hint="eastAsia" w:ascii="宋体" w:hAnsi="宋体" w:eastAsia="宋体" w:cs="宋体"/>
                <w:sz w:val="24"/>
              </w:rPr>
              <w:t>分）</w:t>
            </w:r>
          </w:p>
        </w:tc>
        <w:tc>
          <w:tcPr>
            <w:tcW w:w="7144" w:type="dxa"/>
            <w:tcBorders>
              <w:top w:val="single" w:color="auto" w:sz="4" w:space="0"/>
              <w:left w:val="nil"/>
              <w:right w:val="single" w:color="auto" w:sz="4" w:space="0"/>
            </w:tcBorders>
            <w:noWrap w:val="0"/>
            <w:vAlign w:val="center"/>
          </w:tcPr>
          <w:p w14:paraId="73A372B3">
            <w:pPr>
              <w:pageBreakBefore w:val="0"/>
              <w:widowControl/>
              <w:numPr>
                <w:ilvl w:val="0"/>
                <w:numId w:val="2"/>
              </w:numPr>
              <w:kinsoku/>
              <w:wordWrap w:val="0"/>
              <w:overflowPunct/>
              <w:topLinePunct w:val="0"/>
              <w:bidi w:val="0"/>
              <w:spacing w:line="360" w:lineRule="auto"/>
              <w:rPr>
                <w:rFonts w:hint="eastAsia" w:ascii="宋体" w:hAnsi="宋体" w:eastAsia="宋体" w:cs="宋体"/>
                <w:sz w:val="24"/>
              </w:rPr>
            </w:pPr>
            <w:r>
              <w:rPr>
                <w:rFonts w:hint="eastAsia" w:ascii="宋体" w:hAnsi="宋体" w:eastAsia="宋体" w:cs="宋体"/>
                <w:b w:val="0"/>
                <w:bCs w:val="0"/>
                <w:color w:val="auto"/>
                <w:sz w:val="24"/>
                <w:szCs w:val="24"/>
                <w:highlight w:val="none"/>
                <w:lang w:val="en-US" w:eastAsia="zh-CN"/>
              </w:rPr>
              <w:t>组织机构形式合理，有完善的指挥系统、质量监控系统、联络协调系统，有健全的质量管理体系、相应的施工技术标准、施工质量检验制度和综合施工质量水平评定考核制度。施工措施符合国家及我省现行工程建设标准，满足通用规范、项目规范及质量验收规范的要求，质量保证措施内容完整、经济安全、合理先进、切实可行，</w:t>
            </w:r>
            <w:r>
              <w:rPr>
                <w:rFonts w:hint="eastAsia" w:cs="微软雅黑" w:asciiTheme="minorEastAsia" w:hAnsiTheme="minorEastAsia" w:eastAsiaTheme="minorEastAsia"/>
                <w:sz w:val="24"/>
                <w:szCs w:val="24"/>
                <w:lang w:eastAsia="zh-CN"/>
              </w:rPr>
              <w:t>得</w:t>
            </w:r>
            <w:r>
              <w:rPr>
                <w:rFonts w:hint="eastAsia" w:cs="微软雅黑" w:asciiTheme="minorEastAsia" w:hAnsiTheme="minorEastAsia" w:eastAsiaTheme="minorEastAsia"/>
                <w:sz w:val="24"/>
                <w:szCs w:val="24"/>
                <w:lang w:val="en-US" w:eastAsia="zh-CN"/>
              </w:rPr>
              <w:t>8分</w:t>
            </w:r>
            <w:r>
              <w:rPr>
                <w:rFonts w:hint="eastAsia" w:ascii="宋体" w:hAnsi="宋体" w:eastAsia="宋体" w:cs="宋体"/>
                <w:sz w:val="24"/>
              </w:rPr>
              <w:t>；</w:t>
            </w:r>
          </w:p>
          <w:p w14:paraId="2884404C">
            <w:pPr>
              <w:pageBreakBefore w:val="0"/>
              <w:widowControl/>
              <w:numPr>
                <w:ilvl w:val="0"/>
                <w:numId w:val="2"/>
              </w:numPr>
              <w:kinsoku/>
              <w:wordWrap w:val="0"/>
              <w:overflowPunct/>
              <w:topLinePunct w:val="0"/>
              <w:bidi w:val="0"/>
              <w:spacing w:line="360" w:lineRule="auto"/>
              <w:rPr>
                <w:rFonts w:hint="eastAsia" w:ascii="宋体" w:hAnsi="宋体" w:eastAsia="宋体" w:cs="宋体"/>
                <w:sz w:val="24"/>
              </w:rPr>
            </w:pPr>
            <w:r>
              <w:rPr>
                <w:rFonts w:hint="eastAsia" w:ascii="宋体" w:hAnsi="宋体" w:eastAsia="宋体" w:cs="宋体"/>
                <w:b w:val="0"/>
                <w:bCs w:val="0"/>
                <w:color w:val="auto"/>
                <w:sz w:val="24"/>
                <w:szCs w:val="24"/>
                <w:highlight w:val="none"/>
                <w:lang w:val="en-US" w:eastAsia="zh-CN"/>
              </w:rPr>
              <w:t>组织机构形式基本合理，有完善的指挥系统、质量监控系统、联络协调系统，有健全的质量管理体系、相应的施工技术标准、施工质量检验制度和综合施工质量水平评定考核制度。施工措施基本符合国家及我省现行工程建设标准，满足通用规范、项目规范及质量验收规范的要求，质量保证措施内容基本完整、经济安全、合理先进、切实可行，</w:t>
            </w:r>
            <w:r>
              <w:rPr>
                <w:rFonts w:hint="eastAsia" w:cs="微软雅黑" w:asciiTheme="minorEastAsia" w:hAnsiTheme="minorEastAsia" w:eastAsiaTheme="minorEastAsia"/>
                <w:sz w:val="24"/>
                <w:szCs w:val="24"/>
                <w:lang w:val="en-US" w:eastAsia="zh-CN"/>
              </w:rPr>
              <w:t>得4分</w:t>
            </w:r>
            <w:r>
              <w:rPr>
                <w:rFonts w:hint="eastAsia" w:ascii="宋体" w:hAnsi="宋体" w:eastAsia="宋体" w:cs="宋体"/>
                <w:b w:val="0"/>
                <w:bCs w:val="0"/>
                <w:color w:val="auto"/>
                <w:sz w:val="24"/>
                <w:szCs w:val="24"/>
                <w:highlight w:val="none"/>
                <w:lang w:val="en-US" w:eastAsia="zh-CN"/>
              </w:rPr>
              <w:t>；</w:t>
            </w:r>
          </w:p>
          <w:p w14:paraId="2309D7CD">
            <w:pPr>
              <w:pageBreakBefore w:val="0"/>
              <w:widowControl/>
              <w:kinsoku/>
              <w:wordWrap w:val="0"/>
              <w:overflowPunct/>
              <w:topLinePunct w:val="0"/>
              <w:bidi w:val="0"/>
              <w:spacing w:line="360" w:lineRule="auto"/>
              <w:rPr>
                <w:rFonts w:hint="eastAsia" w:ascii="宋体" w:hAnsi="宋体" w:eastAsia="宋体" w:cs="宋体"/>
                <w:sz w:val="24"/>
                <w:lang w:eastAsia="zh-CN"/>
              </w:rPr>
            </w:pPr>
            <w:r>
              <w:rPr>
                <w:rFonts w:hint="eastAsia" w:ascii="宋体" w:hAnsi="宋体" w:cs="宋体"/>
                <w:sz w:val="24"/>
                <w:lang w:val="en-US" w:eastAsia="zh-CN"/>
              </w:rPr>
              <w:t>3、</w:t>
            </w:r>
            <w:r>
              <w:rPr>
                <w:rFonts w:hint="eastAsia" w:ascii="宋体" w:hAnsi="宋体" w:eastAsia="宋体" w:cs="宋体"/>
                <w:sz w:val="24"/>
              </w:rPr>
              <w:t>有质量管理漏洞、不能满足</w:t>
            </w:r>
            <w:r>
              <w:rPr>
                <w:rFonts w:hint="eastAsia" w:ascii="宋体" w:hAnsi="宋体" w:cs="宋体"/>
                <w:sz w:val="24"/>
                <w:lang w:eastAsia="zh-CN"/>
              </w:rPr>
              <w:t>项目</w:t>
            </w:r>
            <w:r>
              <w:rPr>
                <w:rFonts w:hint="eastAsia" w:ascii="宋体" w:hAnsi="宋体" w:eastAsia="宋体" w:cs="宋体"/>
                <w:sz w:val="24"/>
              </w:rPr>
              <w:t>需求的不得分</w:t>
            </w:r>
            <w:r>
              <w:rPr>
                <w:rFonts w:hint="eastAsia" w:ascii="宋体" w:hAnsi="宋体" w:eastAsia="宋体" w:cs="宋体"/>
                <w:sz w:val="24"/>
                <w:lang w:eastAsia="zh-CN"/>
              </w:rPr>
              <w:t>；</w:t>
            </w:r>
          </w:p>
        </w:tc>
      </w:tr>
      <w:tr w14:paraId="2BFE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vMerge w:val="continue"/>
            <w:tcBorders>
              <w:left w:val="single" w:color="auto" w:sz="4" w:space="0"/>
              <w:right w:val="single" w:color="auto" w:sz="4" w:space="0"/>
            </w:tcBorders>
            <w:noWrap w:val="0"/>
            <w:vAlign w:val="center"/>
          </w:tcPr>
          <w:p w14:paraId="1D557A72">
            <w:pPr>
              <w:pageBreakBefore w:val="0"/>
              <w:widowControl/>
              <w:kinsoku/>
              <w:wordWrap w:val="0"/>
              <w:overflowPunct/>
              <w:topLinePunct w:val="0"/>
              <w:bidi w:val="0"/>
              <w:spacing w:line="360" w:lineRule="auto"/>
              <w:textAlignment w:val="baseline"/>
              <w:rPr>
                <w:rFonts w:ascii="宋体" w:hAnsi="宋体" w:eastAsia="宋体" w:cs="宋体"/>
                <w:sz w:val="24"/>
              </w:rPr>
            </w:pPr>
          </w:p>
        </w:tc>
        <w:tc>
          <w:tcPr>
            <w:tcW w:w="1348" w:type="dxa"/>
            <w:tcBorders>
              <w:top w:val="single" w:color="auto" w:sz="4" w:space="0"/>
              <w:left w:val="single" w:color="auto" w:sz="4" w:space="0"/>
              <w:right w:val="single" w:color="auto" w:sz="4" w:space="0"/>
            </w:tcBorders>
            <w:noWrap w:val="0"/>
            <w:vAlign w:val="center"/>
          </w:tcPr>
          <w:p w14:paraId="41356346">
            <w:pPr>
              <w:pageBreakBefore w:val="0"/>
              <w:widowControl/>
              <w:kinsoku/>
              <w:wordWrap w:val="0"/>
              <w:overflowPunct/>
              <w:topLinePunct w:val="0"/>
              <w:bidi w:val="0"/>
              <w:spacing w:line="360" w:lineRule="auto"/>
              <w:jc w:val="center"/>
              <w:rPr>
                <w:rFonts w:ascii="宋体" w:hAnsi="宋体" w:eastAsia="宋体" w:cs="宋体"/>
                <w:sz w:val="24"/>
              </w:rPr>
            </w:pPr>
            <w:r>
              <w:rPr>
                <w:rFonts w:hint="eastAsia" w:ascii="宋体" w:hAnsi="宋体" w:eastAsia="宋体" w:cs="宋体"/>
                <w:sz w:val="24"/>
              </w:rPr>
              <w:t>安全管理体系与措施（0-6分）</w:t>
            </w:r>
          </w:p>
        </w:tc>
        <w:tc>
          <w:tcPr>
            <w:tcW w:w="7144" w:type="dxa"/>
            <w:tcBorders>
              <w:top w:val="single" w:color="auto" w:sz="4" w:space="0"/>
              <w:left w:val="nil"/>
              <w:right w:val="single" w:color="auto" w:sz="4" w:space="0"/>
            </w:tcBorders>
            <w:noWrap w:val="0"/>
            <w:vAlign w:val="center"/>
          </w:tcPr>
          <w:p w14:paraId="579783EB">
            <w:pPr>
              <w:pageBreakBefore w:val="0"/>
              <w:widowControl/>
              <w:numPr>
                <w:ilvl w:val="0"/>
                <w:numId w:val="3"/>
              </w:numPr>
              <w:kinsoku/>
              <w:wordWrap w:val="0"/>
              <w:overflowPunct/>
              <w:topLinePunct w:val="0"/>
              <w:bidi w:val="0"/>
              <w:spacing w:line="360" w:lineRule="auto"/>
              <w:rPr>
                <w:rFonts w:hint="eastAsia" w:cs="微软雅黑" w:asciiTheme="minorEastAsia" w:hAnsiTheme="minorEastAsia" w:eastAsiaTheme="minorEastAsia"/>
                <w:sz w:val="24"/>
                <w:szCs w:val="24"/>
                <w:lang w:val="en-US" w:eastAsia="zh-CN"/>
              </w:rPr>
            </w:pPr>
            <w:r>
              <w:rPr>
                <w:rFonts w:hint="eastAsia" w:cs="微软雅黑" w:asciiTheme="minorEastAsia" w:hAnsiTheme="minorEastAsia" w:eastAsiaTheme="minorEastAsia"/>
                <w:sz w:val="24"/>
                <w:szCs w:val="24"/>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r>
              <w:rPr>
                <w:rFonts w:hint="eastAsia" w:cs="微软雅黑" w:asciiTheme="minorEastAsia" w:hAnsiTheme="minorEastAsia" w:eastAsiaTheme="minorEastAsia"/>
                <w:sz w:val="24"/>
                <w:szCs w:val="24"/>
                <w:lang w:eastAsia="zh-CN"/>
              </w:rPr>
              <w:t>，得</w:t>
            </w:r>
            <w:r>
              <w:rPr>
                <w:rFonts w:hint="eastAsia" w:cs="微软雅黑" w:asciiTheme="minorEastAsia" w:hAnsiTheme="minorEastAsia" w:eastAsiaTheme="minorEastAsia"/>
                <w:sz w:val="24"/>
                <w:szCs w:val="24"/>
                <w:lang w:val="en-US" w:eastAsia="zh-CN"/>
              </w:rPr>
              <w:t>6分；</w:t>
            </w:r>
          </w:p>
          <w:p w14:paraId="56D1D681">
            <w:pPr>
              <w:pageBreakBefore w:val="0"/>
              <w:widowControl/>
              <w:numPr>
                <w:ilvl w:val="0"/>
                <w:numId w:val="3"/>
              </w:numPr>
              <w:kinsoku/>
              <w:wordWrap w:val="0"/>
              <w:overflowPunct/>
              <w:topLinePunct w:val="0"/>
              <w:bidi w:val="0"/>
              <w:spacing w:line="360" w:lineRule="auto"/>
              <w:rPr>
                <w:rFonts w:hint="eastAsia"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w:t>
            </w:r>
            <w:r>
              <w:rPr>
                <w:rFonts w:hint="eastAsia" w:cs="微软雅黑" w:asciiTheme="minorEastAsia" w:hAnsiTheme="minorEastAsia" w:eastAsiaTheme="minorEastAsia"/>
                <w:sz w:val="24"/>
                <w:szCs w:val="24"/>
                <w:lang w:eastAsia="zh-CN"/>
              </w:rPr>
              <w:t>，得</w:t>
            </w:r>
            <w:r>
              <w:rPr>
                <w:rFonts w:hint="eastAsia" w:cs="微软雅黑" w:asciiTheme="minorEastAsia" w:hAnsiTheme="minorEastAsia" w:eastAsiaTheme="minorEastAsia"/>
                <w:sz w:val="24"/>
                <w:szCs w:val="24"/>
                <w:lang w:val="en-US" w:eastAsia="zh-CN"/>
              </w:rPr>
              <w:t>3分；</w:t>
            </w:r>
          </w:p>
          <w:p w14:paraId="77685053">
            <w:pPr>
              <w:pageBreakBefore w:val="0"/>
              <w:widowControl/>
              <w:kinsoku/>
              <w:wordWrap w:val="0"/>
              <w:overflowPunct/>
              <w:topLinePunct w:val="0"/>
              <w:bidi w:val="0"/>
              <w:spacing w:line="360" w:lineRule="auto"/>
              <w:rPr>
                <w:rFonts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安全防护管理措施有漏洞的，不合理的不得分</w:t>
            </w:r>
          </w:p>
        </w:tc>
      </w:tr>
      <w:tr w14:paraId="0096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2" w:type="dxa"/>
            <w:vMerge w:val="continue"/>
            <w:tcBorders>
              <w:left w:val="single" w:color="auto" w:sz="4" w:space="0"/>
              <w:right w:val="single" w:color="auto" w:sz="4" w:space="0"/>
            </w:tcBorders>
            <w:noWrap w:val="0"/>
            <w:vAlign w:val="center"/>
          </w:tcPr>
          <w:p w14:paraId="6BD99216">
            <w:pPr>
              <w:pageBreakBefore w:val="0"/>
              <w:widowControl/>
              <w:kinsoku/>
              <w:wordWrap w:val="0"/>
              <w:overflowPunct/>
              <w:topLinePunct w:val="0"/>
              <w:bidi w:val="0"/>
              <w:spacing w:line="360" w:lineRule="auto"/>
              <w:textAlignment w:val="baseline"/>
              <w:rPr>
                <w:rFonts w:ascii="宋体" w:hAnsi="宋体" w:eastAsia="宋体" w:cs="宋体"/>
                <w:sz w:val="24"/>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0A052E1D">
            <w:pPr>
              <w:pageBreakBefore w:val="0"/>
              <w:widowControl/>
              <w:kinsoku/>
              <w:wordWrap w:val="0"/>
              <w:overflowPunct/>
              <w:topLinePunct w:val="0"/>
              <w:bidi w:val="0"/>
              <w:spacing w:line="360" w:lineRule="auto"/>
              <w:jc w:val="left"/>
              <w:rPr>
                <w:rFonts w:ascii="宋体" w:hAnsi="宋体" w:eastAsia="宋体" w:cs="宋体"/>
                <w:sz w:val="24"/>
              </w:rPr>
            </w:pPr>
            <w:r>
              <w:rPr>
                <w:rFonts w:hint="eastAsia" w:ascii="宋体" w:hAnsi="宋体" w:eastAsia="宋体" w:cs="宋体"/>
                <w:sz w:val="24"/>
              </w:rPr>
              <w:t>工程进度计划与措施（0-</w:t>
            </w:r>
            <w:r>
              <w:rPr>
                <w:rFonts w:hint="eastAsia" w:ascii="宋体" w:hAnsi="宋体" w:cs="宋体"/>
                <w:sz w:val="24"/>
                <w:lang w:val="en-US" w:eastAsia="zh-CN"/>
              </w:rPr>
              <w:t>5</w:t>
            </w:r>
            <w:r>
              <w:rPr>
                <w:rFonts w:hint="eastAsia" w:ascii="宋体" w:hAnsi="宋体" w:eastAsia="宋体" w:cs="宋体"/>
                <w:sz w:val="24"/>
              </w:rPr>
              <w:t>分）</w:t>
            </w:r>
          </w:p>
        </w:tc>
        <w:tc>
          <w:tcPr>
            <w:tcW w:w="7144" w:type="dxa"/>
            <w:tcBorders>
              <w:top w:val="single" w:color="auto" w:sz="4" w:space="0"/>
              <w:left w:val="nil"/>
              <w:bottom w:val="single" w:color="auto" w:sz="4" w:space="0"/>
              <w:right w:val="single" w:color="auto" w:sz="4" w:space="0"/>
            </w:tcBorders>
            <w:noWrap w:val="0"/>
            <w:vAlign w:val="center"/>
          </w:tcPr>
          <w:p w14:paraId="304A836D">
            <w:pPr>
              <w:pageBreakBefore w:val="0"/>
              <w:widowControl/>
              <w:numPr>
                <w:ilvl w:val="0"/>
                <w:numId w:val="4"/>
              </w:numPr>
              <w:kinsoku/>
              <w:wordWrap w:val="0"/>
              <w:overflowPunct/>
              <w:topLinePunct w:val="0"/>
              <w:bidi w:val="0"/>
              <w:spacing w:line="360" w:lineRule="auto"/>
              <w:rPr>
                <w:rFonts w:hint="eastAsia"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工期承诺满足招标文件要求，工期保证措施合理且有针对性，有具体的违约责任承诺</w:t>
            </w:r>
            <w:r>
              <w:rPr>
                <w:rFonts w:hint="eastAsia" w:cs="微软雅黑" w:asciiTheme="minorEastAsia" w:hAnsiTheme="minorEastAsia" w:eastAsiaTheme="minorEastAsia"/>
                <w:sz w:val="24"/>
                <w:szCs w:val="24"/>
                <w:lang w:eastAsia="zh-CN"/>
              </w:rPr>
              <w:t>，得</w:t>
            </w:r>
            <w:r>
              <w:rPr>
                <w:rFonts w:hint="eastAsia" w:cs="微软雅黑" w:asciiTheme="minorEastAsia" w:hAnsiTheme="minorEastAsia" w:eastAsiaTheme="minorEastAsia"/>
                <w:sz w:val="24"/>
                <w:szCs w:val="24"/>
                <w:lang w:val="en-US" w:eastAsia="zh-CN"/>
              </w:rPr>
              <w:t>5分；</w:t>
            </w:r>
          </w:p>
          <w:p w14:paraId="35E4F055">
            <w:pPr>
              <w:pageBreakBefore w:val="0"/>
              <w:widowControl/>
              <w:numPr>
                <w:ilvl w:val="0"/>
                <w:numId w:val="4"/>
              </w:numPr>
              <w:kinsoku/>
              <w:wordWrap w:val="0"/>
              <w:overflowPunct/>
              <w:topLinePunct w:val="0"/>
              <w:bidi w:val="0"/>
              <w:spacing w:line="360" w:lineRule="auto"/>
              <w:rPr>
                <w:rFonts w:hint="eastAsia"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工期承诺满足招标文件要求，工期保证措施基本合理，有具体的违约责任承诺</w:t>
            </w:r>
            <w:r>
              <w:rPr>
                <w:rFonts w:hint="eastAsia" w:cs="微软雅黑" w:asciiTheme="minorEastAsia" w:hAnsiTheme="minorEastAsia" w:eastAsiaTheme="minorEastAsia"/>
                <w:sz w:val="24"/>
                <w:szCs w:val="24"/>
                <w:lang w:eastAsia="zh-CN"/>
              </w:rPr>
              <w:t>，得</w:t>
            </w:r>
            <w:r>
              <w:rPr>
                <w:rFonts w:hint="eastAsia" w:cs="微软雅黑" w:asciiTheme="minorEastAsia" w:hAnsiTheme="minorEastAsia" w:eastAsiaTheme="minorEastAsia"/>
                <w:sz w:val="24"/>
                <w:szCs w:val="24"/>
                <w:lang w:val="en-US" w:eastAsia="zh-CN"/>
              </w:rPr>
              <w:t>3分；</w:t>
            </w:r>
          </w:p>
          <w:p w14:paraId="50A6726D">
            <w:pPr>
              <w:pageBreakBefore w:val="0"/>
              <w:widowControl/>
              <w:kinsoku/>
              <w:wordWrap w:val="0"/>
              <w:overflowPunct/>
              <w:topLinePunct w:val="0"/>
              <w:bidi w:val="0"/>
              <w:spacing w:line="360" w:lineRule="auto"/>
              <w:rPr>
                <w:rFonts w:hint="eastAsia" w:ascii="宋体" w:hAnsi="宋体" w:eastAsia="宋体" w:cs="宋体"/>
                <w:sz w:val="24"/>
                <w:lang w:eastAsia="zh-CN"/>
              </w:rPr>
            </w:pPr>
            <w:r>
              <w:rPr>
                <w:rFonts w:hint="eastAsia" w:ascii="宋体" w:hAnsi="宋体" w:cs="宋体"/>
                <w:sz w:val="24"/>
                <w:lang w:val="en-US" w:eastAsia="zh-CN"/>
              </w:rPr>
              <w:t>3、</w:t>
            </w:r>
            <w:r>
              <w:rPr>
                <w:rFonts w:hint="eastAsia" w:ascii="宋体" w:hAnsi="宋体" w:eastAsia="宋体" w:cs="宋体"/>
                <w:sz w:val="24"/>
              </w:rPr>
              <w:t>缺项不得分</w:t>
            </w:r>
            <w:r>
              <w:rPr>
                <w:rFonts w:hint="eastAsia" w:ascii="宋体" w:hAnsi="宋体" w:eastAsia="宋体" w:cs="宋体"/>
                <w:sz w:val="24"/>
                <w:lang w:eastAsia="zh-CN"/>
              </w:rPr>
              <w:t>；</w:t>
            </w:r>
          </w:p>
        </w:tc>
      </w:tr>
      <w:tr w14:paraId="671C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32" w:type="dxa"/>
            <w:vMerge w:val="continue"/>
            <w:tcBorders>
              <w:left w:val="single" w:color="auto" w:sz="4" w:space="0"/>
              <w:right w:val="single" w:color="auto" w:sz="4" w:space="0"/>
            </w:tcBorders>
            <w:noWrap w:val="0"/>
            <w:vAlign w:val="center"/>
          </w:tcPr>
          <w:p w14:paraId="7FD27CDB">
            <w:pPr>
              <w:pageBreakBefore w:val="0"/>
              <w:widowControl/>
              <w:kinsoku/>
              <w:wordWrap w:val="0"/>
              <w:overflowPunct/>
              <w:topLinePunct w:val="0"/>
              <w:bidi w:val="0"/>
              <w:spacing w:line="360" w:lineRule="auto"/>
              <w:textAlignment w:val="baseline"/>
              <w:rPr>
                <w:rFonts w:ascii="宋体" w:hAnsi="宋体" w:eastAsia="宋体" w:cs="宋体"/>
                <w:sz w:val="24"/>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62219BAB">
            <w:pPr>
              <w:pageBreakBefore w:val="0"/>
              <w:widowControl/>
              <w:numPr>
                <w:numId w:val="0"/>
              </w:numPr>
              <w:kinsoku/>
              <w:wordWrap w:val="0"/>
              <w:overflowPunct/>
              <w:topLinePunct w:val="0"/>
              <w:bidi w:val="0"/>
              <w:spacing w:line="360" w:lineRule="auto"/>
              <w:rPr>
                <w:rFonts w:hint="eastAsia"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资源配备计划（0-</w:t>
            </w:r>
            <w:r>
              <w:rPr>
                <w:rFonts w:hint="eastAsia" w:cs="微软雅黑" w:asciiTheme="minorEastAsia" w:hAnsiTheme="minorEastAsia" w:eastAsiaTheme="minorEastAsia"/>
                <w:sz w:val="24"/>
                <w:szCs w:val="24"/>
                <w:lang w:val="en-US" w:eastAsia="zh-CN"/>
              </w:rPr>
              <w:t>5</w:t>
            </w:r>
            <w:r>
              <w:rPr>
                <w:rFonts w:hint="eastAsia" w:cs="微软雅黑" w:asciiTheme="minorEastAsia" w:hAnsiTheme="minorEastAsia" w:eastAsiaTheme="minorEastAsia"/>
                <w:sz w:val="24"/>
                <w:szCs w:val="24"/>
              </w:rPr>
              <w:t>分）</w:t>
            </w:r>
          </w:p>
        </w:tc>
        <w:tc>
          <w:tcPr>
            <w:tcW w:w="7144" w:type="dxa"/>
            <w:tcBorders>
              <w:top w:val="single" w:color="auto" w:sz="4" w:space="0"/>
              <w:left w:val="nil"/>
              <w:bottom w:val="single" w:color="auto" w:sz="4" w:space="0"/>
              <w:right w:val="single" w:color="auto" w:sz="4" w:space="0"/>
            </w:tcBorders>
            <w:noWrap w:val="0"/>
            <w:vAlign w:val="center"/>
          </w:tcPr>
          <w:p w14:paraId="6B6F84E6">
            <w:pPr>
              <w:pageBreakBefore w:val="0"/>
              <w:widowControl/>
              <w:numPr>
                <w:ilvl w:val="0"/>
                <w:numId w:val="5"/>
              </w:numPr>
              <w:kinsoku/>
              <w:wordWrap w:val="0"/>
              <w:overflowPunct/>
              <w:topLinePunct w:val="0"/>
              <w:bidi w:val="0"/>
              <w:spacing w:line="360" w:lineRule="auto"/>
              <w:rPr>
                <w:rFonts w:hint="eastAsia" w:cs="微软雅黑" w:asciiTheme="minorEastAsia" w:hAnsiTheme="minorEastAsia" w:eastAsiaTheme="minorEastAsia"/>
                <w:sz w:val="24"/>
                <w:szCs w:val="24"/>
              </w:rPr>
            </w:pPr>
            <w:r>
              <w:rPr>
                <w:rFonts w:hint="eastAsia" w:cs="微软雅黑" w:asciiTheme="minorEastAsia" w:hAnsiTheme="minorEastAsia" w:eastAsiaTheme="minorEastAsia"/>
                <w:sz w:val="24"/>
                <w:szCs w:val="24"/>
                <w:lang w:val="en-US" w:eastAsia="zh-CN"/>
              </w:rPr>
              <w:t>（1）</w:t>
            </w:r>
            <w:r>
              <w:rPr>
                <w:rFonts w:hint="eastAsia" w:cs="微软雅黑" w:asciiTheme="minorEastAsia" w:hAnsiTheme="minorEastAsia" w:eastAsiaTheme="minorEastAsia"/>
                <w:sz w:val="24"/>
                <w:szCs w:val="24"/>
              </w:rPr>
              <w:t>机械：投入计划与进度计划呼应，采用先进机械设备且配置合理、先进，满足安全技术规范和施工进度需要；PC构件运输、安装设备满足施工要求；</w:t>
            </w:r>
            <w:r>
              <w:rPr>
                <w:rFonts w:hint="eastAsia" w:cs="微软雅黑" w:asciiTheme="minorEastAsia" w:hAnsiTheme="minorEastAsia" w:eastAsiaTheme="minorEastAsia"/>
                <w:sz w:val="24"/>
                <w:szCs w:val="24"/>
                <w:lang w:eastAsia="zh-CN"/>
              </w:rPr>
              <w:t>（</w:t>
            </w:r>
            <w:r>
              <w:rPr>
                <w:rFonts w:hint="eastAsia" w:cs="微软雅黑" w:asciiTheme="minorEastAsia" w:hAnsiTheme="minorEastAsia" w:eastAsiaTheme="minorEastAsia"/>
                <w:sz w:val="24"/>
                <w:szCs w:val="24"/>
                <w:lang w:val="en-US" w:eastAsia="zh-CN"/>
              </w:rPr>
              <w:t>2</w:t>
            </w:r>
            <w:r>
              <w:rPr>
                <w:rFonts w:hint="eastAsia" w:cs="微软雅黑" w:asciiTheme="minorEastAsia" w:hAnsiTheme="minorEastAsia" w:eastAsiaTheme="minorEastAsia"/>
                <w:sz w:val="24"/>
                <w:szCs w:val="24"/>
                <w:lang w:eastAsia="zh-CN"/>
              </w:rPr>
              <w:t>）</w:t>
            </w:r>
            <w:r>
              <w:rPr>
                <w:rFonts w:hint="eastAsia" w:cs="微软雅黑" w:asciiTheme="minorEastAsia" w:hAnsiTheme="minorEastAsia" w:eastAsiaTheme="minorEastAsia"/>
                <w:sz w:val="24"/>
                <w:szCs w:val="24"/>
              </w:rPr>
              <w:t>劳动力：投入计划与进度计划呼应，较好满足施工需要，调配投入计划合理、准确；</w:t>
            </w:r>
            <w:r>
              <w:rPr>
                <w:rFonts w:hint="eastAsia" w:cs="微软雅黑" w:asciiTheme="minorEastAsia" w:hAnsiTheme="minorEastAsia" w:eastAsiaTheme="minorEastAsia"/>
                <w:sz w:val="24"/>
                <w:szCs w:val="24"/>
                <w:lang w:eastAsia="zh-CN"/>
              </w:rPr>
              <w:t>（</w:t>
            </w:r>
            <w:r>
              <w:rPr>
                <w:rFonts w:hint="eastAsia" w:cs="微软雅黑" w:asciiTheme="minorEastAsia" w:hAnsiTheme="minorEastAsia" w:eastAsiaTheme="minorEastAsia"/>
                <w:sz w:val="24"/>
                <w:szCs w:val="24"/>
                <w:lang w:val="en-US" w:eastAsia="zh-CN"/>
              </w:rPr>
              <w:t>3</w:t>
            </w:r>
            <w:r>
              <w:rPr>
                <w:rFonts w:hint="eastAsia" w:cs="微软雅黑" w:asciiTheme="minorEastAsia" w:hAnsiTheme="minorEastAsia" w:eastAsiaTheme="minorEastAsia"/>
                <w:sz w:val="24"/>
                <w:szCs w:val="24"/>
                <w:lang w:eastAsia="zh-CN"/>
              </w:rPr>
              <w:t>）</w:t>
            </w:r>
            <w:r>
              <w:rPr>
                <w:rFonts w:hint="eastAsia" w:cs="微软雅黑" w:asciiTheme="minorEastAsia" w:hAnsiTheme="minorEastAsia" w:eastAsiaTheme="minorEastAsia"/>
                <w:sz w:val="24"/>
                <w:szCs w:val="24"/>
              </w:rPr>
              <w:t>主要物资计划：主要物资（含PC构件的供应需求）投入计划与进度计划呼应，较好满足施工需要，调配投入计划合理、准确。以上内容综合得</w:t>
            </w:r>
            <w:r>
              <w:rPr>
                <w:rFonts w:hint="eastAsia" w:cs="微软雅黑" w:asciiTheme="minorEastAsia" w:hAnsiTheme="minorEastAsia" w:eastAsiaTheme="minorEastAsia"/>
                <w:sz w:val="24"/>
                <w:szCs w:val="24"/>
                <w:lang w:val="en-US" w:eastAsia="zh-CN"/>
              </w:rPr>
              <w:t>5分；</w:t>
            </w:r>
          </w:p>
          <w:p w14:paraId="0678AA46">
            <w:pPr>
              <w:pageBreakBefore w:val="0"/>
              <w:widowControl/>
              <w:numPr>
                <w:ilvl w:val="0"/>
                <w:numId w:val="5"/>
              </w:numPr>
              <w:kinsoku/>
              <w:wordWrap w:val="0"/>
              <w:overflowPunct/>
              <w:topLinePunct w:val="0"/>
              <w:bidi w:val="0"/>
              <w:spacing w:line="360" w:lineRule="auto"/>
              <w:rPr>
                <w:rFonts w:hint="default" w:cs="微软雅黑" w:asciiTheme="minorEastAsia" w:hAnsiTheme="minorEastAsia" w:eastAsiaTheme="minorEastAsia"/>
                <w:sz w:val="24"/>
                <w:szCs w:val="24"/>
                <w:lang w:val="en-US" w:eastAsia="zh-CN"/>
              </w:rPr>
            </w:pPr>
            <w:r>
              <w:rPr>
                <w:rFonts w:hint="eastAsia" w:cs="微软雅黑" w:asciiTheme="minorEastAsia" w:hAnsiTheme="minorEastAsia" w:eastAsiaTheme="minorEastAsia"/>
                <w:sz w:val="24"/>
                <w:szCs w:val="24"/>
                <w:lang w:val="en-US" w:eastAsia="zh-CN"/>
              </w:rPr>
              <w:t>（1）</w:t>
            </w:r>
            <w:r>
              <w:rPr>
                <w:rFonts w:hint="eastAsia" w:cs="微软雅黑" w:asciiTheme="minorEastAsia" w:hAnsiTheme="minorEastAsia" w:eastAsiaTheme="minorEastAsia"/>
                <w:sz w:val="24"/>
                <w:szCs w:val="24"/>
              </w:rPr>
              <w:t>机械：投入计划与进度计划呼应，机械设备配置基本合理，满足安全技术规范和施工进度需要；</w:t>
            </w:r>
            <w:r>
              <w:rPr>
                <w:rFonts w:hint="eastAsia" w:cs="微软雅黑" w:asciiTheme="minorEastAsia" w:hAnsiTheme="minorEastAsia" w:eastAsiaTheme="minorEastAsia"/>
                <w:sz w:val="24"/>
                <w:szCs w:val="24"/>
                <w:lang w:eastAsia="zh-CN"/>
              </w:rPr>
              <w:t>（</w:t>
            </w:r>
            <w:r>
              <w:rPr>
                <w:rFonts w:hint="eastAsia" w:cs="微软雅黑" w:asciiTheme="minorEastAsia" w:hAnsiTheme="minorEastAsia" w:eastAsiaTheme="minorEastAsia"/>
                <w:sz w:val="24"/>
                <w:szCs w:val="24"/>
                <w:lang w:val="en-US" w:eastAsia="zh-CN"/>
              </w:rPr>
              <w:t>2</w:t>
            </w:r>
            <w:r>
              <w:rPr>
                <w:rFonts w:hint="eastAsia" w:cs="微软雅黑" w:asciiTheme="minorEastAsia" w:hAnsiTheme="minorEastAsia" w:eastAsiaTheme="minorEastAsia"/>
                <w:sz w:val="24"/>
                <w:szCs w:val="24"/>
                <w:lang w:eastAsia="zh-CN"/>
              </w:rPr>
              <w:t>）</w:t>
            </w:r>
            <w:r>
              <w:rPr>
                <w:rFonts w:hint="eastAsia" w:cs="微软雅黑" w:asciiTheme="minorEastAsia" w:hAnsiTheme="minorEastAsia" w:eastAsiaTheme="minorEastAsia"/>
                <w:sz w:val="24"/>
                <w:szCs w:val="24"/>
              </w:rPr>
              <w:t>劳动力：投入计划与进度计划呼应，基本满足施工需要，调配投入计划基本合理；</w:t>
            </w:r>
            <w:r>
              <w:rPr>
                <w:rFonts w:hint="eastAsia" w:cs="微软雅黑" w:asciiTheme="minorEastAsia" w:hAnsiTheme="minorEastAsia" w:eastAsiaTheme="minorEastAsia"/>
                <w:sz w:val="24"/>
                <w:szCs w:val="24"/>
                <w:lang w:eastAsia="zh-CN"/>
              </w:rPr>
              <w:t>（</w:t>
            </w:r>
            <w:r>
              <w:rPr>
                <w:rFonts w:hint="eastAsia" w:cs="微软雅黑" w:asciiTheme="minorEastAsia" w:hAnsiTheme="minorEastAsia" w:eastAsiaTheme="minorEastAsia"/>
                <w:sz w:val="24"/>
                <w:szCs w:val="24"/>
                <w:lang w:val="en-US" w:eastAsia="zh-CN"/>
              </w:rPr>
              <w:t>3</w:t>
            </w:r>
            <w:r>
              <w:rPr>
                <w:rFonts w:hint="eastAsia" w:cs="微软雅黑" w:asciiTheme="minorEastAsia" w:hAnsiTheme="minorEastAsia" w:eastAsiaTheme="minorEastAsia"/>
                <w:sz w:val="24"/>
                <w:szCs w:val="24"/>
                <w:lang w:eastAsia="zh-CN"/>
              </w:rPr>
              <w:t>）</w:t>
            </w:r>
            <w:r>
              <w:rPr>
                <w:rFonts w:hint="eastAsia" w:cs="微软雅黑" w:asciiTheme="minorEastAsia" w:hAnsiTheme="minorEastAsia" w:eastAsiaTheme="minorEastAsia"/>
                <w:sz w:val="24"/>
                <w:szCs w:val="24"/>
              </w:rPr>
              <w:t>主要物资计划：主要物资（含PC构件的供应需求）投入计划与进度计划呼应，基本满足施工需要，调配投入计划基本合理。以上内容综合得</w:t>
            </w:r>
            <w:r>
              <w:rPr>
                <w:rFonts w:hint="eastAsia" w:cs="微软雅黑" w:asciiTheme="minorEastAsia" w:hAnsiTheme="minorEastAsia" w:eastAsiaTheme="minorEastAsia"/>
                <w:sz w:val="24"/>
                <w:szCs w:val="24"/>
                <w:lang w:val="en-US" w:eastAsia="zh-CN"/>
              </w:rPr>
              <w:t>3</w:t>
            </w:r>
            <w:r>
              <w:rPr>
                <w:rFonts w:hint="eastAsia" w:cs="微软雅黑" w:asciiTheme="minorEastAsia" w:hAnsiTheme="minorEastAsia" w:eastAsiaTheme="minorEastAsia"/>
                <w:sz w:val="24"/>
                <w:szCs w:val="24"/>
              </w:rPr>
              <w:t>分</w:t>
            </w:r>
            <w:r>
              <w:rPr>
                <w:rFonts w:hint="eastAsia" w:cs="微软雅黑" w:asciiTheme="minorEastAsia" w:hAnsiTheme="minorEastAsia" w:eastAsiaTheme="minorEastAsia"/>
                <w:sz w:val="24"/>
                <w:szCs w:val="24"/>
                <w:lang w:eastAsia="zh-CN"/>
              </w:rPr>
              <w:t>；</w:t>
            </w:r>
          </w:p>
          <w:p w14:paraId="3BDAA2B6">
            <w:pPr>
              <w:pageBreakBefore w:val="0"/>
              <w:widowControl/>
              <w:numPr>
                <w:ilvl w:val="0"/>
                <w:numId w:val="0"/>
              </w:numPr>
              <w:kinsoku/>
              <w:wordWrap w:val="0"/>
              <w:overflowPunct/>
              <w:topLinePunct w:val="0"/>
              <w:bidi w:val="0"/>
              <w:spacing w:line="360" w:lineRule="auto"/>
              <w:rPr>
                <w:rFonts w:hint="eastAsia" w:cs="微软雅黑" w:asciiTheme="minorEastAsia" w:hAnsiTheme="minorEastAsia" w:eastAsiaTheme="minorEastAsia"/>
                <w:sz w:val="24"/>
                <w:szCs w:val="24"/>
                <w:lang w:eastAsia="zh-CN"/>
              </w:rPr>
            </w:pPr>
            <w:r>
              <w:rPr>
                <w:rFonts w:hint="eastAsia" w:cs="微软雅黑" w:asciiTheme="minorEastAsia" w:hAnsiTheme="minorEastAsia" w:eastAsiaTheme="minorEastAsia"/>
                <w:sz w:val="24"/>
                <w:szCs w:val="24"/>
                <w:lang w:val="en-US" w:eastAsia="zh-CN"/>
              </w:rPr>
              <w:t>3、</w:t>
            </w:r>
            <w:r>
              <w:rPr>
                <w:rFonts w:hint="eastAsia" w:cs="微软雅黑" w:asciiTheme="minorEastAsia" w:hAnsiTheme="minorEastAsia" w:eastAsiaTheme="minorEastAsia"/>
                <w:sz w:val="24"/>
                <w:szCs w:val="24"/>
              </w:rPr>
              <w:t>缺项不得分</w:t>
            </w:r>
            <w:r>
              <w:rPr>
                <w:rFonts w:hint="eastAsia" w:cs="微软雅黑" w:asciiTheme="minorEastAsia" w:hAnsiTheme="minorEastAsia" w:eastAsiaTheme="minorEastAsia"/>
                <w:sz w:val="24"/>
                <w:szCs w:val="24"/>
                <w:lang w:eastAsia="zh-CN"/>
              </w:rPr>
              <w:t>；</w:t>
            </w:r>
          </w:p>
        </w:tc>
      </w:tr>
      <w:tr w14:paraId="639E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2" w:type="dxa"/>
            <w:vMerge w:val="continue"/>
            <w:tcBorders>
              <w:left w:val="single" w:color="auto" w:sz="4" w:space="0"/>
              <w:right w:val="single" w:color="auto" w:sz="4" w:space="0"/>
            </w:tcBorders>
            <w:noWrap w:val="0"/>
            <w:vAlign w:val="top"/>
          </w:tcPr>
          <w:p w14:paraId="61186234">
            <w:pPr>
              <w:pageBreakBefore w:val="0"/>
              <w:widowControl/>
              <w:kinsoku/>
              <w:wordWrap w:val="0"/>
              <w:overflowPunct/>
              <w:topLinePunct w:val="0"/>
              <w:bidi w:val="0"/>
              <w:spacing w:line="360" w:lineRule="auto"/>
              <w:textAlignment w:val="baseline"/>
              <w:rPr>
                <w:rFonts w:ascii="宋体" w:hAnsi="宋体" w:eastAsia="宋体" w:cs="宋体"/>
                <w:sz w:val="24"/>
              </w:rPr>
            </w:pPr>
          </w:p>
        </w:tc>
        <w:tc>
          <w:tcPr>
            <w:tcW w:w="1348" w:type="dxa"/>
            <w:tcBorders>
              <w:bottom w:val="single" w:color="auto" w:sz="4" w:space="0"/>
            </w:tcBorders>
            <w:noWrap w:val="0"/>
            <w:vAlign w:val="top"/>
          </w:tcPr>
          <w:p w14:paraId="490A0A0C">
            <w:pPr>
              <w:pageBreakBefore w:val="0"/>
              <w:widowControl/>
              <w:kinsoku/>
              <w:wordWrap w:val="0"/>
              <w:overflowPunct/>
              <w:topLinePunct w:val="0"/>
              <w:bidi w:val="0"/>
              <w:spacing w:line="360" w:lineRule="auto"/>
              <w:jc w:val="left"/>
              <w:rPr>
                <w:rFonts w:ascii="宋体" w:hAnsi="宋体" w:eastAsia="宋体" w:cs="宋体"/>
                <w:sz w:val="24"/>
              </w:rPr>
            </w:pPr>
            <w:r>
              <w:rPr>
                <w:rFonts w:hint="eastAsia" w:ascii="宋体" w:hAnsi="宋体" w:eastAsia="宋体" w:cs="宋体"/>
                <w:sz w:val="24"/>
              </w:rPr>
              <w:t>文明施工、环境保护管理体系与措施（0-</w:t>
            </w:r>
            <w:r>
              <w:rPr>
                <w:rFonts w:hint="eastAsia" w:ascii="宋体" w:hAnsi="宋体" w:cs="宋体"/>
                <w:sz w:val="24"/>
                <w:lang w:val="en-US" w:eastAsia="zh-CN"/>
              </w:rPr>
              <w:t>4</w:t>
            </w:r>
            <w:r>
              <w:rPr>
                <w:rFonts w:hint="eastAsia" w:ascii="宋体" w:hAnsi="宋体" w:eastAsia="宋体" w:cs="宋体"/>
                <w:sz w:val="24"/>
              </w:rPr>
              <w:t>分）</w:t>
            </w:r>
          </w:p>
        </w:tc>
        <w:tc>
          <w:tcPr>
            <w:tcW w:w="7144" w:type="dxa"/>
            <w:tcBorders>
              <w:bottom w:val="single" w:color="auto" w:sz="4" w:space="0"/>
            </w:tcBorders>
            <w:noWrap w:val="0"/>
            <w:vAlign w:val="center"/>
          </w:tcPr>
          <w:p w14:paraId="35D38B5C">
            <w:pPr>
              <w:pageBreakBefore w:val="0"/>
              <w:widowControl/>
              <w:numPr>
                <w:ilvl w:val="0"/>
                <w:numId w:val="6"/>
              </w:numPr>
              <w:tabs>
                <w:tab w:val="left" w:pos="9720"/>
              </w:tabs>
              <w:kinsoku/>
              <w:wordWrap w:val="0"/>
              <w:overflowPunct/>
              <w:topLinePunct w:val="0"/>
              <w:autoSpaceDE w:val="0"/>
              <w:autoSpaceDN w:val="0"/>
              <w:bidi w:val="0"/>
              <w:adjustRightInd w:val="0"/>
              <w:spacing w:line="360" w:lineRule="auto"/>
              <w:jc w:val="left"/>
              <w:rPr>
                <w:rFonts w:ascii="宋体" w:hAnsi="宋体" w:eastAsia="宋体" w:cs="宋体"/>
                <w:sz w:val="24"/>
              </w:rPr>
            </w:pPr>
            <w:r>
              <w:rPr>
                <w:rFonts w:hint="eastAsia" w:cs="微软雅黑" w:asciiTheme="minorEastAsia" w:hAnsiTheme="minorEastAsia" w:eastAsiaTheme="minorEastAsia"/>
                <w:sz w:val="24"/>
                <w:szCs w:val="24"/>
              </w:rPr>
              <w:t>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r>
              <w:rPr>
                <w:rFonts w:hint="eastAsia" w:cs="微软雅黑" w:asciiTheme="minorEastAsia" w:hAnsiTheme="minorEastAsia" w:eastAsiaTheme="minorEastAsia"/>
                <w:sz w:val="24"/>
                <w:szCs w:val="24"/>
                <w:lang w:eastAsia="zh-CN"/>
              </w:rPr>
              <w:t>，得</w:t>
            </w:r>
            <w:r>
              <w:rPr>
                <w:rFonts w:hint="eastAsia" w:cs="微软雅黑" w:asciiTheme="minorEastAsia" w:hAnsiTheme="minorEastAsia" w:eastAsiaTheme="minorEastAsia"/>
                <w:sz w:val="24"/>
                <w:szCs w:val="24"/>
                <w:lang w:val="en-US" w:eastAsia="zh-CN"/>
              </w:rPr>
              <w:t>4分；</w:t>
            </w:r>
          </w:p>
          <w:p w14:paraId="45AAF87E">
            <w:pPr>
              <w:pageBreakBefore w:val="0"/>
              <w:widowControl/>
              <w:numPr>
                <w:ilvl w:val="0"/>
                <w:numId w:val="6"/>
              </w:numPr>
              <w:tabs>
                <w:tab w:val="left" w:pos="9720"/>
              </w:tabs>
              <w:kinsoku/>
              <w:wordWrap w:val="0"/>
              <w:overflowPunct/>
              <w:topLinePunct w:val="0"/>
              <w:autoSpaceDE w:val="0"/>
              <w:autoSpaceDN w:val="0"/>
              <w:bidi w:val="0"/>
              <w:adjustRightInd w:val="0"/>
              <w:spacing w:line="360" w:lineRule="auto"/>
              <w:jc w:val="left"/>
              <w:rPr>
                <w:rFonts w:ascii="宋体" w:hAnsi="宋体" w:eastAsia="宋体" w:cs="宋体"/>
                <w:sz w:val="24"/>
              </w:rPr>
            </w:pPr>
            <w:r>
              <w:rPr>
                <w:rFonts w:hint="eastAsia" w:cs="微软雅黑" w:asciiTheme="minorEastAsia" w:hAnsiTheme="minorEastAsia" w:eastAsiaTheme="minorEastAsia"/>
                <w:sz w:val="24"/>
                <w:szCs w:val="24"/>
              </w:rPr>
              <w:t>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w:t>
            </w:r>
            <w:r>
              <w:rPr>
                <w:rFonts w:hint="eastAsia" w:cs="微软雅黑" w:asciiTheme="minorEastAsia" w:hAnsiTheme="minorEastAsia" w:eastAsiaTheme="minorEastAsia"/>
                <w:sz w:val="24"/>
                <w:szCs w:val="24"/>
                <w:lang w:eastAsia="zh-CN"/>
              </w:rPr>
              <w:t>，得</w:t>
            </w:r>
            <w:r>
              <w:rPr>
                <w:rFonts w:hint="eastAsia" w:cs="微软雅黑" w:asciiTheme="minorEastAsia" w:hAnsiTheme="minorEastAsia" w:eastAsiaTheme="minorEastAsia"/>
                <w:sz w:val="24"/>
                <w:szCs w:val="24"/>
                <w:lang w:val="en-US" w:eastAsia="zh-CN"/>
              </w:rPr>
              <w:t>2分；</w:t>
            </w:r>
          </w:p>
          <w:p w14:paraId="0DE8E731">
            <w:pPr>
              <w:pageBreakBefore w:val="0"/>
              <w:widowControl/>
              <w:numPr>
                <w:ilvl w:val="0"/>
                <w:numId w:val="6"/>
              </w:numPr>
              <w:tabs>
                <w:tab w:val="left" w:pos="9720"/>
              </w:tabs>
              <w:kinsoku/>
              <w:wordWrap w:val="0"/>
              <w:overflowPunct/>
              <w:topLinePunct w:val="0"/>
              <w:autoSpaceDE w:val="0"/>
              <w:autoSpaceDN w:val="0"/>
              <w:bidi w:val="0"/>
              <w:adjustRightInd w:val="0"/>
              <w:spacing w:line="360" w:lineRule="auto"/>
              <w:jc w:val="left"/>
              <w:rPr>
                <w:rFonts w:ascii="宋体" w:hAnsi="宋体" w:eastAsia="宋体" w:cs="宋体"/>
                <w:sz w:val="24"/>
              </w:rPr>
            </w:pPr>
            <w:r>
              <w:rPr>
                <w:rFonts w:hint="eastAsia" w:ascii="宋体" w:hAnsi="宋体" w:eastAsia="宋体" w:cs="宋体"/>
                <w:sz w:val="24"/>
              </w:rPr>
              <w:t>不提供不得分</w:t>
            </w:r>
            <w:r>
              <w:rPr>
                <w:rFonts w:hint="eastAsia" w:ascii="宋体" w:hAnsi="宋体" w:eastAsia="宋体" w:cs="宋体"/>
                <w:sz w:val="24"/>
                <w:lang w:eastAsia="zh-CN"/>
              </w:rPr>
              <w:t>；</w:t>
            </w:r>
          </w:p>
        </w:tc>
      </w:tr>
      <w:tr w14:paraId="0507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32" w:type="dxa"/>
            <w:vMerge w:val="continue"/>
            <w:tcBorders>
              <w:left w:val="single" w:color="auto" w:sz="4" w:space="0"/>
              <w:right w:val="single" w:color="auto" w:sz="4" w:space="0"/>
            </w:tcBorders>
            <w:noWrap w:val="0"/>
            <w:vAlign w:val="top"/>
          </w:tcPr>
          <w:p w14:paraId="67B3CD9C">
            <w:pPr>
              <w:pageBreakBefore w:val="0"/>
              <w:widowControl/>
              <w:kinsoku/>
              <w:wordWrap w:val="0"/>
              <w:overflowPunct/>
              <w:topLinePunct w:val="0"/>
              <w:bidi w:val="0"/>
              <w:spacing w:line="360" w:lineRule="auto"/>
              <w:textAlignment w:val="baseline"/>
              <w:rPr>
                <w:rFonts w:ascii="宋体" w:hAnsi="宋体" w:eastAsia="宋体" w:cs="宋体"/>
                <w:sz w:val="24"/>
              </w:rPr>
            </w:pPr>
          </w:p>
        </w:tc>
        <w:tc>
          <w:tcPr>
            <w:tcW w:w="1348" w:type="dxa"/>
            <w:noWrap w:val="0"/>
            <w:vAlign w:val="top"/>
          </w:tcPr>
          <w:p w14:paraId="45AC2437">
            <w:pPr>
              <w:pageBreakBefore w:val="0"/>
              <w:widowControl/>
              <w:kinsoku/>
              <w:wordWrap w:val="0"/>
              <w:overflowPunct/>
              <w:topLinePunct w:val="0"/>
              <w:bidi w:val="0"/>
              <w:spacing w:line="360" w:lineRule="auto"/>
              <w:jc w:val="left"/>
              <w:rPr>
                <w:rFonts w:ascii="宋体" w:hAnsi="宋体" w:eastAsia="宋体" w:cs="宋体"/>
                <w:sz w:val="24"/>
              </w:rPr>
            </w:pPr>
            <w:r>
              <w:rPr>
                <w:rFonts w:cs="微软雅黑" w:asciiTheme="minorEastAsia" w:hAnsiTheme="minorEastAsia" w:eastAsiaTheme="minorEastAsia"/>
                <w:sz w:val="24"/>
                <w:szCs w:val="24"/>
              </w:rPr>
              <w:t>施工进度表或施工网络图</w:t>
            </w:r>
            <w:r>
              <w:rPr>
                <w:rFonts w:hint="eastAsia" w:ascii="宋体" w:hAnsi="宋体" w:eastAsia="宋体" w:cs="宋体"/>
                <w:sz w:val="24"/>
              </w:rPr>
              <w:t>（0-</w:t>
            </w:r>
            <w:r>
              <w:rPr>
                <w:rFonts w:hint="eastAsia" w:ascii="宋体" w:hAnsi="宋体" w:cs="宋体"/>
                <w:sz w:val="24"/>
                <w:lang w:val="en-US" w:eastAsia="zh-CN"/>
              </w:rPr>
              <w:t>4</w:t>
            </w:r>
            <w:r>
              <w:rPr>
                <w:rFonts w:hint="eastAsia" w:ascii="宋体" w:hAnsi="宋体" w:eastAsia="宋体" w:cs="宋体"/>
                <w:sz w:val="24"/>
              </w:rPr>
              <w:t xml:space="preserve">分） </w:t>
            </w:r>
          </w:p>
        </w:tc>
        <w:tc>
          <w:tcPr>
            <w:tcW w:w="7144" w:type="dxa"/>
            <w:tcBorders>
              <w:bottom w:val="single" w:color="auto" w:sz="4" w:space="0"/>
            </w:tcBorders>
            <w:noWrap w:val="0"/>
            <w:vAlign w:val="center"/>
          </w:tcPr>
          <w:p w14:paraId="166DCC55">
            <w:pPr>
              <w:pageBreakBefore w:val="0"/>
              <w:widowControl/>
              <w:numPr>
                <w:ilvl w:val="0"/>
                <w:numId w:val="7"/>
              </w:numPr>
              <w:tabs>
                <w:tab w:val="left" w:pos="9720"/>
              </w:tabs>
              <w:kinsoku/>
              <w:wordWrap w:val="0"/>
              <w:overflowPunct/>
              <w:topLinePunct w:val="0"/>
              <w:autoSpaceDE w:val="0"/>
              <w:autoSpaceDN w:val="0"/>
              <w:bidi w:val="0"/>
              <w:adjustRightInd w:val="0"/>
              <w:spacing w:line="360" w:lineRule="auto"/>
              <w:jc w:val="left"/>
              <w:rPr>
                <w:rFonts w:hint="eastAsia"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关键线路清晰、准确、完整、计划编制合理、可行、满足招标文件对工期的要求</w:t>
            </w:r>
            <w:r>
              <w:rPr>
                <w:rFonts w:hint="eastAsia" w:cs="微软雅黑" w:asciiTheme="minorEastAsia" w:hAnsiTheme="minorEastAsia" w:eastAsiaTheme="minorEastAsia"/>
                <w:sz w:val="24"/>
                <w:szCs w:val="24"/>
                <w:lang w:eastAsia="zh-CN"/>
              </w:rPr>
              <w:t>，得</w:t>
            </w:r>
            <w:r>
              <w:rPr>
                <w:rFonts w:hint="eastAsia" w:cs="微软雅黑" w:asciiTheme="minorEastAsia" w:hAnsiTheme="minorEastAsia" w:eastAsiaTheme="minorEastAsia"/>
                <w:sz w:val="24"/>
                <w:szCs w:val="24"/>
                <w:lang w:val="en-US" w:eastAsia="zh-CN"/>
              </w:rPr>
              <w:t>4分；</w:t>
            </w:r>
          </w:p>
          <w:p w14:paraId="29E31E37">
            <w:pPr>
              <w:pageBreakBefore w:val="0"/>
              <w:widowControl/>
              <w:numPr>
                <w:ilvl w:val="0"/>
                <w:numId w:val="7"/>
              </w:numPr>
              <w:tabs>
                <w:tab w:val="left" w:pos="9720"/>
              </w:tabs>
              <w:kinsoku/>
              <w:wordWrap w:val="0"/>
              <w:overflowPunct/>
              <w:topLinePunct w:val="0"/>
              <w:autoSpaceDE w:val="0"/>
              <w:autoSpaceDN w:val="0"/>
              <w:bidi w:val="0"/>
              <w:adjustRightInd w:val="0"/>
              <w:spacing w:line="360" w:lineRule="auto"/>
              <w:ind w:left="0" w:leftChars="0" w:firstLine="0" w:firstLineChars="0"/>
              <w:jc w:val="left"/>
              <w:rPr>
                <w:rFonts w:hint="eastAsia"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关键线路基本准确，计划编制基本可行</w:t>
            </w:r>
            <w:r>
              <w:rPr>
                <w:rFonts w:hint="eastAsia" w:cs="微软雅黑" w:asciiTheme="minorEastAsia" w:hAnsiTheme="minorEastAsia" w:eastAsiaTheme="minorEastAsia"/>
                <w:sz w:val="24"/>
                <w:szCs w:val="24"/>
                <w:lang w:eastAsia="zh-CN"/>
              </w:rPr>
              <w:t>，得</w:t>
            </w:r>
            <w:r>
              <w:rPr>
                <w:rFonts w:hint="eastAsia" w:cs="微软雅黑" w:asciiTheme="minorEastAsia" w:hAnsiTheme="minorEastAsia" w:eastAsiaTheme="minorEastAsia"/>
                <w:sz w:val="24"/>
                <w:szCs w:val="24"/>
                <w:lang w:val="en-US" w:eastAsia="zh-CN"/>
              </w:rPr>
              <w:t>2分；</w:t>
            </w:r>
          </w:p>
          <w:p w14:paraId="3AAE0236">
            <w:pPr>
              <w:pageBreakBefore w:val="0"/>
              <w:widowControl/>
              <w:numPr>
                <w:ilvl w:val="0"/>
                <w:numId w:val="0"/>
              </w:numPr>
              <w:tabs>
                <w:tab w:val="left" w:pos="9720"/>
              </w:tabs>
              <w:kinsoku/>
              <w:wordWrap w:val="0"/>
              <w:overflowPunct/>
              <w:topLinePunct w:val="0"/>
              <w:autoSpaceDE w:val="0"/>
              <w:autoSpaceDN w:val="0"/>
              <w:bidi w:val="0"/>
              <w:adjustRightInd w:val="0"/>
              <w:spacing w:line="360" w:lineRule="auto"/>
              <w:ind w:leftChars="0"/>
              <w:jc w:val="left"/>
              <w:rPr>
                <w:rFonts w:hint="eastAsia" w:eastAsia="宋体"/>
                <w:lang w:val="en-US" w:eastAsia="zh-CN"/>
              </w:rPr>
            </w:pPr>
            <w:r>
              <w:rPr>
                <w:rFonts w:hint="eastAsia" w:ascii="宋体" w:hAnsi="宋体" w:eastAsia="宋体" w:cs="宋体"/>
                <w:sz w:val="24"/>
                <w:lang w:val="en-US" w:eastAsia="zh-CN"/>
              </w:rPr>
              <w:t>3、</w:t>
            </w:r>
            <w:r>
              <w:rPr>
                <w:rFonts w:hint="eastAsia" w:ascii="宋体" w:hAnsi="宋体" w:eastAsia="宋体" w:cs="宋体"/>
                <w:sz w:val="24"/>
              </w:rPr>
              <w:t>缺项不得分</w:t>
            </w:r>
            <w:r>
              <w:rPr>
                <w:rFonts w:hint="eastAsia" w:ascii="宋体" w:hAnsi="宋体" w:eastAsia="宋体" w:cs="宋体"/>
                <w:sz w:val="24"/>
                <w:lang w:eastAsia="zh-CN"/>
              </w:rPr>
              <w:t>；</w:t>
            </w:r>
          </w:p>
        </w:tc>
      </w:tr>
      <w:tr w14:paraId="17E6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vMerge w:val="continue"/>
            <w:tcBorders>
              <w:left w:val="single" w:color="auto" w:sz="4" w:space="0"/>
              <w:right w:val="single" w:color="auto" w:sz="4" w:space="0"/>
            </w:tcBorders>
            <w:noWrap w:val="0"/>
            <w:vAlign w:val="top"/>
          </w:tcPr>
          <w:p w14:paraId="7DF081B5">
            <w:pPr>
              <w:pageBreakBefore w:val="0"/>
              <w:widowControl/>
              <w:kinsoku/>
              <w:wordWrap w:val="0"/>
              <w:overflowPunct/>
              <w:topLinePunct w:val="0"/>
              <w:bidi w:val="0"/>
              <w:spacing w:line="360" w:lineRule="auto"/>
              <w:textAlignment w:val="baseline"/>
              <w:rPr>
                <w:rFonts w:ascii="宋体" w:hAnsi="宋体" w:eastAsia="宋体" w:cs="宋体"/>
                <w:sz w:val="24"/>
              </w:rPr>
            </w:pPr>
          </w:p>
        </w:tc>
        <w:tc>
          <w:tcPr>
            <w:tcW w:w="1348" w:type="dxa"/>
            <w:noWrap w:val="0"/>
            <w:vAlign w:val="center"/>
          </w:tcPr>
          <w:p w14:paraId="03755618">
            <w:pPr>
              <w:pageBreakBefore w:val="0"/>
              <w:widowControl/>
              <w:kinsoku/>
              <w:wordWrap w:val="0"/>
              <w:overflowPunct/>
              <w:topLinePunct w:val="0"/>
              <w:bidi w:val="0"/>
              <w:spacing w:line="360" w:lineRule="auto"/>
              <w:jc w:val="left"/>
              <w:rPr>
                <w:rFonts w:ascii="宋体" w:hAnsi="宋体" w:eastAsia="宋体" w:cs="宋体"/>
                <w:sz w:val="24"/>
              </w:rPr>
            </w:pPr>
            <w:r>
              <w:rPr>
                <w:rFonts w:hint="eastAsia" w:ascii="宋体" w:hAnsi="宋体" w:eastAsia="宋体" w:cs="宋体"/>
                <w:sz w:val="24"/>
              </w:rPr>
              <w:t>施工现场实施信息化监控和数据处理（0-2分）</w:t>
            </w:r>
          </w:p>
        </w:tc>
        <w:tc>
          <w:tcPr>
            <w:tcW w:w="7144" w:type="dxa"/>
            <w:noWrap w:val="0"/>
            <w:vAlign w:val="center"/>
          </w:tcPr>
          <w:p w14:paraId="46EED8C9">
            <w:pPr>
              <w:pageBreakBefore w:val="0"/>
              <w:widowControl/>
              <w:numPr>
                <w:ilvl w:val="0"/>
                <w:numId w:val="8"/>
              </w:numPr>
              <w:tabs>
                <w:tab w:val="left" w:pos="9720"/>
              </w:tabs>
              <w:kinsoku/>
              <w:wordWrap w:val="0"/>
              <w:overflowPunct/>
              <w:topLinePunct w:val="0"/>
              <w:autoSpaceDE w:val="0"/>
              <w:autoSpaceDN w:val="0"/>
              <w:bidi w:val="0"/>
              <w:adjustRightInd w:val="0"/>
              <w:spacing w:line="360" w:lineRule="auto"/>
              <w:jc w:val="left"/>
              <w:rPr>
                <w:rFonts w:hint="eastAsia" w:ascii="宋体" w:hAnsi="宋体" w:eastAsia="宋体" w:cs="宋体"/>
                <w:sz w:val="24"/>
              </w:rPr>
            </w:pPr>
            <w:r>
              <w:rPr>
                <w:rFonts w:hint="eastAsia" w:ascii="宋体" w:hAnsi="宋体" w:eastAsia="宋体" w:cs="宋体"/>
                <w:sz w:val="24"/>
              </w:rPr>
              <w:t>企业具备信息化管理平台，能够使工程管理者对现场实施监控和数据处理的得2分</w:t>
            </w:r>
            <w:r>
              <w:rPr>
                <w:rFonts w:hint="eastAsia" w:ascii="宋体" w:hAnsi="宋体" w:eastAsia="宋体" w:cs="宋体"/>
                <w:sz w:val="24"/>
                <w:lang w:eastAsia="zh-CN"/>
              </w:rPr>
              <w:t>；</w:t>
            </w:r>
          </w:p>
          <w:p w14:paraId="64659ADA">
            <w:pPr>
              <w:pageBreakBefore w:val="0"/>
              <w:widowControl/>
              <w:numPr>
                <w:ilvl w:val="0"/>
                <w:numId w:val="8"/>
              </w:numPr>
              <w:tabs>
                <w:tab w:val="left" w:pos="9720"/>
              </w:tabs>
              <w:kinsoku/>
              <w:wordWrap w:val="0"/>
              <w:overflowPunct/>
              <w:topLinePunct w:val="0"/>
              <w:autoSpaceDE w:val="0"/>
              <w:autoSpaceDN w:val="0"/>
              <w:bidi w:val="0"/>
              <w:adjustRightInd w:val="0"/>
              <w:spacing w:line="360" w:lineRule="auto"/>
              <w:jc w:val="left"/>
              <w:rPr>
                <w:rFonts w:ascii="宋体" w:hAnsi="宋体" w:eastAsia="宋体" w:cs="宋体"/>
                <w:sz w:val="24"/>
              </w:rPr>
            </w:pPr>
            <w:r>
              <w:rPr>
                <w:rFonts w:hint="eastAsia" w:ascii="宋体" w:hAnsi="宋体" w:eastAsia="宋体" w:cs="宋体"/>
                <w:sz w:val="24"/>
              </w:rPr>
              <w:t>不提供不得分</w:t>
            </w:r>
            <w:r>
              <w:rPr>
                <w:rFonts w:hint="eastAsia" w:ascii="宋体" w:hAnsi="宋体" w:eastAsia="宋体" w:cs="宋体"/>
                <w:sz w:val="24"/>
                <w:lang w:eastAsia="zh-CN"/>
              </w:rPr>
              <w:t>；</w:t>
            </w:r>
          </w:p>
        </w:tc>
      </w:tr>
      <w:tr w14:paraId="5EEE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132" w:type="dxa"/>
            <w:vMerge w:val="continue"/>
            <w:tcBorders>
              <w:left w:val="single" w:color="auto" w:sz="4" w:space="0"/>
              <w:right w:val="single" w:color="auto" w:sz="4" w:space="0"/>
            </w:tcBorders>
            <w:noWrap w:val="0"/>
            <w:vAlign w:val="top"/>
          </w:tcPr>
          <w:p w14:paraId="7E50C9D9">
            <w:pPr>
              <w:pageBreakBefore w:val="0"/>
              <w:widowControl/>
              <w:kinsoku/>
              <w:wordWrap w:val="0"/>
              <w:overflowPunct/>
              <w:topLinePunct w:val="0"/>
              <w:bidi w:val="0"/>
              <w:spacing w:line="360" w:lineRule="auto"/>
              <w:textAlignment w:val="baseline"/>
              <w:rPr>
                <w:rFonts w:ascii="宋体" w:hAnsi="宋体" w:eastAsia="宋体" w:cs="宋体"/>
                <w:sz w:val="24"/>
              </w:rPr>
            </w:pPr>
          </w:p>
        </w:tc>
        <w:tc>
          <w:tcPr>
            <w:tcW w:w="1348" w:type="dxa"/>
            <w:noWrap w:val="0"/>
            <w:vAlign w:val="center"/>
          </w:tcPr>
          <w:p w14:paraId="28C971C5">
            <w:pPr>
              <w:pageBreakBefore w:val="0"/>
              <w:widowControl/>
              <w:kinsoku/>
              <w:wordWrap w:val="0"/>
              <w:overflowPunct/>
              <w:topLinePunct w:val="0"/>
              <w:bidi w:val="0"/>
              <w:spacing w:line="360" w:lineRule="auto"/>
              <w:jc w:val="left"/>
              <w:rPr>
                <w:rFonts w:ascii="宋体" w:hAnsi="宋体" w:eastAsia="宋体" w:cs="宋体"/>
                <w:sz w:val="24"/>
              </w:rPr>
            </w:pPr>
            <w:r>
              <w:rPr>
                <w:rFonts w:hint="eastAsia" w:ascii="宋体" w:hAnsi="宋体" w:eastAsia="宋体" w:cs="宋体"/>
                <w:sz w:val="24"/>
              </w:rPr>
              <w:t>风险管理措施（0-</w:t>
            </w:r>
            <w:r>
              <w:rPr>
                <w:rFonts w:hint="eastAsia" w:ascii="宋体" w:hAnsi="宋体" w:cs="宋体"/>
                <w:sz w:val="24"/>
                <w:lang w:val="en-US" w:eastAsia="zh-CN"/>
              </w:rPr>
              <w:t>4</w:t>
            </w:r>
            <w:r>
              <w:rPr>
                <w:rFonts w:hint="eastAsia" w:ascii="宋体" w:hAnsi="宋体" w:eastAsia="宋体" w:cs="宋体"/>
                <w:sz w:val="24"/>
              </w:rPr>
              <w:t>分）</w:t>
            </w:r>
          </w:p>
        </w:tc>
        <w:tc>
          <w:tcPr>
            <w:tcW w:w="7144" w:type="dxa"/>
            <w:noWrap w:val="0"/>
            <w:vAlign w:val="center"/>
          </w:tcPr>
          <w:p w14:paraId="6C8D4EAD">
            <w:pPr>
              <w:pageBreakBefore w:val="0"/>
              <w:widowControl/>
              <w:numPr>
                <w:ilvl w:val="0"/>
                <w:numId w:val="9"/>
              </w:numPr>
              <w:tabs>
                <w:tab w:val="left" w:pos="9720"/>
              </w:tabs>
              <w:kinsoku/>
              <w:wordWrap w:val="0"/>
              <w:overflowPunct/>
              <w:topLinePunct w:val="0"/>
              <w:autoSpaceDE w:val="0"/>
              <w:autoSpaceDN w:val="0"/>
              <w:bidi w:val="0"/>
              <w:adjustRightInd w:val="0"/>
              <w:spacing w:line="360" w:lineRule="auto"/>
              <w:jc w:val="left"/>
              <w:rPr>
                <w:rFonts w:hint="eastAsia" w:cs="微软雅黑" w:asciiTheme="minorEastAsia" w:hAnsiTheme="minorEastAsia" w:eastAsiaTheme="minorEastAsia"/>
                <w:sz w:val="24"/>
                <w:szCs w:val="24"/>
                <w:lang w:val="en-US" w:eastAsia="zh-CN"/>
              </w:rPr>
            </w:pPr>
            <w:r>
              <w:rPr>
                <w:rFonts w:hint="eastAsia" w:cs="微软雅黑" w:asciiTheme="minorEastAsia" w:hAnsiTheme="minorEastAsia" w:eastAsiaTheme="minorEastAsia"/>
                <w:sz w:val="24"/>
                <w:szCs w:val="24"/>
              </w:rPr>
              <w:t>风险防控管理措施齐全，风险预控符合规范要求，风险控制要点定位准确，各阶段风险控制及应急措施得力</w:t>
            </w:r>
            <w:r>
              <w:rPr>
                <w:rFonts w:hint="eastAsia" w:cs="微软雅黑" w:asciiTheme="minorEastAsia" w:hAnsiTheme="minorEastAsia" w:eastAsiaTheme="minorEastAsia"/>
                <w:sz w:val="24"/>
                <w:szCs w:val="24"/>
                <w:lang w:eastAsia="zh-CN"/>
              </w:rPr>
              <w:t>，得</w:t>
            </w:r>
            <w:r>
              <w:rPr>
                <w:rFonts w:hint="eastAsia" w:cs="微软雅黑" w:asciiTheme="minorEastAsia" w:hAnsiTheme="minorEastAsia" w:eastAsiaTheme="minorEastAsia"/>
                <w:sz w:val="24"/>
                <w:szCs w:val="24"/>
                <w:lang w:val="en-US" w:eastAsia="zh-CN"/>
              </w:rPr>
              <w:t>5分；</w:t>
            </w:r>
          </w:p>
          <w:p w14:paraId="1A8E7E6D">
            <w:pPr>
              <w:pageBreakBefore w:val="0"/>
              <w:widowControl/>
              <w:numPr>
                <w:ilvl w:val="0"/>
                <w:numId w:val="9"/>
              </w:numPr>
              <w:tabs>
                <w:tab w:val="left" w:pos="9720"/>
              </w:tabs>
              <w:kinsoku/>
              <w:wordWrap w:val="0"/>
              <w:overflowPunct/>
              <w:topLinePunct w:val="0"/>
              <w:autoSpaceDE w:val="0"/>
              <w:autoSpaceDN w:val="0"/>
              <w:bidi w:val="0"/>
              <w:adjustRightInd w:val="0"/>
              <w:spacing w:line="360" w:lineRule="auto"/>
              <w:jc w:val="left"/>
              <w:rPr>
                <w:rFonts w:hint="eastAsia" w:cs="微软雅黑" w:asciiTheme="minorEastAsia" w:hAnsiTheme="minorEastAsia" w:eastAsiaTheme="minorEastAsia"/>
                <w:sz w:val="24"/>
                <w:szCs w:val="24"/>
                <w:lang w:val="en-US" w:eastAsia="zh-CN"/>
              </w:rPr>
            </w:pPr>
            <w:r>
              <w:rPr>
                <w:rFonts w:hint="eastAsia" w:cs="微软雅黑" w:asciiTheme="minorEastAsia" w:hAnsiTheme="minorEastAsia" w:eastAsiaTheme="minorEastAsia"/>
                <w:sz w:val="24"/>
                <w:szCs w:val="24"/>
              </w:rPr>
              <w:t>风险防控管理措施基本齐全，风险预控符合规范要求，风险控制要点定位基本准确，有各阶段风险控制及应急措施</w:t>
            </w:r>
            <w:r>
              <w:rPr>
                <w:rFonts w:hint="eastAsia" w:cs="微软雅黑" w:asciiTheme="minorEastAsia" w:hAnsiTheme="minorEastAsia" w:eastAsiaTheme="minorEastAsia"/>
                <w:sz w:val="24"/>
                <w:szCs w:val="24"/>
                <w:lang w:eastAsia="zh-CN"/>
              </w:rPr>
              <w:t>，得</w:t>
            </w:r>
            <w:r>
              <w:rPr>
                <w:rFonts w:hint="eastAsia" w:cs="微软雅黑" w:asciiTheme="minorEastAsia" w:hAnsiTheme="minorEastAsia" w:eastAsiaTheme="minorEastAsia"/>
                <w:sz w:val="24"/>
                <w:szCs w:val="24"/>
                <w:lang w:val="en-US" w:eastAsia="zh-CN"/>
              </w:rPr>
              <w:t>3分；</w:t>
            </w:r>
          </w:p>
          <w:p w14:paraId="1B49F048">
            <w:pPr>
              <w:pageBreakBefore w:val="0"/>
              <w:widowControl/>
              <w:tabs>
                <w:tab w:val="left" w:pos="9720"/>
              </w:tabs>
              <w:kinsoku/>
              <w:wordWrap w:val="0"/>
              <w:overflowPunct/>
              <w:topLinePunct w:val="0"/>
              <w:autoSpaceDE w:val="0"/>
              <w:autoSpaceDN w:val="0"/>
              <w:bidi w:val="0"/>
              <w:adjustRightInd w:val="0"/>
              <w:spacing w:line="360" w:lineRule="auto"/>
              <w:jc w:val="left"/>
              <w:rPr>
                <w:rFonts w:hint="eastAsia" w:ascii="宋体" w:hAnsi="宋体" w:eastAsia="宋体" w:cs="宋体"/>
                <w:sz w:val="24"/>
                <w:lang w:eastAsia="zh-CN"/>
              </w:rPr>
            </w:pPr>
            <w:r>
              <w:rPr>
                <w:rFonts w:hint="eastAsia" w:cs="微软雅黑" w:asciiTheme="minorEastAsia" w:hAnsiTheme="minorEastAsia" w:eastAsiaTheme="minorEastAsia"/>
                <w:sz w:val="24"/>
                <w:szCs w:val="24"/>
              </w:rPr>
              <w:t>3</w:t>
            </w:r>
            <w:r>
              <w:rPr>
                <w:rFonts w:hint="eastAsia" w:cs="微软雅黑" w:asciiTheme="minorEastAsia" w:hAnsiTheme="minorEastAsia" w:eastAsiaTheme="minorEastAsia"/>
                <w:sz w:val="24"/>
                <w:szCs w:val="24"/>
                <w:lang w:eastAsia="zh-CN"/>
              </w:rPr>
              <w:t>、</w:t>
            </w:r>
            <w:r>
              <w:rPr>
                <w:rFonts w:hint="eastAsia" w:ascii="宋体" w:hAnsi="宋体" w:eastAsia="宋体" w:cs="宋体"/>
                <w:sz w:val="24"/>
              </w:rPr>
              <w:t>缺项不得分</w:t>
            </w:r>
            <w:r>
              <w:rPr>
                <w:rFonts w:hint="eastAsia" w:ascii="宋体" w:hAnsi="宋体" w:eastAsia="宋体" w:cs="宋体"/>
                <w:sz w:val="24"/>
                <w:lang w:eastAsia="zh-CN"/>
              </w:rPr>
              <w:t>；</w:t>
            </w:r>
          </w:p>
        </w:tc>
      </w:tr>
      <w:tr w14:paraId="2A25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32" w:type="dxa"/>
            <w:vMerge w:val="continue"/>
            <w:tcBorders>
              <w:left w:val="single" w:color="auto" w:sz="4" w:space="0"/>
              <w:right w:val="single" w:color="auto" w:sz="4" w:space="0"/>
            </w:tcBorders>
            <w:noWrap w:val="0"/>
            <w:vAlign w:val="top"/>
          </w:tcPr>
          <w:p w14:paraId="0D946B2D">
            <w:pPr>
              <w:pageBreakBefore w:val="0"/>
              <w:widowControl/>
              <w:kinsoku/>
              <w:wordWrap w:val="0"/>
              <w:overflowPunct/>
              <w:topLinePunct w:val="0"/>
              <w:bidi w:val="0"/>
              <w:spacing w:line="360" w:lineRule="auto"/>
              <w:textAlignment w:val="baseline"/>
              <w:rPr>
                <w:rFonts w:ascii="宋体" w:hAnsi="宋体" w:eastAsia="宋体" w:cs="宋体"/>
                <w:sz w:val="24"/>
              </w:rPr>
            </w:pPr>
          </w:p>
        </w:tc>
        <w:tc>
          <w:tcPr>
            <w:tcW w:w="1348" w:type="dxa"/>
            <w:noWrap w:val="0"/>
            <w:vAlign w:val="center"/>
          </w:tcPr>
          <w:p w14:paraId="05862FB4">
            <w:pPr>
              <w:pageBreakBefore w:val="0"/>
              <w:widowControl/>
              <w:kinsoku/>
              <w:wordWrap w:val="0"/>
              <w:overflowPunct/>
              <w:topLinePunct w:val="0"/>
              <w:bidi w:val="0"/>
              <w:spacing w:line="360" w:lineRule="auto"/>
              <w:jc w:val="left"/>
              <w:rPr>
                <w:rFonts w:hint="eastAsia" w:ascii="宋体" w:hAnsi="宋体" w:eastAsia="宋体" w:cs="宋体"/>
                <w:sz w:val="24"/>
              </w:rPr>
            </w:pPr>
            <w:r>
              <w:rPr>
                <w:rFonts w:hint="eastAsia" w:cs="微软雅黑" w:asciiTheme="minorEastAsia" w:hAnsiTheme="minorEastAsia" w:eastAsiaTheme="minorEastAsia"/>
                <w:sz w:val="24"/>
                <w:szCs w:val="24"/>
              </w:rPr>
              <w:t>技术创新的应用实施措施</w:t>
            </w:r>
            <w:r>
              <w:rPr>
                <w:rFonts w:hint="eastAsia" w:ascii="宋体" w:hAnsi="宋体" w:eastAsia="宋体" w:cs="宋体"/>
                <w:sz w:val="24"/>
              </w:rPr>
              <w:t>（0-4分）</w:t>
            </w:r>
          </w:p>
        </w:tc>
        <w:tc>
          <w:tcPr>
            <w:tcW w:w="7144" w:type="dxa"/>
            <w:noWrap w:val="0"/>
            <w:vAlign w:val="center"/>
          </w:tcPr>
          <w:p w14:paraId="550011F6">
            <w:pPr>
              <w:pageBreakBefore w:val="0"/>
              <w:widowControl/>
              <w:numPr>
                <w:ilvl w:val="0"/>
                <w:numId w:val="10"/>
              </w:numPr>
              <w:tabs>
                <w:tab w:val="left" w:pos="9720"/>
              </w:tabs>
              <w:kinsoku/>
              <w:wordWrap w:val="0"/>
              <w:overflowPunct/>
              <w:topLinePunct w:val="0"/>
              <w:autoSpaceDE w:val="0"/>
              <w:autoSpaceDN w:val="0"/>
              <w:bidi w:val="0"/>
              <w:adjustRightInd w:val="0"/>
              <w:spacing w:line="360" w:lineRule="auto"/>
              <w:jc w:val="left"/>
              <w:rPr>
                <w:rFonts w:hint="eastAsia" w:cs="微软雅黑" w:asciiTheme="minorEastAsia" w:hAnsiTheme="minorEastAsia" w:eastAsiaTheme="minorEastAsia"/>
                <w:sz w:val="24"/>
                <w:szCs w:val="24"/>
                <w:lang w:eastAsia="zh-CN"/>
              </w:rPr>
            </w:pPr>
            <w:r>
              <w:rPr>
                <w:rFonts w:hint="eastAsia" w:cs="微软雅黑" w:asciiTheme="minorEastAsia" w:hAnsiTheme="minorEastAsia" w:eastAsiaTheme="minorEastAsia"/>
                <w:sz w:val="24"/>
                <w:szCs w:val="24"/>
              </w:rPr>
              <w:t>（1）节能减排、（2）绿色施工、（3）工艺创新、（4）装配式建筑等技术创新的应用实施措施符合工程情况，具有针对性、可行性、经济适用性。以上内容综合得</w:t>
            </w:r>
            <w:r>
              <w:rPr>
                <w:rFonts w:hint="eastAsia" w:cs="微软雅黑" w:asciiTheme="minorEastAsia" w:hAnsiTheme="minorEastAsia" w:eastAsiaTheme="minorEastAsia"/>
                <w:sz w:val="24"/>
                <w:szCs w:val="24"/>
                <w:lang w:val="en-US" w:eastAsia="zh-CN"/>
              </w:rPr>
              <w:t>4</w:t>
            </w:r>
            <w:r>
              <w:rPr>
                <w:rFonts w:hint="eastAsia" w:cs="微软雅黑" w:asciiTheme="minorEastAsia" w:hAnsiTheme="minorEastAsia" w:eastAsiaTheme="minorEastAsia"/>
                <w:sz w:val="24"/>
                <w:szCs w:val="24"/>
              </w:rPr>
              <w:t>分</w:t>
            </w:r>
            <w:r>
              <w:rPr>
                <w:rFonts w:hint="eastAsia" w:cs="微软雅黑" w:asciiTheme="minorEastAsia" w:hAnsiTheme="minorEastAsia" w:eastAsiaTheme="minorEastAsia"/>
                <w:sz w:val="24"/>
                <w:szCs w:val="24"/>
                <w:lang w:eastAsia="zh-CN"/>
              </w:rPr>
              <w:t>；</w:t>
            </w:r>
          </w:p>
          <w:p w14:paraId="07477B52">
            <w:pPr>
              <w:pageBreakBefore w:val="0"/>
              <w:widowControl/>
              <w:numPr>
                <w:ilvl w:val="0"/>
                <w:numId w:val="0"/>
              </w:numPr>
              <w:tabs>
                <w:tab w:val="left" w:pos="9720"/>
              </w:tabs>
              <w:kinsoku/>
              <w:wordWrap w:val="0"/>
              <w:overflowPunct/>
              <w:topLinePunct w:val="0"/>
              <w:autoSpaceDE w:val="0"/>
              <w:autoSpaceDN w:val="0"/>
              <w:bidi w:val="0"/>
              <w:adjustRightInd w:val="0"/>
              <w:spacing w:line="360" w:lineRule="auto"/>
              <w:jc w:val="left"/>
              <w:rPr>
                <w:rFonts w:hint="eastAsia" w:cs="微软雅黑" w:asciiTheme="minorEastAsia" w:hAnsiTheme="minorEastAsia" w:eastAsiaTheme="minorEastAsia"/>
                <w:sz w:val="24"/>
                <w:szCs w:val="24"/>
                <w:lang w:val="en-US" w:eastAsia="zh-CN"/>
              </w:rPr>
            </w:pPr>
            <w:r>
              <w:rPr>
                <w:rFonts w:hint="eastAsia" w:cs="微软雅黑" w:asciiTheme="minorEastAsia" w:hAnsiTheme="minorEastAsia" w:eastAsiaTheme="minorEastAsia"/>
                <w:sz w:val="24"/>
                <w:szCs w:val="24"/>
                <w:lang w:val="en-US" w:eastAsia="zh-CN"/>
              </w:rPr>
              <w:t>2、</w:t>
            </w:r>
            <w:r>
              <w:rPr>
                <w:rFonts w:hint="eastAsia" w:cs="微软雅黑" w:asciiTheme="minorEastAsia" w:hAnsiTheme="minorEastAsia" w:eastAsiaTheme="minorEastAsia"/>
                <w:sz w:val="24"/>
                <w:szCs w:val="24"/>
              </w:rPr>
              <w:t>（1）节能减排、（2）绿色施工、（3）工艺创新、（4）装配式建筑等技术创新的应用实施措施基本符合工程情况，具有针对性。以上内容综合得</w:t>
            </w:r>
            <w:r>
              <w:rPr>
                <w:rFonts w:hint="eastAsia" w:cs="微软雅黑" w:asciiTheme="minorEastAsia" w:hAnsiTheme="minorEastAsia" w:eastAsiaTheme="minorEastAsia"/>
                <w:sz w:val="24"/>
                <w:szCs w:val="24"/>
                <w:lang w:val="en-US" w:eastAsia="zh-CN"/>
              </w:rPr>
              <w:t>2</w:t>
            </w:r>
            <w:r>
              <w:rPr>
                <w:rFonts w:hint="eastAsia" w:cs="微软雅黑" w:asciiTheme="minorEastAsia" w:hAnsiTheme="minorEastAsia" w:eastAsiaTheme="minorEastAsia"/>
                <w:sz w:val="24"/>
                <w:szCs w:val="24"/>
              </w:rPr>
              <w:t>分</w:t>
            </w:r>
            <w:r>
              <w:rPr>
                <w:rFonts w:hint="eastAsia" w:cs="微软雅黑" w:asciiTheme="minorEastAsia" w:hAnsiTheme="minorEastAsia" w:eastAsiaTheme="minorEastAsia"/>
                <w:sz w:val="24"/>
                <w:szCs w:val="24"/>
                <w:lang w:eastAsia="zh-CN"/>
              </w:rPr>
              <w:t>；</w:t>
            </w:r>
          </w:p>
          <w:p w14:paraId="20A9A961">
            <w:pPr>
              <w:pageBreakBefore w:val="0"/>
              <w:widowControl/>
              <w:tabs>
                <w:tab w:val="left" w:pos="9720"/>
              </w:tabs>
              <w:kinsoku/>
              <w:wordWrap w:val="0"/>
              <w:overflowPunct/>
              <w:topLinePunct w:val="0"/>
              <w:autoSpaceDE w:val="0"/>
              <w:autoSpaceDN w:val="0"/>
              <w:bidi w:val="0"/>
              <w:adjustRightInd w:val="0"/>
              <w:spacing w:line="360" w:lineRule="auto"/>
              <w:jc w:val="left"/>
              <w:rPr>
                <w:rFonts w:hint="eastAsia" w:eastAsiaTheme="minorEastAsia"/>
                <w:lang w:val="en-US" w:eastAsia="zh-CN"/>
              </w:rPr>
            </w:pPr>
            <w:r>
              <w:rPr>
                <w:rFonts w:hint="eastAsia" w:cs="微软雅黑" w:asciiTheme="minorEastAsia" w:hAnsiTheme="minorEastAsia" w:eastAsiaTheme="minorEastAsia"/>
                <w:sz w:val="24"/>
                <w:szCs w:val="24"/>
                <w:lang w:val="en-US" w:eastAsia="zh-CN"/>
              </w:rPr>
              <w:t>3、</w:t>
            </w:r>
            <w:r>
              <w:rPr>
                <w:rFonts w:hint="eastAsia" w:cs="微软雅黑" w:asciiTheme="minorEastAsia" w:hAnsiTheme="minorEastAsia" w:eastAsiaTheme="minorEastAsia"/>
                <w:sz w:val="24"/>
                <w:szCs w:val="24"/>
              </w:rPr>
              <w:t>缺项不得分</w:t>
            </w:r>
            <w:r>
              <w:rPr>
                <w:rFonts w:hint="eastAsia" w:cs="微软雅黑" w:asciiTheme="minorEastAsia" w:hAnsiTheme="minorEastAsia" w:eastAsiaTheme="minorEastAsia"/>
                <w:sz w:val="24"/>
                <w:szCs w:val="24"/>
                <w:lang w:eastAsia="zh-CN"/>
              </w:rPr>
              <w:t>；</w:t>
            </w:r>
          </w:p>
        </w:tc>
      </w:tr>
      <w:tr w14:paraId="1812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132" w:type="dxa"/>
            <w:vMerge w:val="restart"/>
            <w:noWrap w:val="0"/>
            <w:vAlign w:val="top"/>
          </w:tcPr>
          <w:p w14:paraId="3450CCC5">
            <w:pPr>
              <w:pageBreakBefore w:val="0"/>
              <w:widowControl/>
              <w:kinsoku/>
              <w:wordWrap w:val="0"/>
              <w:overflowPunct/>
              <w:topLinePunct w:val="0"/>
              <w:bidi w:val="0"/>
              <w:spacing w:line="360" w:lineRule="auto"/>
              <w:textAlignment w:val="baseline"/>
              <w:rPr>
                <w:rFonts w:ascii="宋体" w:hAnsi="宋体" w:eastAsia="宋体" w:cs="宋体"/>
                <w:sz w:val="24"/>
              </w:rPr>
            </w:pPr>
          </w:p>
          <w:p w14:paraId="61488B7F">
            <w:pPr>
              <w:pageBreakBefore w:val="0"/>
              <w:widowControl/>
              <w:kinsoku/>
              <w:wordWrap w:val="0"/>
              <w:overflowPunct/>
              <w:topLinePunct w:val="0"/>
              <w:bidi w:val="0"/>
              <w:spacing w:line="360" w:lineRule="auto"/>
              <w:textAlignment w:val="baseline"/>
              <w:rPr>
                <w:rFonts w:ascii="宋体" w:hAnsi="宋体" w:eastAsia="宋体" w:cs="宋体"/>
                <w:sz w:val="24"/>
              </w:rPr>
            </w:pPr>
          </w:p>
          <w:p w14:paraId="4C4C4088">
            <w:pPr>
              <w:pageBreakBefore w:val="0"/>
              <w:widowControl/>
              <w:kinsoku/>
              <w:wordWrap w:val="0"/>
              <w:overflowPunct/>
              <w:topLinePunct w:val="0"/>
              <w:bidi w:val="0"/>
              <w:spacing w:line="360" w:lineRule="auto"/>
              <w:jc w:val="center"/>
              <w:textAlignment w:val="baseline"/>
              <w:rPr>
                <w:rFonts w:ascii="宋体" w:hAnsi="宋体" w:eastAsia="宋体" w:cs="宋体"/>
                <w:sz w:val="24"/>
              </w:rPr>
            </w:pPr>
          </w:p>
          <w:p w14:paraId="4FDBDE61">
            <w:pPr>
              <w:pageBreakBefore w:val="0"/>
              <w:widowControl/>
              <w:kinsoku/>
              <w:wordWrap w:val="0"/>
              <w:overflowPunct/>
              <w:topLinePunct w:val="0"/>
              <w:bidi w:val="0"/>
              <w:spacing w:line="360" w:lineRule="auto"/>
              <w:jc w:val="center"/>
              <w:textAlignment w:val="baseline"/>
              <w:rPr>
                <w:rFonts w:ascii="宋体" w:hAnsi="宋体" w:eastAsia="宋体" w:cs="宋体"/>
                <w:sz w:val="24"/>
              </w:rPr>
            </w:pPr>
            <w:r>
              <w:rPr>
                <w:rFonts w:hint="eastAsia" w:ascii="宋体" w:hAnsi="宋体" w:eastAsia="宋体" w:cs="宋体"/>
                <w:sz w:val="24"/>
              </w:rPr>
              <w:t>综合部分（20分）</w:t>
            </w:r>
          </w:p>
        </w:tc>
        <w:tc>
          <w:tcPr>
            <w:tcW w:w="1348" w:type="dxa"/>
            <w:noWrap w:val="0"/>
            <w:vAlign w:val="center"/>
          </w:tcPr>
          <w:p w14:paraId="71F892A7">
            <w:pPr>
              <w:pageBreakBefore w:val="0"/>
              <w:widowControl/>
              <w:tabs>
                <w:tab w:val="left" w:pos="9720"/>
              </w:tabs>
              <w:kinsoku/>
              <w:wordWrap w:val="0"/>
              <w:overflowPunct/>
              <w:topLinePunct w:val="0"/>
              <w:autoSpaceDE w:val="0"/>
              <w:autoSpaceDN w:val="0"/>
              <w:bidi w:val="0"/>
              <w:adjustRightInd w:val="0"/>
              <w:spacing w:line="360" w:lineRule="auto"/>
              <w:jc w:val="center"/>
              <w:rPr>
                <w:rFonts w:ascii="宋体" w:hAnsi="宋体" w:eastAsia="宋体" w:cs="宋体"/>
                <w:sz w:val="24"/>
              </w:rPr>
            </w:pPr>
            <w:r>
              <w:rPr>
                <w:rFonts w:hint="eastAsia" w:ascii="宋体" w:hAnsi="宋体" w:eastAsia="宋体" w:cs="宋体"/>
                <w:sz w:val="24"/>
              </w:rPr>
              <w:t>企业业绩（0-6分）</w:t>
            </w:r>
          </w:p>
        </w:tc>
        <w:tc>
          <w:tcPr>
            <w:tcW w:w="7144" w:type="dxa"/>
            <w:noWrap w:val="0"/>
            <w:vAlign w:val="center"/>
          </w:tcPr>
          <w:p w14:paraId="010FD17A">
            <w:pPr>
              <w:pageBreakBefore w:val="0"/>
              <w:widowControl/>
              <w:tabs>
                <w:tab w:val="left" w:pos="9720"/>
              </w:tabs>
              <w:kinsoku/>
              <w:wordWrap w:val="0"/>
              <w:overflowPunct/>
              <w:topLinePunct w:val="0"/>
              <w:autoSpaceDE w:val="0"/>
              <w:autoSpaceDN w:val="0"/>
              <w:bidi w:val="0"/>
              <w:adjustRightInd w:val="0"/>
              <w:spacing w:line="360" w:lineRule="auto"/>
              <w:jc w:val="left"/>
              <w:rPr>
                <w:rFonts w:ascii="宋体" w:hAnsi="宋体" w:eastAsia="宋体" w:cs="宋体"/>
                <w:sz w:val="24"/>
              </w:rPr>
            </w:pPr>
            <w:r>
              <w:rPr>
                <w:rFonts w:hint="eastAsia" w:ascii="宋体" w:hAnsi="宋体" w:eastAsia="宋体" w:cs="宋体"/>
                <w:sz w:val="24"/>
              </w:rPr>
              <w:t>202</w:t>
            </w:r>
            <w:r>
              <w:rPr>
                <w:rFonts w:hint="eastAsia" w:ascii="宋体" w:hAnsi="宋体" w:cs="宋体"/>
                <w:sz w:val="24"/>
                <w:lang w:val="en-US" w:eastAsia="zh-CN"/>
              </w:rPr>
              <w:t>3</w:t>
            </w:r>
            <w:r>
              <w:rPr>
                <w:rFonts w:hint="eastAsia" w:ascii="宋体" w:hAnsi="宋体" w:eastAsia="宋体" w:cs="宋体"/>
                <w:sz w:val="24"/>
              </w:rPr>
              <w:t>年1月1日以来企业承担过的类似工程业绩（提供合同协议书和中标通知书原件扫描件，时间以合同协议书签订时间为准，）每提供一项得</w:t>
            </w:r>
            <w:r>
              <w:rPr>
                <w:rFonts w:hint="eastAsia" w:ascii="宋体" w:hAnsi="宋体" w:cs="宋体"/>
                <w:sz w:val="24"/>
                <w:lang w:val="en-US" w:eastAsia="zh-CN"/>
              </w:rPr>
              <w:t>2</w:t>
            </w:r>
            <w:r>
              <w:rPr>
                <w:rFonts w:hint="eastAsia" w:ascii="宋体" w:hAnsi="宋体" w:eastAsia="宋体" w:cs="宋体"/>
                <w:sz w:val="24"/>
              </w:rPr>
              <w:t>分，最多得</w:t>
            </w:r>
            <w:r>
              <w:rPr>
                <w:rFonts w:hint="eastAsia" w:ascii="宋体" w:hAnsi="宋体" w:cs="宋体"/>
                <w:sz w:val="24"/>
                <w:lang w:val="en-US" w:eastAsia="zh-CN"/>
              </w:rPr>
              <w:t>6</w:t>
            </w:r>
            <w:r>
              <w:rPr>
                <w:rFonts w:hint="eastAsia" w:ascii="宋体" w:hAnsi="宋体" w:eastAsia="宋体" w:cs="宋体"/>
                <w:sz w:val="24"/>
              </w:rPr>
              <w:t>分，不提供不得分；</w:t>
            </w:r>
          </w:p>
        </w:tc>
      </w:tr>
      <w:tr w14:paraId="016F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32" w:type="dxa"/>
            <w:vMerge w:val="continue"/>
            <w:noWrap w:val="0"/>
            <w:vAlign w:val="top"/>
          </w:tcPr>
          <w:p w14:paraId="46592C1F">
            <w:pPr>
              <w:pageBreakBefore w:val="0"/>
              <w:widowControl/>
              <w:kinsoku/>
              <w:wordWrap w:val="0"/>
              <w:overflowPunct/>
              <w:topLinePunct w:val="0"/>
              <w:bidi w:val="0"/>
              <w:spacing w:line="360" w:lineRule="auto"/>
              <w:textAlignment w:val="baseline"/>
              <w:rPr>
                <w:rFonts w:ascii="宋体" w:hAnsi="宋体" w:eastAsia="宋体" w:cs="宋体"/>
                <w:sz w:val="24"/>
              </w:rPr>
            </w:pPr>
          </w:p>
        </w:tc>
        <w:tc>
          <w:tcPr>
            <w:tcW w:w="1348" w:type="dxa"/>
            <w:noWrap w:val="0"/>
            <w:vAlign w:val="center"/>
          </w:tcPr>
          <w:p w14:paraId="129FAD9F">
            <w:pPr>
              <w:pageBreakBefore w:val="0"/>
              <w:widowControl/>
              <w:tabs>
                <w:tab w:val="left" w:pos="9720"/>
              </w:tabs>
              <w:kinsoku/>
              <w:wordWrap w:val="0"/>
              <w:overflowPunct/>
              <w:topLinePunct w:val="0"/>
              <w:autoSpaceDE w:val="0"/>
              <w:autoSpaceDN w:val="0"/>
              <w:bidi w:val="0"/>
              <w:adjustRightInd w:val="0"/>
              <w:spacing w:line="360" w:lineRule="auto"/>
              <w:jc w:val="center"/>
              <w:rPr>
                <w:rFonts w:ascii="宋体" w:hAnsi="宋体" w:eastAsia="宋体" w:cs="宋体"/>
                <w:sz w:val="24"/>
              </w:rPr>
            </w:pPr>
            <w:r>
              <w:rPr>
                <w:rFonts w:hint="eastAsia" w:cs="宋体" w:asciiTheme="minorEastAsia" w:hAnsiTheme="minorEastAsia" w:eastAsiaTheme="minorEastAsia"/>
                <w:sz w:val="24"/>
                <w:szCs w:val="24"/>
              </w:rPr>
              <w:t>项目经理业绩（</w:t>
            </w:r>
            <w:r>
              <w:rPr>
                <w:rFonts w:hint="eastAsia" w:cs="宋体" w:asciiTheme="minorEastAsia" w:hAnsiTheme="minorEastAsia" w:eastAsiaTheme="minorEastAsia"/>
                <w:sz w:val="24"/>
                <w:szCs w:val="24"/>
                <w:lang w:val="en-US" w:eastAsia="zh-CN"/>
              </w:rPr>
              <w:t>0-4</w:t>
            </w:r>
            <w:r>
              <w:rPr>
                <w:rFonts w:hint="eastAsia" w:cs="宋体" w:asciiTheme="minorEastAsia" w:hAnsiTheme="minorEastAsia" w:eastAsiaTheme="minorEastAsia"/>
                <w:sz w:val="24"/>
                <w:szCs w:val="24"/>
              </w:rPr>
              <w:t>分）</w:t>
            </w:r>
          </w:p>
        </w:tc>
        <w:tc>
          <w:tcPr>
            <w:tcW w:w="7144" w:type="dxa"/>
            <w:noWrap w:val="0"/>
            <w:vAlign w:val="center"/>
          </w:tcPr>
          <w:p w14:paraId="28095FC4">
            <w:pPr>
              <w:pageBreakBefore w:val="0"/>
              <w:widowControl/>
              <w:tabs>
                <w:tab w:val="left" w:pos="9720"/>
              </w:tabs>
              <w:kinsoku/>
              <w:wordWrap w:val="0"/>
              <w:overflowPunct/>
              <w:topLinePunct w:val="0"/>
              <w:autoSpaceDE w:val="0"/>
              <w:autoSpaceDN w:val="0"/>
              <w:bidi w:val="0"/>
              <w:adjustRightInd w:val="0"/>
              <w:spacing w:line="360" w:lineRule="auto"/>
              <w:jc w:val="left"/>
              <w:rPr>
                <w:rFonts w:hint="eastAsia" w:ascii="宋体" w:hAnsi="宋体" w:eastAsia="宋体" w:cs="宋体"/>
                <w:sz w:val="24"/>
                <w:lang w:eastAsia="zh-CN"/>
              </w:rPr>
            </w:pPr>
            <w:r>
              <w:rPr>
                <w:rFonts w:hint="eastAsia" w:ascii="宋体" w:hAnsi="宋体" w:eastAsia="宋体" w:cs="宋体"/>
                <w:sz w:val="24"/>
              </w:rPr>
              <w:t>提供近三年项目经理类似项目业绩得2分，最多得</w:t>
            </w:r>
            <w:r>
              <w:rPr>
                <w:rFonts w:hint="eastAsia" w:ascii="宋体" w:hAnsi="宋体" w:eastAsia="宋体" w:cs="宋体"/>
                <w:sz w:val="24"/>
                <w:lang w:val="en-US" w:eastAsia="zh-CN"/>
              </w:rPr>
              <w:t>4</w:t>
            </w:r>
            <w:r>
              <w:rPr>
                <w:rFonts w:hint="eastAsia" w:ascii="宋体" w:hAnsi="宋体" w:eastAsia="宋体" w:cs="宋体"/>
                <w:sz w:val="24"/>
              </w:rPr>
              <w:t>分（以磋商响应文件所附合同和中标通知书原件扫描件为准）</w:t>
            </w:r>
            <w:r>
              <w:rPr>
                <w:rFonts w:hint="eastAsia" w:ascii="宋体" w:hAnsi="宋体" w:eastAsia="宋体" w:cs="宋体"/>
                <w:sz w:val="24"/>
                <w:lang w:eastAsia="zh-CN"/>
              </w:rPr>
              <w:t>；</w:t>
            </w:r>
          </w:p>
          <w:p w14:paraId="7E41AE8D">
            <w:pPr>
              <w:pageBreakBefore w:val="0"/>
              <w:widowControl/>
              <w:tabs>
                <w:tab w:val="left" w:pos="9720"/>
              </w:tabs>
              <w:kinsoku/>
              <w:wordWrap w:val="0"/>
              <w:overflowPunct/>
              <w:topLinePunct w:val="0"/>
              <w:autoSpaceDE w:val="0"/>
              <w:autoSpaceDN w:val="0"/>
              <w:bidi w:val="0"/>
              <w:adjustRightInd w:val="0"/>
              <w:spacing w:line="360" w:lineRule="auto"/>
              <w:jc w:val="left"/>
              <w:rPr>
                <w:rFonts w:ascii="宋体" w:hAnsi="宋体" w:eastAsia="宋体" w:cs="宋体"/>
                <w:sz w:val="24"/>
              </w:rPr>
            </w:pPr>
            <w:r>
              <w:rPr>
                <w:rFonts w:hint="eastAsia" w:ascii="宋体" w:hAnsi="宋体" w:eastAsia="宋体" w:cs="宋体"/>
                <w:sz w:val="24"/>
              </w:rPr>
              <w:t>注：企业和项目经理业绩重复的不累计得分。</w:t>
            </w:r>
          </w:p>
        </w:tc>
      </w:tr>
      <w:tr w14:paraId="29D7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1132" w:type="dxa"/>
            <w:vMerge w:val="continue"/>
            <w:noWrap w:val="0"/>
            <w:vAlign w:val="top"/>
          </w:tcPr>
          <w:p w14:paraId="6DFE33C6">
            <w:pPr>
              <w:pageBreakBefore w:val="0"/>
              <w:widowControl/>
              <w:kinsoku/>
              <w:wordWrap w:val="0"/>
              <w:overflowPunct/>
              <w:topLinePunct w:val="0"/>
              <w:bidi w:val="0"/>
              <w:spacing w:line="360" w:lineRule="auto"/>
              <w:textAlignment w:val="baseline"/>
              <w:rPr>
                <w:rFonts w:ascii="宋体" w:hAnsi="宋体" w:eastAsia="宋体" w:cs="宋体"/>
                <w:sz w:val="24"/>
              </w:rPr>
            </w:pPr>
          </w:p>
        </w:tc>
        <w:tc>
          <w:tcPr>
            <w:tcW w:w="1348" w:type="dxa"/>
            <w:noWrap w:val="0"/>
            <w:vAlign w:val="center"/>
          </w:tcPr>
          <w:p w14:paraId="31337C70">
            <w:pPr>
              <w:pageBreakBefore w:val="0"/>
              <w:widowControl/>
              <w:tabs>
                <w:tab w:val="left" w:pos="9720"/>
              </w:tabs>
              <w:kinsoku/>
              <w:wordWrap w:val="0"/>
              <w:overflowPunct/>
              <w:topLinePunct w:val="0"/>
              <w:autoSpaceDE w:val="0"/>
              <w:autoSpaceDN w:val="0"/>
              <w:bidi w:val="0"/>
              <w:adjustRightInd w:val="0"/>
              <w:spacing w:line="360" w:lineRule="auto"/>
              <w:jc w:val="left"/>
              <w:rPr>
                <w:rFonts w:ascii="宋体" w:hAnsi="宋体" w:eastAsia="宋体" w:cs="宋体"/>
                <w:sz w:val="24"/>
              </w:rPr>
            </w:pPr>
            <w:r>
              <w:rPr>
                <w:rFonts w:hint="eastAsia" w:ascii="宋体" w:hAnsi="宋体" w:eastAsia="宋体" w:cs="宋体"/>
                <w:sz w:val="24"/>
              </w:rPr>
              <w:t>履职尽责承诺（0-</w:t>
            </w:r>
            <w:r>
              <w:rPr>
                <w:rFonts w:hint="eastAsia" w:ascii="宋体" w:hAnsi="宋体" w:cs="宋体"/>
                <w:sz w:val="24"/>
                <w:lang w:val="en-US" w:eastAsia="zh-CN"/>
              </w:rPr>
              <w:t>6</w:t>
            </w:r>
            <w:r>
              <w:rPr>
                <w:rFonts w:hint="eastAsia" w:ascii="宋体" w:hAnsi="宋体" w:eastAsia="宋体" w:cs="宋体"/>
                <w:sz w:val="24"/>
              </w:rPr>
              <w:t>分）</w:t>
            </w:r>
          </w:p>
        </w:tc>
        <w:tc>
          <w:tcPr>
            <w:tcW w:w="7144" w:type="dxa"/>
            <w:noWrap w:val="0"/>
            <w:vAlign w:val="center"/>
          </w:tcPr>
          <w:p w14:paraId="56ABEAB1">
            <w:pPr>
              <w:pageBreakBefore w:val="0"/>
              <w:widowControl/>
              <w:numPr>
                <w:ilvl w:val="0"/>
                <w:numId w:val="11"/>
              </w:numPr>
              <w:tabs>
                <w:tab w:val="left" w:pos="9720"/>
              </w:tabs>
              <w:kinsoku/>
              <w:wordWrap w:val="0"/>
              <w:overflowPunct/>
              <w:topLinePunct w:val="0"/>
              <w:autoSpaceDE w:val="0"/>
              <w:autoSpaceDN w:val="0"/>
              <w:bidi w:val="0"/>
              <w:adjustRightInd w:val="0"/>
              <w:spacing w:line="360" w:lineRule="auto"/>
              <w:jc w:val="left"/>
              <w:rPr>
                <w:rFonts w:hint="eastAsia" w:ascii="宋体" w:hAnsi="宋体" w:eastAsia="宋体" w:cs="宋体"/>
                <w:sz w:val="24"/>
              </w:rPr>
            </w:pPr>
            <w:r>
              <w:rPr>
                <w:rFonts w:hint="eastAsia" w:ascii="宋体" w:hAnsi="宋体" w:eastAsia="宋体" w:cs="宋体"/>
                <w:sz w:val="24"/>
              </w:rPr>
              <w:t>履职尽责承诺具有全面、详实、可行、合法有效的书面保证技术措施落实到位的承诺和落实不到位的处理承诺，其中包括各关键岗位人员（项目经理、技术负责人及相关技术岗位人员等）的在岗、更换等履职尽责承诺，提供承包商履约保证，技术保证措施及承诺全面、科学、合理符合项目实际需求的，得</w:t>
            </w:r>
            <w:r>
              <w:rPr>
                <w:rFonts w:hint="eastAsia" w:ascii="宋体" w:hAnsi="宋体" w:cs="宋体"/>
                <w:sz w:val="24"/>
                <w:lang w:val="en-US" w:eastAsia="zh-CN"/>
              </w:rPr>
              <w:t>6</w:t>
            </w:r>
            <w:r>
              <w:rPr>
                <w:rFonts w:hint="eastAsia" w:ascii="宋体" w:hAnsi="宋体" w:eastAsia="宋体" w:cs="宋体"/>
                <w:sz w:val="24"/>
              </w:rPr>
              <w:t>分</w:t>
            </w:r>
            <w:r>
              <w:rPr>
                <w:rFonts w:hint="eastAsia" w:ascii="宋体" w:hAnsi="宋体" w:eastAsia="宋体" w:cs="宋体"/>
                <w:sz w:val="24"/>
                <w:lang w:eastAsia="zh-CN"/>
              </w:rPr>
              <w:t>；</w:t>
            </w:r>
          </w:p>
          <w:p w14:paraId="173FAF71">
            <w:pPr>
              <w:pageBreakBefore w:val="0"/>
              <w:widowControl/>
              <w:numPr>
                <w:ilvl w:val="0"/>
                <w:numId w:val="11"/>
              </w:numPr>
              <w:tabs>
                <w:tab w:val="left" w:pos="9720"/>
              </w:tabs>
              <w:kinsoku/>
              <w:wordWrap w:val="0"/>
              <w:overflowPunct/>
              <w:topLinePunct w:val="0"/>
              <w:autoSpaceDE w:val="0"/>
              <w:autoSpaceDN w:val="0"/>
              <w:bidi w:val="0"/>
              <w:adjustRightInd w:val="0"/>
              <w:spacing w:line="360" w:lineRule="auto"/>
              <w:jc w:val="left"/>
              <w:rPr>
                <w:rFonts w:ascii="宋体" w:hAnsi="宋体" w:eastAsia="宋体" w:cs="宋体"/>
                <w:sz w:val="24"/>
              </w:rPr>
            </w:pPr>
            <w:r>
              <w:rPr>
                <w:rFonts w:hint="eastAsia" w:ascii="宋体" w:hAnsi="宋体" w:eastAsia="宋体" w:cs="宋体"/>
                <w:sz w:val="24"/>
              </w:rPr>
              <w:t>技术保证措施及承诺</w:t>
            </w:r>
            <w:r>
              <w:rPr>
                <w:rFonts w:hint="eastAsia" w:ascii="宋体" w:hAnsi="宋体" w:cs="宋体"/>
                <w:sz w:val="24"/>
                <w:lang w:eastAsia="zh-CN"/>
              </w:rPr>
              <w:t>基本</w:t>
            </w:r>
            <w:r>
              <w:rPr>
                <w:rFonts w:hint="eastAsia" w:ascii="宋体" w:hAnsi="宋体" w:eastAsia="宋体" w:cs="宋体"/>
                <w:sz w:val="24"/>
              </w:rPr>
              <w:t>全面、科学、合理的，得3分</w:t>
            </w:r>
            <w:r>
              <w:rPr>
                <w:rFonts w:hint="eastAsia" w:ascii="宋体" w:hAnsi="宋体" w:eastAsia="宋体" w:cs="宋体"/>
                <w:sz w:val="24"/>
                <w:lang w:eastAsia="zh-CN"/>
              </w:rPr>
              <w:t>；</w:t>
            </w:r>
          </w:p>
          <w:p w14:paraId="4E3FC062">
            <w:pPr>
              <w:pageBreakBefore w:val="0"/>
              <w:widowControl/>
              <w:numPr>
                <w:ilvl w:val="0"/>
                <w:numId w:val="11"/>
              </w:numPr>
              <w:tabs>
                <w:tab w:val="left" w:pos="9720"/>
              </w:tabs>
              <w:kinsoku/>
              <w:wordWrap w:val="0"/>
              <w:overflowPunct/>
              <w:topLinePunct w:val="0"/>
              <w:autoSpaceDE w:val="0"/>
              <w:autoSpaceDN w:val="0"/>
              <w:bidi w:val="0"/>
              <w:adjustRightInd w:val="0"/>
              <w:spacing w:line="360" w:lineRule="auto"/>
              <w:jc w:val="left"/>
              <w:rPr>
                <w:rFonts w:ascii="宋体" w:hAnsi="宋体" w:eastAsia="宋体" w:cs="宋体"/>
                <w:sz w:val="24"/>
              </w:rPr>
            </w:pPr>
            <w:r>
              <w:rPr>
                <w:rFonts w:hint="eastAsia" w:ascii="宋体" w:hAnsi="宋体" w:eastAsia="宋体" w:cs="宋体"/>
                <w:sz w:val="24"/>
              </w:rPr>
              <w:t>不提供</w:t>
            </w:r>
            <w:r>
              <w:rPr>
                <w:rFonts w:hint="eastAsia" w:ascii="宋体" w:hAnsi="宋体" w:cs="宋体"/>
                <w:sz w:val="24"/>
                <w:lang w:eastAsia="zh-CN"/>
              </w:rPr>
              <w:t>不得</w:t>
            </w:r>
            <w:r>
              <w:rPr>
                <w:rFonts w:hint="eastAsia" w:ascii="宋体" w:hAnsi="宋体" w:eastAsia="宋体" w:cs="宋体"/>
                <w:sz w:val="24"/>
              </w:rPr>
              <w:t xml:space="preserve">分。 </w:t>
            </w:r>
          </w:p>
        </w:tc>
      </w:tr>
      <w:tr w14:paraId="3F9D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2" w:type="dxa"/>
            <w:vMerge w:val="continue"/>
            <w:noWrap w:val="0"/>
            <w:vAlign w:val="top"/>
          </w:tcPr>
          <w:p w14:paraId="507626CB">
            <w:pPr>
              <w:pageBreakBefore w:val="0"/>
              <w:widowControl/>
              <w:kinsoku/>
              <w:wordWrap w:val="0"/>
              <w:overflowPunct/>
              <w:topLinePunct w:val="0"/>
              <w:bidi w:val="0"/>
              <w:spacing w:line="360" w:lineRule="auto"/>
              <w:textAlignment w:val="baseline"/>
              <w:rPr>
                <w:rFonts w:ascii="宋体" w:hAnsi="宋体" w:eastAsia="宋体" w:cs="宋体"/>
                <w:sz w:val="24"/>
              </w:rPr>
            </w:pPr>
          </w:p>
        </w:tc>
        <w:tc>
          <w:tcPr>
            <w:tcW w:w="1348" w:type="dxa"/>
            <w:noWrap w:val="0"/>
            <w:vAlign w:val="top"/>
          </w:tcPr>
          <w:p w14:paraId="60D2BA68">
            <w:pPr>
              <w:pageBreakBefore w:val="0"/>
              <w:widowControl/>
              <w:tabs>
                <w:tab w:val="left" w:pos="9720"/>
              </w:tabs>
              <w:kinsoku/>
              <w:wordWrap w:val="0"/>
              <w:overflowPunct/>
              <w:topLinePunct w:val="0"/>
              <w:autoSpaceDE w:val="0"/>
              <w:autoSpaceDN w:val="0"/>
              <w:bidi w:val="0"/>
              <w:adjustRightInd w:val="0"/>
              <w:spacing w:line="360" w:lineRule="auto"/>
              <w:jc w:val="left"/>
              <w:rPr>
                <w:rFonts w:ascii="宋体" w:hAnsi="宋体" w:eastAsia="宋体" w:cs="宋体"/>
                <w:sz w:val="24"/>
              </w:rPr>
            </w:pPr>
          </w:p>
          <w:p w14:paraId="2F1A1119">
            <w:pPr>
              <w:pageBreakBefore w:val="0"/>
              <w:widowControl/>
              <w:tabs>
                <w:tab w:val="left" w:pos="9720"/>
              </w:tabs>
              <w:kinsoku/>
              <w:wordWrap w:val="0"/>
              <w:overflowPunct/>
              <w:topLinePunct w:val="0"/>
              <w:autoSpaceDE w:val="0"/>
              <w:autoSpaceDN w:val="0"/>
              <w:bidi w:val="0"/>
              <w:adjustRightInd w:val="0"/>
              <w:spacing w:line="360" w:lineRule="auto"/>
              <w:jc w:val="left"/>
              <w:rPr>
                <w:rFonts w:ascii="宋体" w:hAnsi="宋体" w:eastAsia="宋体" w:cs="宋体"/>
                <w:sz w:val="24"/>
              </w:rPr>
            </w:pPr>
          </w:p>
          <w:p w14:paraId="58290443">
            <w:pPr>
              <w:pageBreakBefore w:val="0"/>
              <w:widowControl/>
              <w:tabs>
                <w:tab w:val="left" w:pos="9720"/>
              </w:tabs>
              <w:kinsoku/>
              <w:wordWrap w:val="0"/>
              <w:overflowPunct/>
              <w:topLinePunct w:val="0"/>
              <w:autoSpaceDE w:val="0"/>
              <w:autoSpaceDN w:val="0"/>
              <w:bidi w:val="0"/>
              <w:adjustRightInd w:val="0"/>
              <w:spacing w:line="360" w:lineRule="auto"/>
              <w:jc w:val="left"/>
              <w:rPr>
                <w:rFonts w:ascii="宋体" w:hAnsi="宋体" w:eastAsia="宋体" w:cs="宋体"/>
                <w:sz w:val="24"/>
              </w:rPr>
            </w:pPr>
          </w:p>
          <w:p w14:paraId="67DC757E">
            <w:pPr>
              <w:pageBreakBefore w:val="0"/>
              <w:widowControl/>
              <w:tabs>
                <w:tab w:val="left" w:pos="9720"/>
              </w:tabs>
              <w:kinsoku/>
              <w:wordWrap w:val="0"/>
              <w:overflowPunct/>
              <w:topLinePunct w:val="0"/>
              <w:autoSpaceDE w:val="0"/>
              <w:autoSpaceDN w:val="0"/>
              <w:bidi w:val="0"/>
              <w:adjustRightInd w:val="0"/>
              <w:spacing w:line="360" w:lineRule="auto"/>
              <w:jc w:val="left"/>
              <w:rPr>
                <w:rFonts w:ascii="宋体" w:hAnsi="宋体" w:eastAsia="宋体" w:cs="宋体"/>
                <w:sz w:val="24"/>
              </w:rPr>
            </w:pPr>
          </w:p>
          <w:p w14:paraId="3A4AE926">
            <w:pPr>
              <w:pageBreakBefore w:val="0"/>
              <w:widowControl/>
              <w:tabs>
                <w:tab w:val="left" w:pos="9720"/>
              </w:tabs>
              <w:kinsoku/>
              <w:wordWrap w:val="0"/>
              <w:overflowPunct/>
              <w:topLinePunct w:val="0"/>
              <w:autoSpaceDE w:val="0"/>
              <w:autoSpaceDN w:val="0"/>
              <w:bidi w:val="0"/>
              <w:adjustRightInd w:val="0"/>
              <w:spacing w:line="360" w:lineRule="auto"/>
              <w:jc w:val="left"/>
              <w:rPr>
                <w:rFonts w:ascii="宋体" w:hAnsi="宋体" w:eastAsia="宋体" w:cs="宋体"/>
                <w:sz w:val="24"/>
              </w:rPr>
            </w:pPr>
            <w:r>
              <w:rPr>
                <w:rFonts w:hint="eastAsia" w:ascii="宋体" w:hAnsi="宋体" w:eastAsia="宋体" w:cs="宋体"/>
                <w:sz w:val="24"/>
              </w:rPr>
              <w:t>优惠条件的承诺（0-</w:t>
            </w:r>
            <w:r>
              <w:rPr>
                <w:rFonts w:hint="eastAsia" w:ascii="宋体" w:hAnsi="宋体" w:cs="宋体"/>
                <w:sz w:val="24"/>
                <w:lang w:val="en-US" w:eastAsia="zh-CN"/>
              </w:rPr>
              <w:t>4</w:t>
            </w:r>
            <w:r>
              <w:rPr>
                <w:rFonts w:hint="eastAsia" w:ascii="宋体" w:hAnsi="宋体" w:eastAsia="宋体" w:cs="宋体"/>
                <w:sz w:val="24"/>
              </w:rPr>
              <w:t>分）</w:t>
            </w:r>
          </w:p>
        </w:tc>
        <w:tc>
          <w:tcPr>
            <w:tcW w:w="7144" w:type="dxa"/>
            <w:noWrap w:val="0"/>
            <w:vAlign w:val="center"/>
          </w:tcPr>
          <w:p w14:paraId="74FC542A">
            <w:pPr>
              <w:pageBreakBefore w:val="0"/>
              <w:widowControl/>
              <w:tabs>
                <w:tab w:val="left" w:pos="9720"/>
              </w:tabs>
              <w:kinsoku/>
              <w:wordWrap w:val="0"/>
              <w:overflowPunct/>
              <w:topLinePunct w:val="0"/>
              <w:autoSpaceDE w:val="0"/>
              <w:autoSpaceDN w:val="0"/>
              <w:bidi w:val="0"/>
              <w:adjustRightInd w:val="0"/>
              <w:spacing w:line="360" w:lineRule="auto"/>
              <w:jc w:val="left"/>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eastAsia="宋体" w:cs="宋体"/>
                <w:sz w:val="24"/>
              </w:rPr>
              <w:t>承诺严格按照相关规范等要求进行施工、替招标人排忧解难、协调周边关系，且有具体措施，替甲方排忧解难，协调周边关系承诺全面详细，且措施合理可行的，得2分</w:t>
            </w: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eastAsia="宋体" w:cs="宋体"/>
                <w:sz w:val="24"/>
              </w:rPr>
              <w:t>替甲方排忧解难，协调周边关系承诺不全面，且措施不合理、可行性有缺陷的，得1分</w:t>
            </w: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eastAsia="宋体" w:cs="宋体"/>
                <w:sz w:val="24"/>
              </w:rPr>
              <w:t>不提供则该项得0分</w:t>
            </w:r>
            <w:r>
              <w:rPr>
                <w:rFonts w:hint="eastAsia" w:ascii="宋体" w:hAnsi="宋体" w:eastAsia="宋体" w:cs="宋体"/>
                <w:sz w:val="24"/>
                <w:lang w:eastAsia="zh-CN"/>
              </w:rPr>
              <w:t>；</w:t>
            </w:r>
          </w:p>
          <w:p w14:paraId="53A45149">
            <w:pPr>
              <w:pageBreakBefore w:val="0"/>
              <w:widowControl/>
              <w:tabs>
                <w:tab w:val="left" w:pos="9720"/>
              </w:tabs>
              <w:kinsoku/>
              <w:wordWrap w:val="0"/>
              <w:overflowPunct/>
              <w:topLinePunct w:val="0"/>
              <w:autoSpaceDE w:val="0"/>
              <w:autoSpaceDN w:val="0"/>
              <w:bidi w:val="0"/>
              <w:adjustRightInd w:val="0"/>
              <w:spacing w:line="360" w:lineRule="auto"/>
              <w:jc w:val="left"/>
              <w:rPr>
                <w:rFonts w:ascii="宋体" w:hAnsi="宋体" w:eastAsia="宋体" w:cs="宋体"/>
                <w:sz w:val="24"/>
              </w:rPr>
            </w:pPr>
            <w:r>
              <w:rPr>
                <w:rFonts w:hint="eastAsia" w:ascii="宋体" w:hAnsi="宋体" w:eastAsia="宋体" w:cs="宋体"/>
                <w:sz w:val="24"/>
              </w:rPr>
              <w:t>2、</w:t>
            </w: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eastAsia="宋体" w:cs="宋体"/>
                <w:sz w:val="24"/>
              </w:rPr>
              <w:t>保修期内、外服务措施能满足业主要求，服务方便, 服务制度良好、应急维修措施等方面进行综合比较。服务措施能满足业主要求，服务方便，服务制度良好，应急维修措施全面、详实的，为优，得2分；</w:t>
            </w: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eastAsia="宋体" w:cs="宋体"/>
                <w:sz w:val="24"/>
              </w:rPr>
              <w:t>服务措施不能满足业主要求，服务不方便、不详实，为一般，得1分；</w:t>
            </w: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eastAsia="宋体" w:cs="宋体"/>
                <w:sz w:val="24"/>
              </w:rPr>
              <w:t>缺项得0分；</w:t>
            </w:r>
          </w:p>
        </w:tc>
      </w:tr>
      <w:tr w14:paraId="5958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624" w:type="dxa"/>
            <w:gridSpan w:val="3"/>
            <w:noWrap w:val="0"/>
            <w:vAlign w:val="top"/>
          </w:tcPr>
          <w:p w14:paraId="77F97E0B">
            <w:pPr>
              <w:pageBreakBefore w:val="0"/>
              <w:widowControl/>
              <w:tabs>
                <w:tab w:val="left" w:pos="9720"/>
              </w:tabs>
              <w:kinsoku/>
              <w:wordWrap w:val="0"/>
              <w:overflowPunct/>
              <w:topLinePunct w:val="0"/>
              <w:autoSpaceDE w:val="0"/>
              <w:autoSpaceDN w:val="0"/>
              <w:bidi w:val="0"/>
              <w:adjustRightInd w:val="0"/>
              <w:spacing w:line="360" w:lineRule="auto"/>
              <w:jc w:val="left"/>
              <w:rPr>
                <w:rFonts w:ascii="宋体" w:hAnsi="宋体" w:eastAsia="宋体" w:cs="宋体"/>
                <w:sz w:val="24"/>
              </w:rPr>
            </w:pPr>
            <w:r>
              <w:rPr>
                <w:rFonts w:hint="eastAsia" w:ascii="宋体" w:hAnsi="宋体" w:eastAsia="宋体" w:cs="宋体"/>
                <w:sz w:val="24"/>
              </w:rPr>
              <w:t>响应人综合得分=商务标得分＋技术标得分＋综合标得分。</w:t>
            </w:r>
          </w:p>
          <w:p w14:paraId="6CDC0B25">
            <w:pPr>
              <w:pageBreakBefore w:val="0"/>
              <w:widowControl/>
              <w:tabs>
                <w:tab w:val="left" w:pos="9720"/>
              </w:tabs>
              <w:kinsoku/>
              <w:wordWrap w:val="0"/>
              <w:overflowPunct/>
              <w:topLinePunct w:val="0"/>
              <w:autoSpaceDE w:val="0"/>
              <w:autoSpaceDN w:val="0"/>
              <w:bidi w:val="0"/>
              <w:adjustRightInd w:val="0"/>
              <w:spacing w:line="360" w:lineRule="auto"/>
              <w:jc w:val="left"/>
              <w:rPr>
                <w:rFonts w:ascii="宋体" w:hAnsi="宋体" w:eastAsia="宋体" w:cs="宋体"/>
                <w:sz w:val="24"/>
              </w:rPr>
            </w:pPr>
            <w:r>
              <w:rPr>
                <w:rFonts w:hint="eastAsia" w:ascii="宋体" w:hAnsi="宋体" w:eastAsia="宋体" w:cs="宋体"/>
                <w:sz w:val="24"/>
              </w:rPr>
              <w:t>磋商小组完成对技术标、商务标和综合标的汇总后取平均值作为该响应人的最终得分。</w:t>
            </w:r>
          </w:p>
          <w:p w14:paraId="6E85EDDA">
            <w:pPr>
              <w:pageBreakBefore w:val="0"/>
              <w:widowControl/>
              <w:tabs>
                <w:tab w:val="left" w:pos="9720"/>
              </w:tabs>
              <w:kinsoku/>
              <w:wordWrap w:val="0"/>
              <w:overflowPunct/>
              <w:topLinePunct w:val="0"/>
              <w:autoSpaceDE w:val="0"/>
              <w:autoSpaceDN w:val="0"/>
              <w:bidi w:val="0"/>
              <w:adjustRightInd w:val="0"/>
              <w:spacing w:line="360" w:lineRule="auto"/>
              <w:jc w:val="left"/>
              <w:rPr>
                <w:rFonts w:ascii="宋体" w:hAnsi="宋体" w:eastAsia="宋体" w:cs="宋体"/>
                <w:sz w:val="24"/>
              </w:rPr>
            </w:pPr>
            <w:r>
              <w:rPr>
                <w:rFonts w:hint="eastAsia" w:ascii="宋体" w:hAnsi="宋体" w:eastAsia="宋体" w:cs="宋体"/>
                <w:sz w:val="24"/>
              </w:rPr>
              <w:t>本办法计算过程中分值按四舍五入保留三位小数，结果按四舍五入保留两位小数。 响应人的报价应包含响应人所承诺的应达到的工程质量标准及其他承诺应达到的标准所包含的所有费用。</w:t>
            </w:r>
          </w:p>
          <w:p w14:paraId="5E41D2E5">
            <w:pPr>
              <w:pageBreakBefore w:val="0"/>
              <w:widowControl/>
              <w:tabs>
                <w:tab w:val="left" w:pos="9720"/>
              </w:tabs>
              <w:kinsoku/>
              <w:wordWrap w:val="0"/>
              <w:overflowPunct/>
              <w:topLinePunct w:val="0"/>
              <w:autoSpaceDE w:val="0"/>
              <w:autoSpaceDN w:val="0"/>
              <w:bidi w:val="0"/>
              <w:adjustRightInd w:val="0"/>
              <w:spacing w:line="360" w:lineRule="auto"/>
              <w:jc w:val="left"/>
              <w:rPr>
                <w:rFonts w:ascii="宋体" w:hAnsi="宋体" w:eastAsia="宋体" w:cs="宋体"/>
                <w:sz w:val="24"/>
              </w:rPr>
            </w:pPr>
            <w:r>
              <w:rPr>
                <w:rFonts w:hint="eastAsia" w:ascii="宋体" w:hAnsi="宋体" w:eastAsia="宋体" w:cs="宋体"/>
                <w:sz w:val="24"/>
              </w:rPr>
              <w:t>注：1、评标过程中涉及到资格审查、企业业绩等计分部分时，以响应人自行上传到响应文件中的相应内容为准。</w:t>
            </w:r>
          </w:p>
          <w:p w14:paraId="6CA24EC0">
            <w:pPr>
              <w:pageBreakBefore w:val="0"/>
              <w:widowControl/>
              <w:tabs>
                <w:tab w:val="left" w:pos="9720"/>
              </w:tabs>
              <w:kinsoku/>
              <w:wordWrap w:val="0"/>
              <w:overflowPunct/>
              <w:topLinePunct w:val="0"/>
              <w:autoSpaceDE w:val="0"/>
              <w:autoSpaceDN w:val="0"/>
              <w:bidi w:val="0"/>
              <w:adjustRightInd w:val="0"/>
              <w:spacing w:line="360" w:lineRule="auto"/>
              <w:jc w:val="left"/>
              <w:rPr>
                <w:rFonts w:ascii="宋体" w:hAnsi="宋体" w:eastAsia="宋体" w:cs="宋体"/>
                <w:sz w:val="24"/>
              </w:rPr>
            </w:pPr>
            <w:r>
              <w:rPr>
                <w:rFonts w:hint="eastAsia" w:ascii="宋体" w:hAnsi="宋体" w:eastAsia="宋体" w:cs="宋体"/>
                <w:sz w:val="24"/>
              </w:rPr>
              <w:t>2、评标开始后，不再接受任何补充材料。</w:t>
            </w:r>
          </w:p>
        </w:tc>
      </w:tr>
    </w:tbl>
    <w:p w14:paraId="25F706E2">
      <w:pPr>
        <w:pageBreakBefore w:val="0"/>
        <w:kinsoku/>
        <w:wordWrap w:val="0"/>
        <w:overflowPunct/>
        <w:topLinePunct w:val="0"/>
        <w:bidi w:val="0"/>
        <w:spacing w:line="600" w:lineRule="exact"/>
        <w:jc w:val="center"/>
        <w:outlineLvl w:val="0"/>
        <w:rPr>
          <w:rFonts w:hint="eastAsia" w:ascii="黑体" w:cs="宋体"/>
          <w:bCs/>
          <w:kern w:val="2"/>
          <w:sz w:val="24"/>
          <w:szCs w:val="24"/>
        </w:rPr>
      </w:pPr>
    </w:p>
    <w:p w14:paraId="5952CD0B">
      <w:pPr>
        <w:pageBreakBefore w:val="0"/>
        <w:kinsoku/>
        <w:wordWrap w:val="0"/>
        <w:overflowPunct/>
        <w:topLinePunct w:val="0"/>
        <w:bidi w:val="0"/>
        <w:spacing w:line="600" w:lineRule="exact"/>
        <w:jc w:val="center"/>
        <w:outlineLvl w:val="0"/>
        <w:rPr>
          <w:rFonts w:hint="eastAsia" w:ascii="黑体" w:cs="宋体"/>
          <w:bCs/>
          <w:kern w:val="2"/>
          <w:sz w:val="24"/>
          <w:szCs w:val="24"/>
        </w:rPr>
      </w:pPr>
    </w:p>
    <w:p w14:paraId="357A4AF3">
      <w:pPr>
        <w:pageBreakBefore w:val="0"/>
        <w:kinsoku/>
        <w:wordWrap w:val="0"/>
        <w:overflowPunct/>
        <w:topLinePunct w:val="0"/>
        <w:bidi w:val="0"/>
        <w:spacing w:line="600" w:lineRule="exact"/>
        <w:jc w:val="center"/>
        <w:outlineLvl w:val="0"/>
        <w:rPr>
          <w:rFonts w:hint="eastAsia" w:ascii="黑体" w:cs="宋体"/>
          <w:bCs/>
          <w:kern w:val="2"/>
          <w:sz w:val="24"/>
          <w:szCs w:val="24"/>
        </w:rPr>
      </w:pPr>
    </w:p>
    <w:p w14:paraId="59079CEA">
      <w:pPr>
        <w:pageBreakBefore w:val="0"/>
        <w:kinsoku/>
        <w:wordWrap w:val="0"/>
        <w:overflowPunct/>
        <w:topLinePunct w:val="0"/>
        <w:bidi w:val="0"/>
        <w:spacing w:line="600" w:lineRule="exact"/>
        <w:jc w:val="center"/>
        <w:outlineLvl w:val="0"/>
        <w:rPr>
          <w:rFonts w:hint="eastAsia" w:ascii="黑体" w:cs="宋体"/>
          <w:bCs/>
          <w:kern w:val="2"/>
          <w:sz w:val="24"/>
          <w:szCs w:val="24"/>
        </w:rPr>
      </w:pPr>
    </w:p>
    <w:p w14:paraId="5DC35ACD">
      <w:pPr>
        <w:pageBreakBefore w:val="0"/>
        <w:kinsoku/>
        <w:wordWrap w:val="0"/>
        <w:overflowPunct/>
        <w:topLinePunct w:val="0"/>
        <w:bidi w:val="0"/>
        <w:spacing w:line="600" w:lineRule="exact"/>
        <w:jc w:val="center"/>
        <w:outlineLvl w:val="0"/>
        <w:rPr>
          <w:rFonts w:hint="eastAsia" w:ascii="黑体" w:cs="宋体"/>
          <w:bCs/>
          <w:kern w:val="2"/>
          <w:sz w:val="24"/>
          <w:szCs w:val="24"/>
        </w:rPr>
      </w:pPr>
    </w:p>
    <w:p w14:paraId="0AB49245">
      <w:pPr>
        <w:pageBreakBefore w:val="0"/>
        <w:kinsoku/>
        <w:wordWrap w:val="0"/>
        <w:overflowPunct/>
        <w:topLinePunct w:val="0"/>
        <w:bidi w:val="0"/>
        <w:spacing w:line="600" w:lineRule="exact"/>
        <w:jc w:val="center"/>
        <w:outlineLvl w:val="0"/>
        <w:rPr>
          <w:rFonts w:hint="eastAsia" w:ascii="黑体" w:cs="宋体"/>
          <w:bCs/>
          <w:kern w:val="2"/>
          <w:sz w:val="24"/>
          <w:szCs w:val="24"/>
        </w:rPr>
      </w:pPr>
    </w:p>
    <w:p w14:paraId="1A0F45A1">
      <w:pPr>
        <w:pageBreakBefore w:val="0"/>
        <w:kinsoku/>
        <w:wordWrap w:val="0"/>
        <w:overflowPunct/>
        <w:topLinePunct w:val="0"/>
        <w:bidi w:val="0"/>
        <w:spacing w:line="600" w:lineRule="exact"/>
        <w:jc w:val="center"/>
        <w:outlineLvl w:val="0"/>
        <w:rPr>
          <w:rFonts w:hint="eastAsia" w:ascii="黑体" w:cs="宋体"/>
          <w:bCs/>
          <w:kern w:val="2"/>
          <w:sz w:val="24"/>
          <w:szCs w:val="24"/>
        </w:rPr>
      </w:pPr>
    </w:p>
    <w:p w14:paraId="3EB9087A">
      <w:pPr>
        <w:pageBreakBefore w:val="0"/>
        <w:kinsoku/>
        <w:wordWrap w:val="0"/>
        <w:overflowPunct/>
        <w:topLinePunct w:val="0"/>
        <w:bidi w:val="0"/>
        <w:spacing w:line="600" w:lineRule="exact"/>
        <w:jc w:val="center"/>
        <w:outlineLvl w:val="0"/>
        <w:rPr>
          <w:rFonts w:hint="eastAsia" w:ascii="黑体" w:cs="宋体"/>
          <w:bCs/>
          <w:kern w:val="2"/>
          <w:sz w:val="24"/>
          <w:szCs w:val="24"/>
        </w:rPr>
      </w:pPr>
    </w:p>
    <w:p w14:paraId="2B0107AA">
      <w:pPr>
        <w:pageBreakBefore w:val="0"/>
        <w:kinsoku/>
        <w:wordWrap w:val="0"/>
        <w:overflowPunct/>
        <w:topLinePunct w:val="0"/>
        <w:bidi w:val="0"/>
        <w:spacing w:line="600" w:lineRule="exact"/>
        <w:jc w:val="center"/>
        <w:outlineLvl w:val="0"/>
        <w:rPr>
          <w:rFonts w:hint="eastAsia" w:ascii="黑体" w:cs="宋体"/>
          <w:bCs/>
          <w:kern w:val="2"/>
          <w:sz w:val="24"/>
          <w:szCs w:val="24"/>
        </w:rPr>
      </w:pPr>
    </w:p>
    <w:p w14:paraId="0BD91F09">
      <w:pPr>
        <w:pageBreakBefore w:val="0"/>
        <w:kinsoku/>
        <w:wordWrap w:val="0"/>
        <w:overflowPunct/>
        <w:topLinePunct w:val="0"/>
        <w:bidi w:val="0"/>
        <w:spacing w:line="600" w:lineRule="exact"/>
        <w:jc w:val="center"/>
        <w:outlineLvl w:val="0"/>
        <w:rPr>
          <w:rFonts w:hint="eastAsia" w:ascii="黑体" w:cs="宋体"/>
          <w:bCs/>
          <w:kern w:val="2"/>
          <w:sz w:val="24"/>
          <w:szCs w:val="24"/>
        </w:rPr>
      </w:pPr>
    </w:p>
    <w:p w14:paraId="002D5EDD">
      <w:pPr>
        <w:pageBreakBefore w:val="0"/>
        <w:kinsoku/>
        <w:wordWrap w:val="0"/>
        <w:overflowPunct/>
        <w:topLinePunct w:val="0"/>
        <w:bidi w:val="0"/>
        <w:spacing w:line="600" w:lineRule="exact"/>
        <w:jc w:val="center"/>
        <w:outlineLvl w:val="0"/>
        <w:rPr>
          <w:rFonts w:hint="eastAsia" w:ascii="黑体" w:cs="宋体"/>
          <w:bCs/>
          <w:kern w:val="2"/>
          <w:sz w:val="24"/>
          <w:szCs w:val="24"/>
        </w:rPr>
      </w:pPr>
    </w:p>
    <w:bookmarkEnd w:id="22"/>
    <w:p w14:paraId="60F8BB8D">
      <w:pPr>
        <w:pageBreakBefore w:val="0"/>
        <w:kinsoku/>
        <w:wordWrap w:val="0"/>
        <w:overflowPunct/>
        <w:topLinePunct w:val="0"/>
        <w:bidi w:val="0"/>
        <w:spacing w:line="600" w:lineRule="exact"/>
        <w:jc w:val="center"/>
        <w:outlineLvl w:val="0"/>
        <w:rPr>
          <w:rFonts w:hint="eastAsia" w:ascii="宋体" w:hAnsi="宋体" w:eastAsia="宋体" w:cs="宋体"/>
          <w:b w:val="0"/>
          <w:bCs/>
          <w:kern w:val="2"/>
          <w:sz w:val="30"/>
          <w:szCs w:val="30"/>
          <w:lang w:val="zh-CN" w:eastAsia="zh-CN" w:bidi="ar-SA"/>
        </w:rPr>
      </w:pPr>
      <w:bookmarkStart w:id="247" w:name="_Toc7143"/>
      <w:bookmarkStart w:id="248" w:name="_Toc17312"/>
      <w:r>
        <w:rPr>
          <w:rFonts w:hint="eastAsia" w:ascii="宋体" w:hAnsi="宋体" w:cs="宋体"/>
          <w:bCs/>
          <w:kern w:val="2"/>
          <w:sz w:val="30"/>
          <w:szCs w:val="30"/>
        </w:rPr>
        <w:t>第</w:t>
      </w:r>
      <w:r>
        <w:rPr>
          <w:rFonts w:hint="eastAsia" w:ascii="宋体" w:hAnsi="宋体" w:cs="宋体"/>
          <w:bCs/>
          <w:kern w:val="2"/>
          <w:sz w:val="30"/>
          <w:szCs w:val="30"/>
          <w:lang w:eastAsia="zh-CN"/>
        </w:rPr>
        <w:t>四</w:t>
      </w:r>
      <w:r>
        <w:rPr>
          <w:rFonts w:hint="eastAsia" w:ascii="宋体" w:hAnsi="宋体" w:cs="宋体"/>
          <w:bCs/>
          <w:kern w:val="2"/>
          <w:sz w:val="30"/>
          <w:szCs w:val="30"/>
        </w:rPr>
        <w:t xml:space="preserve">章  </w:t>
      </w:r>
      <w:bookmarkEnd w:id="247"/>
      <w:bookmarkEnd w:id="248"/>
      <w:r>
        <w:rPr>
          <w:rFonts w:hint="eastAsia" w:ascii="宋体" w:hAnsi="宋体" w:eastAsia="宋体" w:cs="宋体"/>
          <w:b w:val="0"/>
          <w:bCs/>
          <w:kern w:val="2"/>
          <w:sz w:val="30"/>
          <w:szCs w:val="30"/>
          <w:lang w:val="zh-CN" w:eastAsia="zh-CN" w:bidi="ar-SA"/>
        </w:rPr>
        <w:t>合同条款及格式</w:t>
      </w:r>
    </w:p>
    <w:p w14:paraId="73B0B991">
      <w:pPr>
        <w:pageBreakBefore w:val="0"/>
        <w:kinsoku/>
        <w:wordWrap w:val="0"/>
        <w:overflowPunct/>
        <w:topLinePunct w:val="0"/>
        <w:bidi w:val="0"/>
        <w:jc w:val="center"/>
        <w:rPr>
          <w:rFonts w:hint="eastAsia" w:ascii="宋体" w:hAnsi="宋体" w:eastAsia="宋体" w:cs="宋体"/>
          <w:b/>
          <w:color w:val="000000"/>
          <w:kern w:val="0"/>
          <w:sz w:val="30"/>
          <w:szCs w:val="30"/>
          <w:highlight w:val="none"/>
        </w:rPr>
      </w:pPr>
    </w:p>
    <w:p w14:paraId="7CB52842">
      <w:pPr>
        <w:pageBreakBefore w:val="0"/>
        <w:kinsoku/>
        <w:wordWrap w:val="0"/>
        <w:overflowPunct/>
        <w:topLinePunct w:val="0"/>
        <w:bidi w:val="0"/>
        <w:jc w:val="center"/>
        <w:rPr>
          <w:rFonts w:hint="eastAsia" w:ascii="宋体" w:hAnsi="宋体" w:eastAsia="宋体" w:cs="宋体"/>
          <w:color w:val="000000"/>
          <w:sz w:val="30"/>
          <w:szCs w:val="30"/>
        </w:rPr>
      </w:pPr>
      <w:r>
        <w:rPr>
          <w:rFonts w:hint="eastAsia" w:ascii="宋体" w:hAnsi="宋体" w:eastAsia="宋体" w:cs="宋体"/>
          <w:color w:val="000000"/>
          <w:sz w:val="30"/>
          <w:szCs w:val="30"/>
        </w:rPr>
        <w:t>（仅供参考，以实际签订合同为准）</w:t>
      </w:r>
    </w:p>
    <w:p w14:paraId="4B9A6F8C">
      <w:pPr>
        <w:pageBreakBefore w:val="0"/>
        <w:kinsoku/>
        <w:wordWrap w:val="0"/>
        <w:overflowPunct/>
        <w:topLinePunct w:val="0"/>
        <w:autoSpaceDE w:val="0"/>
        <w:autoSpaceDN w:val="0"/>
        <w:bidi w:val="0"/>
        <w:jc w:val="left"/>
        <w:rPr>
          <w:rFonts w:hint="eastAsia" w:ascii="宋体" w:hAnsi="宋体" w:eastAsia="宋体" w:cs="宋体"/>
          <w:bCs/>
          <w:kern w:val="0"/>
          <w:sz w:val="32"/>
          <w:szCs w:val="32"/>
          <w:lang w:val="zh-CN" w:bidi="zh-CN"/>
        </w:rPr>
      </w:pPr>
      <w:bookmarkStart w:id="249" w:name="_Toc9206"/>
      <w:bookmarkStart w:id="250" w:name="_Toc63414415"/>
      <w:bookmarkStart w:id="251" w:name="_Toc132983276"/>
      <w:bookmarkStart w:id="252" w:name="_Toc47706916"/>
      <w:bookmarkStart w:id="253" w:name="_Toc30653"/>
      <w:bookmarkStart w:id="254" w:name="_Toc5513"/>
      <w:bookmarkStart w:id="255" w:name="_Toc19191"/>
      <w:bookmarkStart w:id="256" w:name="_Toc518583206"/>
      <w:bookmarkStart w:id="257" w:name="_Toc382927927"/>
    </w:p>
    <w:p w14:paraId="173B57FD">
      <w:pPr>
        <w:pageBreakBefore w:val="0"/>
        <w:kinsoku/>
        <w:wordWrap w:val="0"/>
        <w:overflowPunct/>
        <w:topLinePunct w:val="0"/>
        <w:autoSpaceDE w:val="0"/>
        <w:autoSpaceDN w:val="0"/>
        <w:bidi w:val="0"/>
        <w:jc w:val="left"/>
        <w:rPr>
          <w:rFonts w:hint="eastAsia" w:ascii="宋体" w:hAnsi="宋体" w:eastAsia="宋体" w:cs="宋体"/>
          <w:bCs/>
          <w:kern w:val="0"/>
          <w:sz w:val="32"/>
          <w:szCs w:val="32"/>
          <w:lang w:val="zh-CN" w:bidi="zh-CN"/>
        </w:rPr>
      </w:pPr>
      <w:r>
        <w:rPr>
          <w:rFonts w:hint="eastAsia" w:ascii="宋体" w:hAnsi="宋体" w:eastAsia="宋体" w:cs="宋体"/>
          <w:bCs/>
          <w:kern w:val="0"/>
          <w:sz w:val="32"/>
          <w:szCs w:val="32"/>
          <w:lang w:val="zh-CN" w:bidi="zh-CN"/>
        </w:rPr>
        <w:t>（GF—2017—0201）</w:t>
      </w:r>
    </w:p>
    <w:p w14:paraId="4973FCD8">
      <w:pPr>
        <w:pageBreakBefore w:val="0"/>
        <w:kinsoku/>
        <w:wordWrap w:val="0"/>
        <w:overflowPunct/>
        <w:topLinePunct w:val="0"/>
        <w:autoSpaceDE w:val="0"/>
        <w:autoSpaceDN w:val="0"/>
        <w:bidi w:val="0"/>
        <w:jc w:val="center"/>
        <w:rPr>
          <w:rFonts w:hint="eastAsia" w:ascii="宋体" w:hAnsi="宋体" w:eastAsia="宋体" w:cs="宋体"/>
          <w:b/>
          <w:kern w:val="0"/>
          <w:sz w:val="52"/>
          <w:szCs w:val="52"/>
          <w:lang w:val="zh-CN" w:bidi="zh-CN"/>
        </w:rPr>
      </w:pPr>
    </w:p>
    <w:p w14:paraId="22854E78">
      <w:pPr>
        <w:pageBreakBefore w:val="0"/>
        <w:kinsoku/>
        <w:wordWrap w:val="0"/>
        <w:overflowPunct/>
        <w:topLinePunct w:val="0"/>
        <w:autoSpaceDE w:val="0"/>
        <w:autoSpaceDN w:val="0"/>
        <w:bidi w:val="0"/>
        <w:jc w:val="center"/>
        <w:rPr>
          <w:rFonts w:hint="eastAsia" w:ascii="宋体" w:hAnsi="宋体" w:eastAsia="宋体" w:cs="宋体"/>
          <w:b/>
          <w:kern w:val="0"/>
          <w:sz w:val="52"/>
          <w:szCs w:val="52"/>
          <w:lang w:val="zh-CN" w:bidi="zh-CN"/>
        </w:rPr>
      </w:pPr>
    </w:p>
    <w:p w14:paraId="26EFFCD8">
      <w:pPr>
        <w:pageBreakBefore w:val="0"/>
        <w:kinsoku/>
        <w:wordWrap w:val="0"/>
        <w:overflowPunct/>
        <w:topLinePunct w:val="0"/>
        <w:autoSpaceDE w:val="0"/>
        <w:autoSpaceDN w:val="0"/>
        <w:bidi w:val="0"/>
        <w:jc w:val="center"/>
        <w:rPr>
          <w:rFonts w:hint="eastAsia" w:ascii="宋体" w:hAnsi="宋体" w:eastAsia="宋体" w:cs="宋体"/>
          <w:b/>
          <w:kern w:val="0"/>
          <w:sz w:val="52"/>
          <w:szCs w:val="52"/>
          <w:lang w:val="zh-CN" w:bidi="zh-CN"/>
        </w:rPr>
      </w:pPr>
    </w:p>
    <w:p w14:paraId="0DC67247">
      <w:pPr>
        <w:pageBreakBefore w:val="0"/>
        <w:kinsoku/>
        <w:wordWrap w:val="0"/>
        <w:overflowPunct/>
        <w:topLinePunct w:val="0"/>
        <w:autoSpaceDE w:val="0"/>
        <w:autoSpaceDN w:val="0"/>
        <w:bidi w:val="0"/>
        <w:jc w:val="center"/>
        <w:rPr>
          <w:rFonts w:hint="eastAsia" w:ascii="宋体" w:hAnsi="宋体" w:eastAsia="宋体" w:cs="宋体"/>
          <w:b/>
          <w:kern w:val="0"/>
          <w:sz w:val="52"/>
          <w:szCs w:val="52"/>
          <w:lang w:val="zh-CN" w:bidi="zh-CN"/>
        </w:rPr>
      </w:pPr>
    </w:p>
    <w:p w14:paraId="7DB62C8A">
      <w:pPr>
        <w:pageBreakBefore w:val="0"/>
        <w:kinsoku/>
        <w:wordWrap w:val="0"/>
        <w:overflowPunct/>
        <w:topLinePunct w:val="0"/>
        <w:autoSpaceDE w:val="0"/>
        <w:autoSpaceDN w:val="0"/>
        <w:bidi w:val="0"/>
        <w:jc w:val="center"/>
        <w:rPr>
          <w:rFonts w:hint="eastAsia" w:ascii="宋体" w:hAnsi="宋体" w:eastAsia="宋体" w:cs="宋体"/>
          <w:b/>
          <w:kern w:val="0"/>
          <w:sz w:val="72"/>
          <w:szCs w:val="72"/>
          <w:lang w:val="zh-CN" w:bidi="zh-CN"/>
        </w:rPr>
      </w:pPr>
    </w:p>
    <w:p w14:paraId="7890AA40">
      <w:pPr>
        <w:pageBreakBefore w:val="0"/>
        <w:kinsoku/>
        <w:wordWrap w:val="0"/>
        <w:overflowPunct/>
        <w:topLinePunct w:val="0"/>
        <w:autoSpaceDE w:val="0"/>
        <w:autoSpaceDN w:val="0"/>
        <w:bidi w:val="0"/>
        <w:jc w:val="center"/>
        <w:rPr>
          <w:rFonts w:hint="eastAsia" w:ascii="宋体" w:hAnsi="宋体" w:eastAsia="宋体" w:cs="宋体"/>
          <w:b/>
          <w:kern w:val="0"/>
          <w:sz w:val="52"/>
          <w:szCs w:val="52"/>
          <w:lang w:val="zh-CN" w:bidi="zh-CN"/>
        </w:rPr>
      </w:pPr>
      <w:r>
        <w:rPr>
          <w:rFonts w:hint="eastAsia" w:ascii="宋体" w:hAnsi="宋体" w:eastAsia="宋体" w:cs="宋体"/>
          <w:b/>
          <w:kern w:val="0"/>
          <w:sz w:val="72"/>
          <w:szCs w:val="72"/>
          <w:lang w:val="zh-CN" w:bidi="zh-CN"/>
        </w:rPr>
        <w:t>建设工程施工合同</w:t>
      </w:r>
    </w:p>
    <w:p w14:paraId="66AA9D59">
      <w:pPr>
        <w:pageBreakBefore w:val="0"/>
        <w:kinsoku/>
        <w:wordWrap w:val="0"/>
        <w:overflowPunct/>
        <w:topLinePunct w:val="0"/>
        <w:autoSpaceDE w:val="0"/>
        <w:autoSpaceDN w:val="0"/>
        <w:bidi w:val="0"/>
        <w:jc w:val="center"/>
        <w:rPr>
          <w:rFonts w:hint="eastAsia" w:ascii="宋体" w:hAnsi="宋体" w:eastAsia="宋体" w:cs="宋体"/>
          <w:b/>
          <w:kern w:val="0"/>
          <w:sz w:val="28"/>
          <w:szCs w:val="28"/>
          <w:lang w:val="zh-CN" w:bidi="zh-CN"/>
        </w:rPr>
      </w:pPr>
    </w:p>
    <w:p w14:paraId="47AA5C23">
      <w:pPr>
        <w:pageBreakBefore w:val="0"/>
        <w:kinsoku/>
        <w:wordWrap w:val="0"/>
        <w:overflowPunct/>
        <w:topLinePunct w:val="0"/>
        <w:autoSpaceDE w:val="0"/>
        <w:autoSpaceDN w:val="0"/>
        <w:bidi w:val="0"/>
        <w:jc w:val="center"/>
        <w:rPr>
          <w:rFonts w:hint="eastAsia" w:ascii="宋体" w:hAnsi="宋体" w:eastAsia="宋体" w:cs="宋体"/>
          <w:b/>
          <w:kern w:val="0"/>
          <w:sz w:val="28"/>
          <w:szCs w:val="28"/>
          <w:lang w:val="zh-CN" w:bidi="zh-CN"/>
        </w:rPr>
      </w:pPr>
    </w:p>
    <w:p w14:paraId="7D3FA8B9">
      <w:pPr>
        <w:pageBreakBefore w:val="0"/>
        <w:kinsoku/>
        <w:wordWrap w:val="0"/>
        <w:overflowPunct/>
        <w:topLinePunct w:val="0"/>
        <w:autoSpaceDE w:val="0"/>
        <w:autoSpaceDN w:val="0"/>
        <w:bidi w:val="0"/>
        <w:ind w:right="2590" w:rightChars="1295" w:firstLine="2490" w:firstLineChars="775"/>
        <w:jc w:val="center"/>
        <w:rPr>
          <w:rFonts w:hint="eastAsia" w:ascii="宋体" w:hAnsi="宋体" w:eastAsia="宋体" w:cs="宋体"/>
          <w:b/>
          <w:kern w:val="0"/>
          <w:sz w:val="32"/>
          <w:szCs w:val="28"/>
          <w:lang w:val="zh-CN" w:bidi="zh-CN"/>
        </w:rPr>
      </w:pPr>
    </w:p>
    <w:p w14:paraId="49D8BB18">
      <w:pPr>
        <w:pageBreakBefore w:val="0"/>
        <w:kinsoku/>
        <w:wordWrap w:val="0"/>
        <w:overflowPunct/>
        <w:topLinePunct w:val="0"/>
        <w:autoSpaceDE w:val="0"/>
        <w:autoSpaceDN w:val="0"/>
        <w:bidi w:val="0"/>
        <w:ind w:right="2590" w:rightChars="1295"/>
        <w:jc w:val="center"/>
        <w:rPr>
          <w:rFonts w:hint="eastAsia" w:ascii="宋体" w:hAnsi="宋体" w:eastAsia="宋体" w:cs="宋体"/>
          <w:b/>
          <w:kern w:val="0"/>
          <w:sz w:val="32"/>
          <w:szCs w:val="28"/>
          <w:lang w:val="zh-CN" w:bidi="zh-CN"/>
        </w:rPr>
      </w:pPr>
    </w:p>
    <w:p w14:paraId="6DDC7C72">
      <w:pPr>
        <w:pageBreakBefore w:val="0"/>
        <w:kinsoku/>
        <w:wordWrap w:val="0"/>
        <w:overflowPunct/>
        <w:topLinePunct w:val="0"/>
        <w:autoSpaceDE w:val="0"/>
        <w:autoSpaceDN w:val="0"/>
        <w:bidi w:val="0"/>
        <w:ind w:left="600" w:leftChars="300" w:right="1970" w:rightChars="985" w:firstLine="1803" w:firstLineChars="333"/>
        <w:jc w:val="center"/>
        <w:rPr>
          <w:rFonts w:hint="eastAsia" w:ascii="宋体" w:hAnsi="宋体" w:eastAsia="宋体" w:cs="宋体"/>
          <w:b/>
          <w:spacing w:val="90"/>
          <w:kern w:val="0"/>
          <w:sz w:val="36"/>
          <w:szCs w:val="36"/>
          <w:lang w:val="zh-CN" w:bidi="zh-CN"/>
        </w:rPr>
      </w:pPr>
    </w:p>
    <w:p w14:paraId="1EB53787">
      <w:pPr>
        <w:pageBreakBefore w:val="0"/>
        <w:kinsoku/>
        <w:wordWrap w:val="0"/>
        <w:overflowPunct/>
        <w:topLinePunct w:val="0"/>
        <w:autoSpaceDE w:val="0"/>
        <w:autoSpaceDN w:val="0"/>
        <w:bidi w:val="0"/>
        <w:ind w:left="0" w:leftChars="0" w:right="1970" w:rightChars="985" w:firstLine="2400" w:firstLineChars="1200"/>
        <w:jc w:val="both"/>
        <w:rPr>
          <w:rFonts w:hint="eastAsia" w:ascii="宋体" w:hAnsi="宋体" w:eastAsia="宋体" w:cs="宋体"/>
          <w:b/>
          <w:spacing w:val="90"/>
          <w:kern w:val="0"/>
          <w:sz w:val="36"/>
          <w:szCs w:val="36"/>
          <w:lang w:val="zh-CN" w:bidi="zh-CN"/>
        </w:rPr>
      </w:pPr>
      <w:r>
        <w:rPr>
          <w:rFonts w:hint="eastAsia" w:ascii="宋体" w:hAnsi="宋体" w:eastAsia="宋体" w:cs="宋体"/>
          <w:szCs w:val="22"/>
        </w:rPr>
        <mc:AlternateContent>
          <mc:Choice Requires="wps">
            <w:drawing>
              <wp:anchor distT="0" distB="0" distL="114300" distR="114300" simplePos="0" relativeHeight="251661312" behindDoc="0" locked="0" layoutInCell="1" allowOverlap="1">
                <wp:simplePos x="0" y="0"/>
                <wp:positionH relativeFrom="column">
                  <wp:posOffset>3886200</wp:posOffset>
                </wp:positionH>
                <wp:positionV relativeFrom="paragraph">
                  <wp:posOffset>137160</wp:posOffset>
                </wp:positionV>
                <wp:extent cx="723900" cy="466725"/>
                <wp:effectExtent l="4445" t="4445" r="14605" b="508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723900" cy="466725"/>
                        </a:xfrm>
                        <a:prstGeom prst="rect">
                          <a:avLst/>
                        </a:prstGeom>
                        <a:noFill/>
                        <a:ln w="9525">
                          <a:solidFill>
                            <a:srgbClr val="FFFFFF"/>
                          </a:solidFill>
                          <a:miter lim="200000"/>
                        </a:ln>
                        <a:effectLst/>
                      </wps:spPr>
                      <wps:txbx>
                        <w:txbxContent>
                          <w:p w14:paraId="0B161D50">
                            <w:pPr>
                              <w:rPr>
                                <w:b/>
                                <w:bCs/>
                                <w:sz w:val="36"/>
                              </w:rPr>
                            </w:pPr>
                            <w:r>
                              <w:rPr>
                                <w:rFonts w:hint="eastAsia"/>
                                <w:b/>
                                <w:bCs/>
                                <w:sz w:val="36"/>
                              </w:rPr>
                              <w:t>制定</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06pt;margin-top:10.8pt;height:36.75pt;width:57pt;z-index:251661312;mso-width-relative:page;mso-height-relative:page;" filled="f" stroked="t" coordsize="21600,21600" o:gfxdata="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TDZDnYAAAACQEAAA8AAAAAAAAAAQAgAAAAIgAAAGRycy9kb3du&#10;cmV2LnhtbFBLAQIUABQAAAAIAIdO4kDixp3jOAIAAF4EAAAOAAAAAAAAAAEAIAAAACcBAABkcnMv&#10;ZTJvRG9jLnhtbFBLBQYAAAAABgAGAFkBAADRBQAAAAA=&#10;">
                <v:fill on="f" focussize="0,0"/>
                <v:stroke color="#FFFFFF" miterlimit="2" joinstyle="miter"/>
                <v:imagedata o:title=""/>
                <o:lock v:ext="edit" aspectratio="f"/>
                <v:textbox>
                  <w:txbxContent>
                    <w:p w14:paraId="0B161D50">
                      <w:pPr>
                        <w:rPr>
                          <w:b/>
                          <w:bCs/>
                          <w:sz w:val="36"/>
                        </w:rPr>
                      </w:pPr>
                      <w:r>
                        <w:rPr>
                          <w:rFonts w:hint="eastAsia"/>
                          <w:b/>
                          <w:bCs/>
                          <w:sz w:val="36"/>
                        </w:rPr>
                        <w:t>制定</w:t>
                      </w:r>
                    </w:p>
                  </w:txbxContent>
                </v:textbox>
              </v:rect>
            </w:pict>
          </mc:Fallback>
        </mc:AlternateContent>
      </w:r>
      <w:r>
        <w:rPr>
          <w:rFonts w:hint="eastAsia" w:ascii="宋体" w:hAnsi="宋体" w:eastAsia="宋体" w:cs="宋体"/>
          <w:b/>
          <w:spacing w:val="90"/>
          <w:kern w:val="0"/>
          <w:sz w:val="36"/>
          <w:szCs w:val="36"/>
          <w:lang w:val="zh-CN" w:bidi="zh-CN"/>
        </w:rPr>
        <w:t>住房城乡建设部</w:t>
      </w:r>
    </w:p>
    <w:p w14:paraId="60FA6470">
      <w:pPr>
        <w:pageBreakBefore w:val="0"/>
        <w:kinsoku/>
        <w:wordWrap w:val="0"/>
        <w:overflowPunct/>
        <w:topLinePunct w:val="0"/>
        <w:autoSpaceDE w:val="0"/>
        <w:autoSpaceDN w:val="0"/>
        <w:bidi w:val="0"/>
        <w:ind w:left="0" w:leftChars="0" w:right="2590" w:rightChars="1295" w:firstLine="2407" w:firstLineChars="666"/>
        <w:jc w:val="both"/>
        <w:rPr>
          <w:rFonts w:hint="eastAsia" w:ascii="宋体" w:hAnsi="宋体" w:eastAsia="宋体" w:cs="宋体"/>
          <w:b/>
          <w:kern w:val="0"/>
          <w:sz w:val="36"/>
          <w:szCs w:val="36"/>
          <w:lang w:val="zh-CN" w:bidi="zh-CN"/>
        </w:rPr>
      </w:pPr>
      <w:r>
        <w:rPr>
          <w:rFonts w:hint="eastAsia" w:ascii="宋体" w:hAnsi="宋体" w:eastAsia="宋体" w:cs="宋体"/>
          <w:b/>
          <w:kern w:val="0"/>
          <w:sz w:val="36"/>
          <w:szCs w:val="36"/>
          <w:lang w:val="zh-CN" w:bidi="zh-CN"/>
        </w:rPr>
        <w:t>国家工商行政管理总局</w:t>
      </w:r>
    </w:p>
    <w:p w14:paraId="4164A725">
      <w:pPr>
        <w:pageBreakBefore w:val="0"/>
        <w:kinsoku/>
        <w:wordWrap w:val="0"/>
        <w:overflowPunct/>
        <w:topLinePunct w:val="0"/>
        <w:autoSpaceDE w:val="0"/>
        <w:autoSpaceDN w:val="0"/>
        <w:bidi w:val="0"/>
        <w:ind w:right="2590" w:rightChars="1295"/>
        <w:jc w:val="center"/>
        <w:rPr>
          <w:rFonts w:hint="eastAsia" w:ascii="宋体" w:hAnsi="宋体" w:eastAsia="宋体" w:cs="宋体"/>
          <w:kern w:val="0"/>
          <w:sz w:val="22"/>
          <w:lang w:val="zh-CN" w:bidi="zh-CN"/>
        </w:rPr>
        <w:sectPr>
          <w:footerReference r:id="rId8" w:type="first"/>
          <w:footerReference r:id="rId7" w:type="default"/>
          <w:pgSz w:w="11906" w:h="16838"/>
          <w:pgMar w:top="1020" w:right="1247" w:bottom="1020" w:left="1247" w:header="851" w:footer="992" w:gutter="0"/>
          <w:pgNumType w:fmt="decimal" w:start="1"/>
          <w:cols w:space="720" w:num="1"/>
          <w:titlePg/>
          <w:docGrid w:type="lines" w:linePitch="312" w:charSpace="0"/>
        </w:sectPr>
      </w:pPr>
    </w:p>
    <w:p w14:paraId="66872ACF">
      <w:pPr>
        <w:pStyle w:val="3"/>
        <w:pageBreakBefore w:val="0"/>
        <w:kinsoku/>
        <w:wordWrap w:val="0"/>
        <w:overflowPunct/>
        <w:topLinePunct w:val="0"/>
        <w:bidi w:val="0"/>
        <w:spacing w:line="360" w:lineRule="auto"/>
        <w:jc w:val="center"/>
        <w:rPr>
          <w:rFonts w:hint="eastAsia" w:ascii="宋体" w:hAnsi="宋体" w:eastAsia="宋体" w:cs="宋体"/>
          <w:sz w:val="24"/>
          <w:szCs w:val="24"/>
        </w:rPr>
      </w:pPr>
      <w:bookmarkStart w:id="258" w:name="_Toc25901"/>
      <w:r>
        <w:rPr>
          <w:rFonts w:hint="eastAsia" w:ascii="宋体" w:hAnsi="宋体" w:eastAsia="宋体" w:cs="宋体"/>
          <w:sz w:val="24"/>
          <w:szCs w:val="24"/>
        </w:rPr>
        <w:t>第一节  合同协议书</w:t>
      </w:r>
      <w:bookmarkEnd w:id="249"/>
      <w:bookmarkEnd w:id="250"/>
      <w:bookmarkEnd w:id="251"/>
      <w:bookmarkEnd w:id="252"/>
      <w:bookmarkEnd w:id="253"/>
      <w:bookmarkEnd w:id="254"/>
      <w:bookmarkEnd w:id="255"/>
      <w:bookmarkEnd w:id="256"/>
      <w:bookmarkEnd w:id="258"/>
    </w:p>
    <w:p w14:paraId="29EC3C6C">
      <w:pPr>
        <w:pageBreakBefore w:val="0"/>
        <w:kinsoku/>
        <w:wordWrap w:val="0"/>
        <w:overflowPunct/>
        <w:topLinePunct w:val="0"/>
        <w:bidi w:val="0"/>
        <w:spacing w:line="360" w:lineRule="auto"/>
        <w:rPr>
          <w:rFonts w:hint="eastAsia" w:ascii="宋体" w:hAnsi="宋体" w:eastAsia="宋体" w:cs="宋体"/>
          <w:b/>
          <w:sz w:val="24"/>
        </w:rPr>
      </w:pPr>
      <w:r>
        <w:rPr>
          <w:rFonts w:hint="eastAsia" w:ascii="宋体" w:hAnsi="宋体" w:eastAsia="宋体" w:cs="宋体"/>
          <w:b/>
          <w:sz w:val="24"/>
        </w:rPr>
        <w:t>发包人（全称）：_______________________________________</w:t>
      </w:r>
    </w:p>
    <w:p w14:paraId="491A8FB0">
      <w:pPr>
        <w:pageBreakBefore w:val="0"/>
        <w:kinsoku/>
        <w:wordWrap w:val="0"/>
        <w:overflowPunct/>
        <w:topLinePunct w:val="0"/>
        <w:bidi w:val="0"/>
        <w:spacing w:line="360" w:lineRule="auto"/>
        <w:rPr>
          <w:rFonts w:hint="eastAsia" w:ascii="宋体" w:hAnsi="宋体" w:eastAsia="宋体" w:cs="宋体"/>
          <w:b/>
          <w:sz w:val="24"/>
        </w:rPr>
      </w:pPr>
      <w:r>
        <w:rPr>
          <w:rFonts w:hint="eastAsia" w:ascii="宋体" w:hAnsi="宋体" w:eastAsia="宋体" w:cs="宋体"/>
          <w:b/>
          <w:sz w:val="24"/>
        </w:rPr>
        <w:t>承包人（全称）：_______________________________________</w:t>
      </w:r>
    </w:p>
    <w:p w14:paraId="464E9912">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根据《中华人民共和国合同法》、《中华人民共和国建筑法》及有关法律规定，遵循平等、自愿、公平和诚实信用的原则，双方就</w:t>
      </w:r>
      <w:r>
        <w:rPr>
          <w:rFonts w:hint="eastAsia" w:ascii="宋体" w:hAnsi="宋体" w:eastAsia="宋体" w:cs="宋体"/>
          <w:sz w:val="24"/>
          <w:u w:val="single"/>
        </w:rPr>
        <w:t xml:space="preserve">                 </w:t>
      </w:r>
      <w:r>
        <w:rPr>
          <w:rFonts w:hint="eastAsia" w:ascii="宋体" w:hAnsi="宋体" w:eastAsia="宋体" w:cs="宋体"/>
          <w:sz w:val="24"/>
        </w:rPr>
        <w:t>工程施工及有关事项协商一致，共同达成如下协议：</w:t>
      </w:r>
    </w:p>
    <w:p w14:paraId="6D7C65EC">
      <w:pPr>
        <w:pageBreakBefore w:val="0"/>
        <w:kinsoku/>
        <w:wordWrap w:val="0"/>
        <w:overflowPunct/>
        <w:topLinePunct w:val="0"/>
        <w:bidi w:val="0"/>
        <w:spacing w:line="360" w:lineRule="auto"/>
        <w:ind w:firstLine="482" w:firstLineChars="200"/>
        <w:rPr>
          <w:rFonts w:hint="eastAsia" w:ascii="宋体" w:hAnsi="宋体" w:eastAsia="宋体" w:cs="宋体"/>
          <w:bCs/>
          <w:sz w:val="24"/>
        </w:rPr>
      </w:pPr>
      <w:bookmarkStart w:id="259" w:name="_Toc351203481"/>
      <w:r>
        <w:rPr>
          <w:rFonts w:hint="eastAsia" w:ascii="宋体" w:hAnsi="宋体" w:eastAsia="宋体" w:cs="宋体"/>
          <w:b/>
          <w:sz w:val="24"/>
        </w:rPr>
        <w:t>一、工程概况</w:t>
      </w:r>
      <w:bookmarkEnd w:id="259"/>
    </w:p>
    <w:p w14:paraId="1515DD31">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1.工程名称</w:t>
      </w:r>
      <w:r>
        <w:rPr>
          <w:rFonts w:hint="eastAsia" w:ascii="宋体" w:hAnsi="宋体" w:eastAsia="宋体" w:cs="宋体"/>
          <w:sz w:val="24"/>
        </w:rPr>
        <w:t>：</w:t>
      </w:r>
      <w:r>
        <w:rPr>
          <w:rFonts w:hint="eastAsia" w:ascii="宋体" w:hAnsi="宋体" w:eastAsia="宋体" w:cs="宋体"/>
          <w:b/>
          <w:bCs/>
          <w:sz w:val="24"/>
        </w:rPr>
        <w:t xml:space="preserve">                                         </w:t>
      </w:r>
      <w:r>
        <w:rPr>
          <w:rFonts w:hint="eastAsia" w:ascii="宋体" w:hAnsi="宋体" w:eastAsia="宋体" w:cs="宋体"/>
          <w:sz w:val="24"/>
        </w:rPr>
        <w:t>。</w:t>
      </w:r>
    </w:p>
    <w:p w14:paraId="42C61D49">
      <w:pPr>
        <w:pageBreakBefore w:val="0"/>
        <w:kinsoku/>
        <w:wordWrap w:val="0"/>
        <w:overflowPunct/>
        <w:topLinePunct w:val="0"/>
        <w:bidi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2.工程地点：</w:t>
      </w:r>
      <w:r>
        <w:rPr>
          <w:rFonts w:hint="eastAsia" w:ascii="宋体" w:hAnsi="宋体" w:eastAsia="宋体" w:cs="宋体"/>
          <w:b/>
          <w:sz w:val="24"/>
        </w:rPr>
        <w:t>_______________________________________</w:t>
      </w:r>
      <w:r>
        <w:rPr>
          <w:rFonts w:hint="eastAsia" w:ascii="宋体" w:hAnsi="宋体" w:eastAsia="宋体" w:cs="宋体"/>
          <w:sz w:val="24"/>
        </w:rPr>
        <w:t xml:space="preserve"> 。</w:t>
      </w:r>
    </w:p>
    <w:p w14:paraId="611DFF30">
      <w:pPr>
        <w:pageBreakBefore w:val="0"/>
        <w:kinsoku/>
        <w:wordWrap w:val="0"/>
        <w:overflowPunct/>
        <w:topLinePunct w:val="0"/>
        <w:bidi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3.工程立项批准文号：</w:t>
      </w:r>
      <w:r>
        <w:rPr>
          <w:rFonts w:hint="eastAsia" w:ascii="宋体" w:hAnsi="宋体" w:eastAsia="宋体" w:cs="宋体"/>
          <w:b/>
          <w:sz w:val="24"/>
        </w:rPr>
        <w:t>______________________________________</w:t>
      </w:r>
      <w:r>
        <w:rPr>
          <w:rFonts w:hint="eastAsia" w:ascii="宋体" w:hAnsi="宋体" w:eastAsia="宋体" w:cs="宋体"/>
          <w:sz w:val="24"/>
        </w:rPr>
        <w:t xml:space="preserve"> 。</w:t>
      </w:r>
    </w:p>
    <w:p w14:paraId="768C1689">
      <w:pPr>
        <w:pageBreakBefore w:val="0"/>
        <w:kinsoku/>
        <w:wordWrap w:val="0"/>
        <w:overflowPunct/>
        <w:topLinePunct w:val="0"/>
        <w:bidi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4.资金来源：</w:t>
      </w:r>
      <w:r>
        <w:rPr>
          <w:rFonts w:hint="eastAsia" w:ascii="宋体" w:hAnsi="宋体" w:eastAsia="宋体" w:cs="宋体"/>
          <w:b/>
          <w:sz w:val="24"/>
        </w:rPr>
        <w:t>_______________________________________</w:t>
      </w:r>
      <w:r>
        <w:rPr>
          <w:rFonts w:hint="eastAsia" w:ascii="宋体" w:hAnsi="宋体" w:eastAsia="宋体" w:cs="宋体"/>
          <w:sz w:val="24"/>
        </w:rPr>
        <w:t xml:space="preserve"> </w:t>
      </w:r>
      <w:r>
        <w:rPr>
          <w:rFonts w:hint="eastAsia" w:ascii="宋体" w:hAnsi="宋体" w:eastAsia="宋体" w:cs="宋体"/>
          <w:bCs/>
          <w:sz w:val="24"/>
        </w:rPr>
        <w:t>。</w:t>
      </w:r>
    </w:p>
    <w:p w14:paraId="0903D64B">
      <w:pPr>
        <w:pageBreakBefore w:val="0"/>
        <w:kinsoku/>
        <w:wordWrap w:val="0"/>
        <w:overflowPunct/>
        <w:topLinePunct w:val="0"/>
        <w:bidi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5.工程内容：</w:t>
      </w:r>
      <w:r>
        <w:rPr>
          <w:rFonts w:hint="eastAsia" w:ascii="宋体" w:hAnsi="宋体" w:eastAsia="宋体" w:cs="宋体"/>
          <w:b/>
          <w:sz w:val="24"/>
        </w:rPr>
        <w:t>_______________________________________</w:t>
      </w:r>
      <w:r>
        <w:rPr>
          <w:rFonts w:hint="eastAsia" w:ascii="宋体" w:hAnsi="宋体" w:eastAsia="宋体" w:cs="宋体"/>
          <w:sz w:val="24"/>
        </w:rPr>
        <w:t xml:space="preserve"> </w:t>
      </w:r>
      <w:r>
        <w:rPr>
          <w:rFonts w:hint="eastAsia" w:ascii="宋体" w:hAnsi="宋体" w:eastAsia="宋体" w:cs="宋体"/>
          <w:bCs/>
          <w:sz w:val="24"/>
        </w:rPr>
        <w:t>。</w:t>
      </w:r>
    </w:p>
    <w:p w14:paraId="2FD9F031">
      <w:pPr>
        <w:pageBreakBefore w:val="0"/>
        <w:kinsoku/>
        <w:wordWrap w:val="0"/>
        <w:overflowPunct/>
        <w:topLinePunct w:val="0"/>
        <w:bidi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6.工程承包范围：</w:t>
      </w:r>
    </w:p>
    <w:p w14:paraId="5208F2E8">
      <w:pPr>
        <w:pageBreakBefore w:val="0"/>
        <w:kinsoku/>
        <w:wordWrap w:val="0"/>
        <w:overflowPunct/>
        <w:topLinePunct w:val="0"/>
        <w:bidi w:val="0"/>
        <w:spacing w:line="360" w:lineRule="auto"/>
        <w:ind w:firstLine="482" w:firstLineChars="200"/>
        <w:rPr>
          <w:rFonts w:hint="eastAsia" w:ascii="宋体" w:hAnsi="宋体" w:eastAsia="宋体" w:cs="宋体"/>
          <w:sz w:val="24"/>
        </w:rPr>
      </w:pPr>
      <w:r>
        <w:rPr>
          <w:rFonts w:hint="eastAsia" w:ascii="宋体" w:hAnsi="宋体" w:eastAsia="宋体" w:cs="宋体"/>
          <w:b/>
          <w:sz w:val="24"/>
        </w:rPr>
        <w:t>_______________________________________</w:t>
      </w:r>
      <w:r>
        <w:rPr>
          <w:rFonts w:hint="eastAsia" w:ascii="宋体" w:hAnsi="宋体" w:eastAsia="宋体" w:cs="宋体"/>
          <w:sz w:val="24"/>
        </w:rPr>
        <w:t>。</w:t>
      </w:r>
    </w:p>
    <w:p w14:paraId="3A39E8E4">
      <w:pPr>
        <w:pageBreakBefore w:val="0"/>
        <w:kinsoku/>
        <w:wordWrap w:val="0"/>
        <w:overflowPunct/>
        <w:topLinePunct w:val="0"/>
        <w:bidi w:val="0"/>
        <w:spacing w:line="360" w:lineRule="auto"/>
        <w:ind w:firstLine="482" w:firstLineChars="200"/>
        <w:rPr>
          <w:rFonts w:hint="eastAsia" w:ascii="宋体" w:hAnsi="宋体" w:eastAsia="宋体" w:cs="宋体"/>
          <w:b/>
          <w:sz w:val="24"/>
        </w:rPr>
      </w:pPr>
      <w:bookmarkStart w:id="260" w:name="_Toc351203482"/>
      <w:r>
        <w:rPr>
          <w:rFonts w:hint="eastAsia" w:ascii="宋体" w:hAnsi="宋体" w:eastAsia="宋体" w:cs="宋体"/>
          <w:b/>
          <w:sz w:val="24"/>
        </w:rPr>
        <w:t>二、合同工期</w:t>
      </w:r>
      <w:bookmarkEnd w:id="260"/>
    </w:p>
    <w:p w14:paraId="068B6856">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计划开工日期：</w:t>
      </w:r>
      <w:r>
        <w:rPr>
          <w:rFonts w:hint="eastAsia" w:ascii="宋体" w:hAnsi="宋体" w:eastAsia="宋体" w:cs="宋体"/>
          <w:b/>
          <w:sz w:val="24"/>
        </w:rPr>
        <w:t>_______________________________________</w:t>
      </w:r>
      <w:r>
        <w:rPr>
          <w:rFonts w:hint="eastAsia" w:ascii="宋体" w:hAnsi="宋体" w:eastAsia="宋体" w:cs="宋体"/>
          <w:sz w:val="24"/>
        </w:rPr>
        <w:t>。</w:t>
      </w:r>
    </w:p>
    <w:p w14:paraId="2AAAF7EF">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计划竣工日期：</w:t>
      </w:r>
      <w:r>
        <w:rPr>
          <w:rFonts w:hint="eastAsia" w:ascii="宋体" w:hAnsi="宋体" w:eastAsia="宋体" w:cs="宋体"/>
          <w:b/>
          <w:sz w:val="24"/>
        </w:rPr>
        <w:t>_______________________________________</w:t>
      </w:r>
      <w:r>
        <w:rPr>
          <w:rFonts w:hint="eastAsia" w:ascii="宋体" w:hAnsi="宋体" w:eastAsia="宋体" w:cs="宋体"/>
          <w:sz w:val="24"/>
        </w:rPr>
        <w:t>。</w:t>
      </w:r>
    </w:p>
    <w:p w14:paraId="101D2A4A">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工期总日历天数：</w:t>
      </w:r>
      <w:r>
        <w:rPr>
          <w:rFonts w:hint="eastAsia" w:ascii="宋体" w:hAnsi="宋体" w:eastAsia="宋体" w:cs="宋体"/>
          <w:b/>
          <w:sz w:val="24"/>
        </w:rPr>
        <w:t>_________</w:t>
      </w:r>
      <w:r>
        <w:rPr>
          <w:rFonts w:hint="eastAsia" w:ascii="宋体" w:hAnsi="宋体" w:eastAsia="宋体" w:cs="宋体"/>
          <w:sz w:val="24"/>
        </w:rPr>
        <w:t>天。工期总日历天数与根据前述计划开竣工日期计算的工期天数不一致的，以工期总日历天数为准。</w:t>
      </w:r>
      <w:bookmarkStart w:id="261" w:name="_Toc351203483"/>
    </w:p>
    <w:p w14:paraId="5BCC2336">
      <w:pPr>
        <w:pageBreakBefore w:val="0"/>
        <w:kinsoku/>
        <w:wordWrap w:val="0"/>
        <w:overflowPunct/>
        <w:topLinePunct w:val="0"/>
        <w:bidi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三、质量标准</w:t>
      </w:r>
      <w:bookmarkEnd w:id="261"/>
    </w:p>
    <w:p w14:paraId="0CB46229">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工程质量符合</w:t>
      </w:r>
      <w:r>
        <w:rPr>
          <w:rFonts w:hint="eastAsia" w:ascii="宋体" w:hAnsi="宋体" w:eastAsia="宋体" w:cs="宋体"/>
          <w:b/>
          <w:sz w:val="24"/>
        </w:rPr>
        <w:t>_____________</w:t>
      </w:r>
      <w:r>
        <w:rPr>
          <w:rFonts w:hint="eastAsia" w:ascii="宋体" w:hAnsi="宋体" w:eastAsia="宋体" w:cs="宋体"/>
          <w:sz w:val="24"/>
        </w:rPr>
        <w:t>标准。</w:t>
      </w:r>
    </w:p>
    <w:p w14:paraId="3B76DC5D">
      <w:pPr>
        <w:pageBreakBefore w:val="0"/>
        <w:kinsoku/>
        <w:wordWrap w:val="0"/>
        <w:overflowPunct/>
        <w:topLinePunct w:val="0"/>
        <w:bidi w:val="0"/>
        <w:spacing w:line="360" w:lineRule="auto"/>
        <w:ind w:firstLine="482" w:firstLineChars="200"/>
        <w:rPr>
          <w:rFonts w:hint="eastAsia" w:ascii="宋体" w:hAnsi="宋体" w:eastAsia="宋体" w:cs="宋体"/>
          <w:bCs/>
          <w:sz w:val="24"/>
        </w:rPr>
      </w:pPr>
      <w:bookmarkStart w:id="262" w:name="_Toc351203484"/>
      <w:r>
        <w:rPr>
          <w:rFonts w:hint="eastAsia" w:ascii="宋体" w:hAnsi="宋体" w:eastAsia="宋体" w:cs="宋体"/>
          <w:b/>
          <w:sz w:val="24"/>
        </w:rPr>
        <w:t>四、签约合同价与合同价格形式</w:t>
      </w:r>
      <w:bookmarkEnd w:id="262"/>
      <w:r>
        <w:rPr>
          <w:rFonts w:hint="eastAsia" w:ascii="宋体" w:hAnsi="宋体" w:eastAsia="宋体" w:cs="宋体"/>
          <w:b/>
          <w:sz w:val="24"/>
        </w:rPr>
        <w:tab/>
      </w:r>
    </w:p>
    <w:p w14:paraId="062D1B8D">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1.签约合同价为：</w:t>
      </w:r>
    </w:p>
    <w:p w14:paraId="7736FCC9">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元)；</w:t>
      </w:r>
    </w:p>
    <w:p w14:paraId="6BFFC2F4">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其中：</w:t>
      </w:r>
    </w:p>
    <w:p w14:paraId="60F4A8CD">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（1）安全文明施工费：</w:t>
      </w:r>
    </w:p>
    <w:p w14:paraId="43D0FA1E">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元)；</w:t>
      </w:r>
    </w:p>
    <w:p w14:paraId="38AA38F1">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（2）材料和工程设备暂估价金额：</w:t>
      </w:r>
    </w:p>
    <w:p w14:paraId="34F17B66">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元)；</w:t>
      </w:r>
    </w:p>
    <w:p w14:paraId="5D3837DD">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（3）专业工程暂估价金额：</w:t>
      </w:r>
    </w:p>
    <w:p w14:paraId="445B6AD4">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元)；</w:t>
      </w:r>
    </w:p>
    <w:p w14:paraId="004CE563">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（4）暂列金额：</w:t>
      </w:r>
    </w:p>
    <w:p w14:paraId="682B0652">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元)。</w:t>
      </w:r>
    </w:p>
    <w:p w14:paraId="211EDD10">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2.合同价格形式：</w:t>
      </w:r>
      <w:r>
        <w:rPr>
          <w:rFonts w:hint="eastAsia" w:ascii="宋体" w:hAnsi="宋体" w:eastAsia="宋体" w:cs="宋体"/>
          <w:bCs/>
          <w:sz w:val="24"/>
          <w:u w:val="single"/>
        </w:rPr>
        <w:t>固定单价合同（人工费不调差）</w:t>
      </w:r>
      <w:r>
        <w:rPr>
          <w:rFonts w:hint="eastAsia" w:ascii="宋体" w:hAnsi="宋体" w:eastAsia="宋体" w:cs="宋体"/>
          <w:sz w:val="24"/>
          <w:u w:val="single"/>
        </w:rPr>
        <w:t>。</w:t>
      </w:r>
    </w:p>
    <w:p w14:paraId="494692DF">
      <w:pPr>
        <w:pageBreakBefore w:val="0"/>
        <w:kinsoku/>
        <w:wordWrap w:val="0"/>
        <w:overflowPunct/>
        <w:topLinePunct w:val="0"/>
        <w:bidi w:val="0"/>
        <w:spacing w:line="360" w:lineRule="auto"/>
        <w:ind w:firstLine="482" w:firstLineChars="200"/>
        <w:rPr>
          <w:rFonts w:hint="eastAsia" w:ascii="宋体" w:hAnsi="宋体" w:eastAsia="宋体" w:cs="宋体"/>
          <w:b/>
          <w:sz w:val="24"/>
        </w:rPr>
      </w:pPr>
      <w:bookmarkStart w:id="263" w:name="_Toc351203485"/>
      <w:r>
        <w:rPr>
          <w:rFonts w:hint="eastAsia" w:ascii="宋体" w:hAnsi="宋体" w:eastAsia="宋体" w:cs="宋体"/>
          <w:b/>
          <w:sz w:val="24"/>
        </w:rPr>
        <w:t>五</w:t>
      </w:r>
      <w:bookmarkEnd w:id="263"/>
      <w:r>
        <w:rPr>
          <w:rFonts w:hint="eastAsia" w:ascii="宋体" w:hAnsi="宋体" w:eastAsia="宋体" w:cs="宋体"/>
          <w:b/>
          <w:sz w:val="24"/>
        </w:rPr>
        <w:t>、项目经理</w:t>
      </w:r>
    </w:p>
    <w:p w14:paraId="6D47CE6D">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承包人项目经理：</w:t>
      </w:r>
      <w:r>
        <w:rPr>
          <w:rFonts w:hint="eastAsia" w:ascii="宋体" w:hAnsi="宋体" w:eastAsia="宋体" w:cs="宋体"/>
          <w:b/>
          <w:sz w:val="24"/>
        </w:rPr>
        <w:t>_______________________________________</w:t>
      </w:r>
      <w:r>
        <w:rPr>
          <w:rFonts w:hint="eastAsia" w:ascii="宋体" w:hAnsi="宋体" w:eastAsia="宋体" w:cs="宋体"/>
          <w:sz w:val="24"/>
        </w:rPr>
        <w:t>。</w:t>
      </w:r>
    </w:p>
    <w:p w14:paraId="31BC482E">
      <w:pPr>
        <w:pageBreakBefore w:val="0"/>
        <w:kinsoku/>
        <w:wordWrap w:val="0"/>
        <w:overflowPunct/>
        <w:topLinePunct w:val="0"/>
        <w:bidi w:val="0"/>
        <w:spacing w:line="360" w:lineRule="auto"/>
        <w:ind w:firstLine="482" w:firstLineChars="200"/>
        <w:rPr>
          <w:rFonts w:hint="eastAsia" w:ascii="宋体" w:hAnsi="宋体" w:eastAsia="宋体" w:cs="宋体"/>
          <w:bCs/>
          <w:sz w:val="24"/>
        </w:rPr>
      </w:pPr>
      <w:bookmarkStart w:id="264" w:name="_Toc351203486"/>
      <w:r>
        <w:rPr>
          <w:rFonts w:hint="eastAsia" w:ascii="宋体" w:hAnsi="宋体" w:eastAsia="宋体" w:cs="宋体"/>
          <w:b/>
          <w:sz w:val="24"/>
        </w:rPr>
        <w:t>六、合同文件构成</w:t>
      </w:r>
      <w:bookmarkEnd w:id="264"/>
    </w:p>
    <w:p w14:paraId="1790D34C">
      <w:pPr>
        <w:pageBreakBefore w:val="0"/>
        <w:kinsoku/>
        <w:wordWrap w:val="0"/>
        <w:overflowPunct/>
        <w:topLinePunct w:val="0"/>
        <w:bidi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本协议书与下列文件一起构成合同文件：</w:t>
      </w:r>
    </w:p>
    <w:p w14:paraId="6B152781">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（1）中标通知书；</w:t>
      </w:r>
    </w:p>
    <w:p w14:paraId="4847E40B">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（2）投标函及其附录； </w:t>
      </w:r>
    </w:p>
    <w:p w14:paraId="11C26A72">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（3）专用合同条款及其附件；</w:t>
      </w:r>
    </w:p>
    <w:p w14:paraId="78D0E82F">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（4）通用合同条款；</w:t>
      </w:r>
    </w:p>
    <w:p w14:paraId="644E7D24">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（5）技术标准和要求；</w:t>
      </w:r>
    </w:p>
    <w:p w14:paraId="5D5C3047">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（6）图纸；</w:t>
      </w:r>
    </w:p>
    <w:p w14:paraId="4304B666">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（7）已标价工程量清单或预算书；</w:t>
      </w:r>
    </w:p>
    <w:p w14:paraId="564C7999">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（8）其他合同文件。</w:t>
      </w:r>
    </w:p>
    <w:p w14:paraId="68E15D6D">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在合同订立及履行过程中形成的与合同有关的文件均构成合同文件组成部分。</w:t>
      </w:r>
    </w:p>
    <w:p w14:paraId="18E0081F">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上述各项合同文件包括合同当事人就该项合同文件所作出的补充和修改，属于同一类内容的文件，应以最新签署的为准。专用合同条款及其附件须经合同当事人签字或盖章。</w:t>
      </w:r>
    </w:p>
    <w:p w14:paraId="074A7A03">
      <w:pPr>
        <w:pageBreakBefore w:val="0"/>
        <w:kinsoku/>
        <w:wordWrap w:val="0"/>
        <w:overflowPunct/>
        <w:topLinePunct w:val="0"/>
        <w:bidi w:val="0"/>
        <w:spacing w:line="360" w:lineRule="auto"/>
        <w:ind w:firstLine="482" w:firstLineChars="200"/>
        <w:rPr>
          <w:rFonts w:hint="eastAsia" w:ascii="宋体" w:hAnsi="宋体" w:eastAsia="宋体" w:cs="宋体"/>
          <w:b/>
          <w:bCs/>
          <w:sz w:val="24"/>
        </w:rPr>
      </w:pPr>
      <w:bookmarkStart w:id="265" w:name="_Toc351203487"/>
      <w:r>
        <w:rPr>
          <w:rFonts w:hint="eastAsia" w:ascii="宋体" w:hAnsi="宋体" w:eastAsia="宋体" w:cs="宋体"/>
          <w:b/>
          <w:sz w:val="24"/>
        </w:rPr>
        <w:t>七、承诺</w:t>
      </w:r>
      <w:bookmarkEnd w:id="265"/>
    </w:p>
    <w:p w14:paraId="600D6F7F">
      <w:pPr>
        <w:pageBreakBefore w:val="0"/>
        <w:kinsoku/>
        <w:wordWrap w:val="0"/>
        <w:overflowPunct/>
        <w:topLinePunct w:val="0"/>
        <w:bidi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1.发包人承诺按照法律规定履行项目审批手续、筹集工程建设资金并按照合同约定的期限和方式支付合同价款。</w:t>
      </w:r>
    </w:p>
    <w:p w14:paraId="29675F6E">
      <w:pPr>
        <w:pageBreakBefore w:val="0"/>
        <w:kinsoku/>
        <w:wordWrap w:val="0"/>
        <w:overflowPunct/>
        <w:topLinePunct w:val="0"/>
        <w:bidi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2.承包人承诺按照法律规定及合同约定组织完成工程施工，确保工程质量和安全，不进行转包及违法分包，并在缺陷责任期及保修期内承担相应的工程维修责任。</w:t>
      </w:r>
    </w:p>
    <w:p w14:paraId="2F73037C">
      <w:pPr>
        <w:pageBreakBefore w:val="0"/>
        <w:kinsoku/>
        <w:wordWrap w:val="0"/>
        <w:overflowPunct/>
        <w:topLinePunct w:val="0"/>
        <w:bidi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3.发包人和承包人通过招投标形式签订合同的，双方理解并承诺不再就同一工程另行签订与合同实质性内容相背离的协议。</w:t>
      </w:r>
    </w:p>
    <w:p w14:paraId="5015D97E">
      <w:pPr>
        <w:pageBreakBefore w:val="0"/>
        <w:kinsoku/>
        <w:wordWrap w:val="0"/>
        <w:overflowPunct/>
        <w:topLinePunct w:val="0"/>
        <w:bidi w:val="0"/>
        <w:spacing w:line="360" w:lineRule="auto"/>
        <w:ind w:firstLine="482" w:firstLineChars="200"/>
        <w:rPr>
          <w:rFonts w:hint="eastAsia" w:ascii="宋体" w:hAnsi="宋体" w:eastAsia="宋体" w:cs="宋体"/>
          <w:b/>
          <w:sz w:val="24"/>
        </w:rPr>
      </w:pPr>
      <w:bookmarkStart w:id="266" w:name="_Toc351203488"/>
      <w:r>
        <w:rPr>
          <w:rFonts w:hint="eastAsia" w:ascii="宋体" w:hAnsi="宋体" w:eastAsia="宋体" w:cs="宋体"/>
          <w:b/>
          <w:sz w:val="24"/>
        </w:rPr>
        <w:t>八、词语含义</w:t>
      </w:r>
      <w:bookmarkEnd w:id="266"/>
    </w:p>
    <w:p w14:paraId="2C734471">
      <w:pPr>
        <w:pageBreakBefore w:val="0"/>
        <w:kinsoku/>
        <w:wordWrap w:val="0"/>
        <w:overflowPunct/>
        <w:topLinePunct w:val="0"/>
        <w:bidi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本协议书中词语含义与第二部分通用合同条款中赋予的含义相同。</w:t>
      </w:r>
      <w:bookmarkStart w:id="267" w:name="_Toc351203489"/>
    </w:p>
    <w:p w14:paraId="2E224F47">
      <w:pPr>
        <w:pageBreakBefore w:val="0"/>
        <w:kinsoku/>
        <w:wordWrap w:val="0"/>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九、签订时间</w:t>
      </w:r>
      <w:bookmarkEnd w:id="267"/>
    </w:p>
    <w:p w14:paraId="357ED326">
      <w:pPr>
        <w:pageBreakBefore w:val="0"/>
        <w:kinsoku/>
        <w:wordWrap w:val="0"/>
        <w:overflowPunct/>
        <w:topLinePunct w:val="0"/>
        <w:bidi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本合同于</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日签订。</w:t>
      </w:r>
    </w:p>
    <w:p w14:paraId="12E831A7">
      <w:pPr>
        <w:pageBreakBefore w:val="0"/>
        <w:kinsoku/>
        <w:wordWrap w:val="0"/>
        <w:overflowPunct/>
        <w:topLinePunct w:val="0"/>
        <w:bidi w:val="0"/>
        <w:spacing w:line="360" w:lineRule="auto"/>
        <w:ind w:firstLine="482" w:firstLineChars="200"/>
        <w:rPr>
          <w:rFonts w:hint="eastAsia" w:ascii="宋体" w:hAnsi="宋体" w:eastAsia="宋体" w:cs="宋体"/>
          <w:bCs/>
          <w:sz w:val="24"/>
        </w:rPr>
      </w:pPr>
      <w:bookmarkStart w:id="268" w:name="_Toc351203490"/>
      <w:r>
        <w:rPr>
          <w:rFonts w:hint="eastAsia" w:ascii="宋体" w:hAnsi="宋体" w:eastAsia="宋体" w:cs="宋体"/>
          <w:b/>
          <w:sz w:val="24"/>
        </w:rPr>
        <w:t>十、签订地点</w:t>
      </w:r>
      <w:bookmarkEnd w:id="268"/>
    </w:p>
    <w:p w14:paraId="114FA6AD">
      <w:pPr>
        <w:pageBreakBefore w:val="0"/>
        <w:kinsoku/>
        <w:wordWrap w:val="0"/>
        <w:overflowPunct/>
        <w:topLinePunct w:val="0"/>
        <w:bidi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本合同在</w:t>
      </w:r>
      <w:r>
        <w:rPr>
          <w:rFonts w:hint="eastAsia" w:ascii="宋体" w:hAnsi="宋体" w:eastAsia="宋体" w:cs="宋体"/>
          <w:bCs/>
          <w:sz w:val="24"/>
          <w:u w:val="single"/>
        </w:rPr>
        <w:t xml:space="preserve">                                    </w:t>
      </w:r>
      <w:r>
        <w:rPr>
          <w:rFonts w:hint="eastAsia" w:ascii="宋体" w:hAnsi="宋体" w:eastAsia="宋体" w:cs="宋体"/>
          <w:bCs/>
          <w:sz w:val="24"/>
        </w:rPr>
        <w:t>签订。</w:t>
      </w:r>
    </w:p>
    <w:p w14:paraId="24901D5D">
      <w:pPr>
        <w:pageBreakBefore w:val="0"/>
        <w:kinsoku/>
        <w:wordWrap w:val="0"/>
        <w:overflowPunct/>
        <w:topLinePunct w:val="0"/>
        <w:bidi w:val="0"/>
        <w:spacing w:line="360" w:lineRule="auto"/>
        <w:ind w:firstLine="482" w:firstLineChars="200"/>
        <w:rPr>
          <w:rFonts w:hint="eastAsia" w:ascii="宋体" w:hAnsi="宋体" w:eastAsia="宋体" w:cs="宋体"/>
          <w:bCs/>
          <w:sz w:val="24"/>
        </w:rPr>
      </w:pPr>
      <w:bookmarkStart w:id="269" w:name="_Toc351203491"/>
      <w:r>
        <w:rPr>
          <w:rFonts w:hint="eastAsia" w:ascii="宋体" w:hAnsi="宋体" w:eastAsia="宋体" w:cs="宋体"/>
          <w:b/>
          <w:sz w:val="24"/>
        </w:rPr>
        <w:t>十一、补充协议</w:t>
      </w:r>
      <w:bookmarkEnd w:id="269"/>
    </w:p>
    <w:p w14:paraId="10EFBF47">
      <w:pPr>
        <w:pageBreakBefore w:val="0"/>
        <w:kinsoku/>
        <w:wordWrap w:val="0"/>
        <w:overflowPunct/>
        <w:topLinePunct w:val="0"/>
        <w:bidi w:val="0"/>
        <w:spacing w:line="360" w:lineRule="auto"/>
        <w:ind w:firstLine="480" w:firstLineChars="200"/>
        <w:rPr>
          <w:rFonts w:hint="eastAsia" w:ascii="宋体" w:hAnsi="宋体" w:eastAsia="宋体" w:cs="宋体"/>
          <w:b/>
          <w:bCs/>
          <w:sz w:val="24"/>
        </w:rPr>
      </w:pPr>
      <w:r>
        <w:rPr>
          <w:rFonts w:hint="eastAsia" w:ascii="宋体" w:hAnsi="宋体" w:eastAsia="宋体" w:cs="宋体"/>
          <w:bCs/>
          <w:sz w:val="24"/>
        </w:rPr>
        <w:t>合同未尽事宜，合同当事人另行签订补充协议，补充协议是合同的组成部分。</w:t>
      </w:r>
    </w:p>
    <w:p w14:paraId="2F9B5EFA">
      <w:pPr>
        <w:pageBreakBefore w:val="0"/>
        <w:kinsoku/>
        <w:wordWrap w:val="0"/>
        <w:overflowPunct/>
        <w:topLinePunct w:val="0"/>
        <w:bidi w:val="0"/>
        <w:spacing w:line="360" w:lineRule="auto"/>
        <w:ind w:firstLine="482" w:firstLineChars="200"/>
        <w:rPr>
          <w:rFonts w:hint="eastAsia" w:ascii="宋体" w:hAnsi="宋体" w:eastAsia="宋体" w:cs="宋体"/>
          <w:bCs/>
          <w:sz w:val="24"/>
        </w:rPr>
      </w:pPr>
      <w:bookmarkStart w:id="270" w:name="_Toc351203492"/>
      <w:r>
        <w:rPr>
          <w:rFonts w:hint="eastAsia" w:ascii="宋体" w:hAnsi="宋体" w:eastAsia="宋体" w:cs="宋体"/>
          <w:b/>
          <w:sz w:val="24"/>
        </w:rPr>
        <w:t>十二、合同生效</w:t>
      </w:r>
      <w:bookmarkEnd w:id="270"/>
    </w:p>
    <w:p w14:paraId="14482A5A">
      <w:pPr>
        <w:pageBreakBefore w:val="0"/>
        <w:kinsoku/>
        <w:wordWrap w:val="0"/>
        <w:overflowPunct/>
        <w:topLinePunct w:val="0"/>
        <w:bidi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本合同自</w:t>
      </w:r>
      <w:r>
        <w:rPr>
          <w:rFonts w:hint="eastAsia" w:ascii="宋体" w:hAnsi="宋体" w:eastAsia="宋体" w:cs="宋体"/>
          <w:bCs/>
          <w:sz w:val="24"/>
          <w:u w:val="single"/>
        </w:rPr>
        <w:t xml:space="preserve">                                   </w:t>
      </w:r>
      <w:r>
        <w:rPr>
          <w:rFonts w:hint="eastAsia" w:ascii="宋体" w:hAnsi="宋体" w:eastAsia="宋体" w:cs="宋体"/>
          <w:bCs/>
          <w:sz w:val="24"/>
        </w:rPr>
        <w:t>生效。</w:t>
      </w:r>
    </w:p>
    <w:p w14:paraId="245D4CB3">
      <w:pPr>
        <w:pageBreakBefore w:val="0"/>
        <w:kinsoku/>
        <w:wordWrap w:val="0"/>
        <w:overflowPunct/>
        <w:topLinePunct w:val="0"/>
        <w:bidi w:val="0"/>
        <w:spacing w:line="360" w:lineRule="auto"/>
        <w:ind w:firstLine="482" w:firstLineChars="200"/>
        <w:rPr>
          <w:rFonts w:hint="eastAsia" w:ascii="宋体" w:hAnsi="宋体" w:eastAsia="宋体" w:cs="宋体"/>
          <w:bCs/>
          <w:sz w:val="24"/>
        </w:rPr>
      </w:pPr>
      <w:bookmarkStart w:id="271" w:name="_Toc351203493"/>
      <w:r>
        <w:rPr>
          <w:rFonts w:hint="eastAsia" w:ascii="宋体" w:hAnsi="宋体" w:eastAsia="宋体" w:cs="宋体"/>
          <w:b/>
          <w:sz w:val="24"/>
        </w:rPr>
        <w:t>十三、合同份数</w:t>
      </w:r>
      <w:bookmarkEnd w:id="271"/>
    </w:p>
    <w:p w14:paraId="59351D40">
      <w:pPr>
        <w:pageBreakBefore w:val="0"/>
        <w:kinsoku/>
        <w:wordWrap w:val="0"/>
        <w:overflowPunct/>
        <w:topLinePunct w:val="0"/>
        <w:bidi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本合同一式</w:t>
      </w:r>
      <w:r>
        <w:rPr>
          <w:rFonts w:hint="eastAsia" w:ascii="宋体" w:hAnsi="宋体" w:eastAsia="宋体" w:cs="宋体"/>
          <w:bCs/>
          <w:sz w:val="24"/>
          <w:u w:val="single"/>
        </w:rPr>
        <w:t xml:space="preserve">    </w:t>
      </w:r>
      <w:r>
        <w:rPr>
          <w:rFonts w:hint="eastAsia" w:ascii="宋体" w:hAnsi="宋体" w:eastAsia="宋体" w:cs="宋体"/>
          <w:bCs/>
          <w:sz w:val="24"/>
        </w:rPr>
        <w:t>份，均具有同等法律效力，发包人执</w:t>
      </w:r>
      <w:r>
        <w:rPr>
          <w:rFonts w:hint="eastAsia" w:ascii="宋体" w:hAnsi="宋体" w:eastAsia="宋体" w:cs="宋体"/>
          <w:bCs/>
          <w:sz w:val="24"/>
          <w:u w:val="single"/>
        </w:rPr>
        <w:t xml:space="preserve">    </w:t>
      </w:r>
      <w:r>
        <w:rPr>
          <w:rFonts w:hint="eastAsia" w:ascii="宋体" w:hAnsi="宋体" w:eastAsia="宋体" w:cs="宋体"/>
          <w:bCs/>
          <w:sz w:val="24"/>
        </w:rPr>
        <w:t>份，承包人执</w:t>
      </w:r>
      <w:r>
        <w:rPr>
          <w:rFonts w:hint="eastAsia" w:ascii="宋体" w:hAnsi="宋体" w:eastAsia="宋体" w:cs="宋体"/>
          <w:bCs/>
          <w:sz w:val="24"/>
          <w:u w:val="single"/>
        </w:rPr>
        <w:t xml:space="preserve">    </w:t>
      </w:r>
      <w:r>
        <w:rPr>
          <w:rFonts w:hint="eastAsia" w:ascii="宋体" w:hAnsi="宋体" w:eastAsia="宋体" w:cs="宋体"/>
          <w:bCs/>
          <w:sz w:val="24"/>
        </w:rPr>
        <w:t>份。</w:t>
      </w:r>
    </w:p>
    <w:p w14:paraId="3616E477">
      <w:pPr>
        <w:pageBreakBefore w:val="0"/>
        <w:kinsoku/>
        <w:wordWrap w:val="0"/>
        <w:overflowPunct/>
        <w:topLinePunct w:val="0"/>
        <w:bidi w:val="0"/>
        <w:spacing w:line="360" w:lineRule="auto"/>
        <w:rPr>
          <w:rFonts w:hint="eastAsia" w:ascii="宋体" w:hAnsi="宋体" w:eastAsia="宋体" w:cs="宋体"/>
          <w:sz w:val="24"/>
        </w:rPr>
      </w:pPr>
    </w:p>
    <w:p w14:paraId="37ED98B7">
      <w:pPr>
        <w:pageBreakBefore w:val="0"/>
        <w:kinsoku/>
        <w:wordWrap w:val="0"/>
        <w:overflowPunct/>
        <w:topLinePunct w:val="0"/>
        <w:bidi w:val="0"/>
        <w:spacing w:line="360" w:lineRule="auto"/>
        <w:ind w:firstLine="600"/>
        <w:rPr>
          <w:rFonts w:hint="eastAsia" w:ascii="宋体" w:hAnsi="宋体" w:eastAsia="宋体" w:cs="宋体"/>
          <w:color w:val="000000"/>
          <w:kern w:val="1"/>
          <w:sz w:val="24"/>
          <w:highlight w:val="none"/>
        </w:rPr>
      </w:pPr>
      <w:r>
        <w:rPr>
          <w:rFonts w:hint="eastAsia" w:ascii="宋体" w:hAnsi="宋体" w:eastAsia="宋体" w:cs="宋体"/>
          <w:color w:val="000000"/>
          <w:kern w:val="1"/>
          <w:sz w:val="24"/>
          <w:highlight w:val="none"/>
        </w:rPr>
        <w:t>发包人：  (公章)                      承包人：  (公章)</w:t>
      </w:r>
    </w:p>
    <w:p w14:paraId="52625090">
      <w:pPr>
        <w:pageBreakBefore w:val="0"/>
        <w:kinsoku/>
        <w:wordWrap w:val="0"/>
        <w:overflowPunct/>
        <w:topLinePunct w:val="0"/>
        <w:bidi w:val="0"/>
        <w:spacing w:line="360" w:lineRule="auto"/>
        <w:ind w:firstLine="540"/>
        <w:rPr>
          <w:rFonts w:hint="eastAsia" w:ascii="宋体" w:hAnsi="宋体" w:eastAsia="宋体" w:cs="宋体"/>
          <w:color w:val="000000"/>
          <w:kern w:val="1"/>
          <w:sz w:val="24"/>
          <w:highlight w:val="none"/>
        </w:rPr>
      </w:pPr>
      <w:r>
        <w:rPr>
          <w:rFonts w:hint="eastAsia" w:ascii="宋体" w:hAnsi="宋体" w:eastAsia="宋体" w:cs="宋体"/>
          <w:color w:val="000000"/>
          <w:kern w:val="1"/>
          <w:sz w:val="24"/>
          <w:highlight w:val="none"/>
        </w:rPr>
        <w:t>法定代表人或其委托代理人：            法定代表人或其委托代理人：</w:t>
      </w:r>
    </w:p>
    <w:p w14:paraId="2031F972">
      <w:pPr>
        <w:pageBreakBefore w:val="0"/>
        <w:kinsoku/>
        <w:wordWrap w:val="0"/>
        <w:overflowPunct/>
        <w:topLinePunct w:val="0"/>
        <w:bidi w:val="0"/>
        <w:spacing w:line="360" w:lineRule="auto"/>
        <w:ind w:firstLine="540"/>
        <w:rPr>
          <w:rFonts w:hint="eastAsia" w:ascii="宋体" w:hAnsi="宋体" w:eastAsia="宋体" w:cs="宋体"/>
          <w:color w:val="000000"/>
          <w:kern w:val="1"/>
          <w:sz w:val="24"/>
          <w:highlight w:val="none"/>
        </w:rPr>
      </w:pPr>
      <w:r>
        <w:rPr>
          <w:rFonts w:hint="eastAsia" w:ascii="宋体" w:hAnsi="宋体" w:eastAsia="宋体" w:cs="宋体"/>
          <w:color w:val="000000"/>
          <w:kern w:val="1"/>
          <w:sz w:val="24"/>
          <w:highlight w:val="none"/>
        </w:rPr>
        <w:t>（签字）                              （签字）</w:t>
      </w:r>
    </w:p>
    <w:p w14:paraId="4123A6C3">
      <w:pPr>
        <w:pageBreakBefore w:val="0"/>
        <w:tabs>
          <w:tab w:val="left" w:pos="4410"/>
        </w:tabs>
        <w:kinsoku/>
        <w:wordWrap w:val="0"/>
        <w:overflowPunct/>
        <w:topLinePunct w:val="0"/>
        <w:bidi w:val="0"/>
        <w:spacing w:line="480" w:lineRule="auto"/>
        <w:ind w:firstLine="540"/>
        <w:rPr>
          <w:rFonts w:hint="eastAsia" w:ascii="宋体" w:hAnsi="宋体" w:eastAsia="宋体" w:cs="宋体"/>
          <w:color w:val="000000"/>
          <w:kern w:val="1"/>
          <w:sz w:val="24"/>
          <w:highlight w:val="none"/>
        </w:rPr>
      </w:pPr>
      <w:r>
        <w:rPr>
          <w:rFonts w:hint="eastAsia" w:ascii="宋体" w:hAnsi="宋体" w:eastAsia="宋体" w:cs="宋体"/>
          <w:color w:val="000000"/>
          <w:kern w:val="1"/>
          <w:sz w:val="24"/>
          <w:highlight w:val="none"/>
        </w:rPr>
        <w:t>组织机构代码：                         组织机构代码：</w:t>
      </w:r>
    </w:p>
    <w:p w14:paraId="7545A338">
      <w:pPr>
        <w:pageBreakBefore w:val="0"/>
        <w:kinsoku/>
        <w:wordWrap w:val="0"/>
        <w:overflowPunct/>
        <w:topLinePunct w:val="0"/>
        <w:bidi w:val="0"/>
        <w:spacing w:line="480" w:lineRule="auto"/>
        <w:ind w:firstLine="540"/>
        <w:rPr>
          <w:rFonts w:hint="eastAsia" w:ascii="宋体" w:hAnsi="宋体" w:eastAsia="宋体" w:cs="宋体"/>
          <w:color w:val="000000"/>
          <w:kern w:val="1"/>
          <w:sz w:val="24"/>
          <w:highlight w:val="none"/>
        </w:rPr>
      </w:pPr>
      <w:r>
        <w:rPr>
          <w:rFonts w:hint="eastAsia" w:ascii="宋体" w:hAnsi="宋体" w:eastAsia="宋体" w:cs="宋体"/>
          <w:color w:val="000000"/>
          <w:kern w:val="1"/>
          <w:sz w:val="24"/>
          <w:highlight w:val="none"/>
        </w:rPr>
        <w:t>地  址：                               地  址：</w:t>
      </w:r>
    </w:p>
    <w:p w14:paraId="3EEDB322">
      <w:pPr>
        <w:pageBreakBefore w:val="0"/>
        <w:kinsoku/>
        <w:wordWrap w:val="0"/>
        <w:overflowPunct/>
        <w:topLinePunct w:val="0"/>
        <w:bidi w:val="0"/>
        <w:spacing w:line="480" w:lineRule="auto"/>
        <w:ind w:firstLine="540"/>
        <w:rPr>
          <w:rFonts w:hint="eastAsia" w:ascii="宋体" w:hAnsi="宋体" w:eastAsia="宋体" w:cs="宋体"/>
          <w:color w:val="000000"/>
          <w:kern w:val="1"/>
          <w:sz w:val="24"/>
          <w:highlight w:val="none"/>
        </w:rPr>
      </w:pPr>
      <w:r>
        <w:rPr>
          <w:rFonts w:hint="eastAsia" w:ascii="宋体" w:hAnsi="宋体" w:eastAsia="宋体" w:cs="宋体"/>
          <w:color w:val="000000"/>
          <w:kern w:val="1"/>
          <w:sz w:val="24"/>
          <w:highlight w:val="none"/>
        </w:rPr>
        <w:t>邮政编码：                             邮政编码：</w:t>
      </w:r>
    </w:p>
    <w:p w14:paraId="20A236E7">
      <w:pPr>
        <w:pageBreakBefore w:val="0"/>
        <w:kinsoku/>
        <w:wordWrap w:val="0"/>
        <w:overflowPunct/>
        <w:topLinePunct w:val="0"/>
        <w:bidi w:val="0"/>
        <w:spacing w:line="480" w:lineRule="auto"/>
        <w:ind w:firstLine="540"/>
        <w:rPr>
          <w:rFonts w:hint="eastAsia" w:ascii="宋体" w:hAnsi="宋体" w:eastAsia="宋体" w:cs="宋体"/>
          <w:color w:val="000000"/>
          <w:kern w:val="1"/>
          <w:sz w:val="24"/>
          <w:highlight w:val="none"/>
        </w:rPr>
      </w:pPr>
      <w:r>
        <w:rPr>
          <w:rFonts w:hint="eastAsia" w:ascii="宋体" w:hAnsi="宋体" w:eastAsia="宋体" w:cs="宋体"/>
          <w:color w:val="000000"/>
          <w:kern w:val="1"/>
          <w:sz w:val="24"/>
          <w:highlight w:val="none"/>
        </w:rPr>
        <w:t>法定代表人：                           法定代表人：</w:t>
      </w:r>
    </w:p>
    <w:p w14:paraId="135FC21A">
      <w:pPr>
        <w:pageBreakBefore w:val="0"/>
        <w:kinsoku/>
        <w:wordWrap w:val="0"/>
        <w:overflowPunct/>
        <w:topLinePunct w:val="0"/>
        <w:bidi w:val="0"/>
        <w:spacing w:line="480" w:lineRule="auto"/>
        <w:ind w:firstLine="540"/>
        <w:rPr>
          <w:rFonts w:hint="eastAsia" w:ascii="宋体" w:hAnsi="宋体" w:eastAsia="宋体" w:cs="宋体"/>
          <w:color w:val="000000"/>
          <w:kern w:val="1"/>
          <w:sz w:val="24"/>
          <w:highlight w:val="none"/>
        </w:rPr>
      </w:pPr>
      <w:r>
        <w:rPr>
          <w:rFonts w:hint="eastAsia" w:ascii="宋体" w:hAnsi="宋体" w:eastAsia="宋体" w:cs="宋体"/>
          <w:color w:val="000000"/>
          <w:kern w:val="1"/>
          <w:sz w:val="24"/>
          <w:highlight w:val="none"/>
        </w:rPr>
        <w:t>委托代理人：                           委托代理人：</w:t>
      </w:r>
    </w:p>
    <w:p w14:paraId="3331BDFF">
      <w:pPr>
        <w:pageBreakBefore w:val="0"/>
        <w:kinsoku/>
        <w:wordWrap w:val="0"/>
        <w:overflowPunct/>
        <w:topLinePunct w:val="0"/>
        <w:bidi w:val="0"/>
        <w:spacing w:line="480" w:lineRule="auto"/>
        <w:ind w:firstLine="540"/>
        <w:rPr>
          <w:rFonts w:hint="eastAsia" w:ascii="宋体" w:hAnsi="宋体" w:eastAsia="宋体" w:cs="宋体"/>
          <w:color w:val="000000"/>
          <w:kern w:val="1"/>
          <w:sz w:val="24"/>
          <w:highlight w:val="none"/>
        </w:rPr>
      </w:pPr>
      <w:r>
        <w:rPr>
          <w:rFonts w:hint="eastAsia" w:ascii="宋体" w:hAnsi="宋体" w:eastAsia="宋体" w:cs="宋体"/>
          <w:color w:val="000000"/>
          <w:kern w:val="1"/>
          <w:sz w:val="24"/>
          <w:highlight w:val="none"/>
        </w:rPr>
        <w:t>电  话：                               电  话：</w:t>
      </w:r>
    </w:p>
    <w:p w14:paraId="5950CD4E">
      <w:pPr>
        <w:pageBreakBefore w:val="0"/>
        <w:kinsoku/>
        <w:wordWrap w:val="0"/>
        <w:overflowPunct/>
        <w:topLinePunct w:val="0"/>
        <w:bidi w:val="0"/>
        <w:spacing w:line="480" w:lineRule="auto"/>
        <w:ind w:firstLine="540"/>
        <w:rPr>
          <w:rFonts w:hint="eastAsia" w:ascii="宋体" w:hAnsi="宋体" w:eastAsia="宋体" w:cs="宋体"/>
          <w:color w:val="000000"/>
          <w:kern w:val="1"/>
          <w:sz w:val="24"/>
          <w:highlight w:val="none"/>
        </w:rPr>
      </w:pPr>
      <w:r>
        <w:rPr>
          <w:rFonts w:hint="eastAsia" w:ascii="宋体" w:hAnsi="宋体" w:eastAsia="宋体" w:cs="宋体"/>
          <w:color w:val="000000"/>
          <w:kern w:val="1"/>
          <w:sz w:val="24"/>
          <w:highlight w:val="none"/>
        </w:rPr>
        <w:t>传  真：                               传  真：</w:t>
      </w:r>
    </w:p>
    <w:p w14:paraId="65D949C8">
      <w:pPr>
        <w:pageBreakBefore w:val="0"/>
        <w:kinsoku/>
        <w:wordWrap w:val="0"/>
        <w:overflowPunct/>
        <w:topLinePunct w:val="0"/>
        <w:bidi w:val="0"/>
        <w:spacing w:line="480" w:lineRule="auto"/>
        <w:ind w:firstLine="540"/>
        <w:rPr>
          <w:rFonts w:hint="eastAsia" w:ascii="宋体" w:hAnsi="宋体" w:eastAsia="宋体" w:cs="宋体"/>
          <w:color w:val="000000"/>
          <w:kern w:val="1"/>
          <w:sz w:val="24"/>
          <w:highlight w:val="none"/>
        </w:rPr>
      </w:pPr>
      <w:r>
        <w:rPr>
          <w:rFonts w:hint="eastAsia" w:ascii="宋体" w:hAnsi="宋体" w:eastAsia="宋体" w:cs="宋体"/>
          <w:color w:val="000000"/>
          <w:kern w:val="1"/>
          <w:sz w:val="24"/>
          <w:highlight w:val="none"/>
        </w:rPr>
        <w:t>电子信箱：                             电子信箱：</w:t>
      </w:r>
    </w:p>
    <w:p w14:paraId="3410114B">
      <w:pPr>
        <w:pageBreakBefore w:val="0"/>
        <w:kinsoku/>
        <w:wordWrap w:val="0"/>
        <w:overflowPunct/>
        <w:topLinePunct w:val="0"/>
        <w:bidi w:val="0"/>
        <w:spacing w:line="480" w:lineRule="auto"/>
        <w:ind w:firstLine="540"/>
        <w:rPr>
          <w:rFonts w:hint="eastAsia" w:ascii="宋体" w:hAnsi="宋体" w:eastAsia="宋体" w:cs="宋体"/>
          <w:color w:val="000000"/>
          <w:kern w:val="1"/>
          <w:sz w:val="24"/>
          <w:highlight w:val="none"/>
        </w:rPr>
      </w:pPr>
      <w:r>
        <w:rPr>
          <w:rFonts w:hint="eastAsia" w:ascii="宋体" w:hAnsi="宋体" w:eastAsia="宋体" w:cs="宋体"/>
          <w:color w:val="000000"/>
          <w:kern w:val="1"/>
          <w:sz w:val="24"/>
          <w:highlight w:val="none"/>
        </w:rPr>
        <w:t>开户银行：                             开户银行：</w:t>
      </w:r>
    </w:p>
    <w:p w14:paraId="7298EDFA">
      <w:pPr>
        <w:pageBreakBefore w:val="0"/>
        <w:kinsoku/>
        <w:wordWrap w:val="0"/>
        <w:overflowPunct/>
        <w:topLinePunct w:val="0"/>
        <w:bidi w:val="0"/>
        <w:spacing w:line="480" w:lineRule="auto"/>
        <w:ind w:firstLine="540"/>
        <w:rPr>
          <w:rFonts w:hint="eastAsia" w:ascii="宋体" w:hAnsi="宋体" w:eastAsia="宋体" w:cs="宋体"/>
          <w:color w:val="000000"/>
          <w:kern w:val="1"/>
          <w:sz w:val="24"/>
          <w:highlight w:val="none"/>
        </w:rPr>
        <w:sectPr>
          <w:headerReference r:id="rId9" w:type="default"/>
          <w:footerReference r:id="rId10" w:type="default"/>
          <w:pgSz w:w="11906" w:h="16838"/>
          <w:pgMar w:top="1020" w:right="1247" w:bottom="1020" w:left="1247" w:header="851" w:footer="799" w:gutter="0"/>
          <w:pgNumType w:fmt="decimal"/>
          <w:cols w:space="720" w:num="1"/>
        </w:sectPr>
      </w:pPr>
      <w:r>
        <w:rPr>
          <w:rFonts w:hint="eastAsia" w:ascii="宋体" w:hAnsi="宋体" w:eastAsia="宋体" w:cs="宋体"/>
          <w:color w:val="000000"/>
          <w:kern w:val="1"/>
          <w:sz w:val="24"/>
          <w:highlight w:val="none"/>
        </w:rPr>
        <w:t>账  号：                               账 号：</w:t>
      </w:r>
    </w:p>
    <w:bookmarkEnd w:id="257"/>
    <w:p w14:paraId="053F1CE5">
      <w:pPr>
        <w:pStyle w:val="3"/>
        <w:pageBreakBefore w:val="0"/>
        <w:kinsoku/>
        <w:wordWrap w:val="0"/>
        <w:overflowPunct/>
        <w:topLinePunct w:val="0"/>
        <w:bidi w:val="0"/>
        <w:spacing w:line="360" w:lineRule="auto"/>
        <w:jc w:val="center"/>
        <w:rPr>
          <w:rFonts w:hint="eastAsia" w:ascii="宋体" w:hAnsi="宋体" w:eastAsia="宋体" w:cs="宋体"/>
          <w:sz w:val="24"/>
          <w:szCs w:val="24"/>
        </w:rPr>
      </w:pPr>
      <w:bookmarkStart w:id="272" w:name="_Toc28340"/>
      <w:bookmarkStart w:id="273" w:name="_Toc518583207"/>
      <w:bookmarkStart w:id="274" w:name="_Toc23463"/>
      <w:bookmarkStart w:id="275" w:name="_Toc15818"/>
      <w:bookmarkStart w:id="276" w:name="_Toc132983277"/>
      <w:bookmarkStart w:id="277" w:name="_Toc63414416"/>
      <w:bookmarkStart w:id="278" w:name="_Toc5559"/>
      <w:bookmarkStart w:id="279" w:name="_Toc47706917"/>
      <w:bookmarkStart w:id="280" w:name="_Toc3574"/>
      <w:r>
        <w:rPr>
          <w:rFonts w:hint="eastAsia" w:ascii="宋体" w:hAnsi="宋体" w:eastAsia="宋体" w:cs="宋体"/>
          <w:sz w:val="24"/>
          <w:szCs w:val="24"/>
        </w:rPr>
        <w:t>第二节  通用合同条款</w:t>
      </w:r>
      <w:bookmarkEnd w:id="272"/>
      <w:bookmarkEnd w:id="273"/>
      <w:bookmarkEnd w:id="274"/>
      <w:bookmarkEnd w:id="275"/>
      <w:bookmarkEnd w:id="276"/>
      <w:bookmarkEnd w:id="277"/>
      <w:bookmarkEnd w:id="278"/>
      <w:bookmarkEnd w:id="279"/>
      <w:bookmarkEnd w:id="280"/>
    </w:p>
    <w:p w14:paraId="36785C1F">
      <w:pPr>
        <w:pageBreakBefore w:val="0"/>
        <w:kinsoku/>
        <w:wordWrap w:val="0"/>
        <w:overflowPunct/>
        <w:topLinePunct w:val="0"/>
        <w:bidi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本通用条款执行《建设工程施工合同（示范文本）》（GF—2018—0201）的“通用合同条款”。</w:t>
      </w:r>
      <w:bookmarkStart w:id="281" w:name="_Toc641"/>
      <w:bookmarkStart w:id="282" w:name="_Toc26442"/>
      <w:bookmarkStart w:id="283" w:name="_Toc518583208"/>
      <w:bookmarkStart w:id="284" w:name="_Toc132983278"/>
      <w:bookmarkStart w:id="285" w:name="_Toc320712268"/>
      <w:bookmarkStart w:id="286" w:name="_Toc63414417"/>
      <w:bookmarkStart w:id="287" w:name="_Toc18123"/>
      <w:bookmarkStart w:id="288" w:name="_Toc15920"/>
      <w:bookmarkStart w:id="289" w:name="_Toc283824370"/>
      <w:bookmarkStart w:id="290" w:name="_Toc435691132"/>
      <w:bookmarkStart w:id="291" w:name="_Toc47706918"/>
    </w:p>
    <w:p w14:paraId="168E5053">
      <w:pPr>
        <w:pStyle w:val="3"/>
        <w:pageBreakBefore w:val="0"/>
        <w:kinsoku/>
        <w:wordWrap w:val="0"/>
        <w:overflowPunct/>
        <w:topLinePunct w:val="0"/>
        <w:bidi w:val="0"/>
        <w:spacing w:line="360" w:lineRule="auto"/>
        <w:jc w:val="center"/>
        <w:rPr>
          <w:rFonts w:hint="eastAsia" w:ascii="宋体" w:hAnsi="宋体" w:eastAsia="宋体" w:cs="宋体"/>
          <w:sz w:val="24"/>
          <w:szCs w:val="24"/>
        </w:rPr>
      </w:pPr>
      <w:bookmarkStart w:id="292" w:name="_Toc9525"/>
      <w:r>
        <w:rPr>
          <w:rFonts w:hint="eastAsia" w:ascii="宋体" w:hAnsi="宋体" w:eastAsia="宋体" w:cs="宋体"/>
          <w:sz w:val="24"/>
          <w:szCs w:val="24"/>
        </w:rPr>
        <w:t>第三节  专用合同条款</w:t>
      </w:r>
      <w:bookmarkEnd w:id="281"/>
      <w:bookmarkEnd w:id="282"/>
      <w:bookmarkEnd w:id="283"/>
      <w:bookmarkEnd w:id="284"/>
      <w:bookmarkEnd w:id="285"/>
      <w:bookmarkEnd w:id="286"/>
      <w:bookmarkEnd w:id="287"/>
      <w:bookmarkEnd w:id="288"/>
      <w:bookmarkEnd w:id="289"/>
      <w:bookmarkEnd w:id="290"/>
      <w:bookmarkEnd w:id="291"/>
      <w:bookmarkEnd w:id="292"/>
    </w:p>
    <w:p w14:paraId="5D7D216F">
      <w:pPr>
        <w:pageBreakBefore w:val="0"/>
        <w:kinsoku/>
        <w:wordWrap w:val="0"/>
        <w:overflowPunct/>
        <w:topLinePunct w:val="0"/>
        <w:bidi w:val="0"/>
        <w:spacing w:after="120" w:line="360" w:lineRule="auto"/>
        <w:ind w:firstLine="482" w:firstLineChars="200"/>
        <w:textAlignment w:val="auto"/>
        <w:outlineLvl w:val="0"/>
        <w:rPr>
          <w:rFonts w:hint="eastAsia"/>
          <w:b/>
          <w:bCs/>
          <w:sz w:val="24"/>
          <w:szCs w:val="24"/>
        </w:rPr>
      </w:pPr>
      <w:bookmarkStart w:id="293" w:name="_Toc14865"/>
      <w:bookmarkStart w:id="294" w:name="_Toc29489"/>
      <w:bookmarkStart w:id="295" w:name="_Toc351203633"/>
      <w:bookmarkStart w:id="296" w:name="_Toc14775"/>
      <w:r>
        <w:rPr>
          <w:rFonts w:hint="eastAsia"/>
          <w:b/>
          <w:bCs/>
          <w:sz w:val="24"/>
          <w:szCs w:val="24"/>
        </w:rPr>
        <w:t>1</w:t>
      </w:r>
      <w:bookmarkStart w:id="297" w:name="_Toc292559866"/>
      <w:bookmarkStart w:id="298" w:name="_Toc292559361"/>
      <w:bookmarkStart w:id="299" w:name="_Toc296944495"/>
      <w:bookmarkStart w:id="300" w:name="_Toc297048342"/>
      <w:bookmarkStart w:id="301" w:name="_Toc297120456"/>
      <w:bookmarkStart w:id="302" w:name="_Toc296890984"/>
      <w:bookmarkStart w:id="303" w:name="_Toc296891196"/>
      <w:bookmarkStart w:id="304" w:name="_Toc296347155"/>
      <w:bookmarkStart w:id="305" w:name="_Toc296346657"/>
      <w:bookmarkStart w:id="306" w:name="_Toc296503156"/>
      <w:r>
        <w:rPr>
          <w:rFonts w:hint="eastAsia"/>
          <w:b/>
          <w:bCs/>
          <w:sz w:val="24"/>
          <w:szCs w:val="24"/>
        </w:rPr>
        <w:t>. 一般约定</w:t>
      </w:r>
      <w:bookmarkEnd w:id="293"/>
      <w:bookmarkEnd w:id="294"/>
      <w:bookmarkEnd w:id="295"/>
      <w:bookmarkEnd w:id="296"/>
    </w:p>
    <w:bookmarkEnd w:id="297"/>
    <w:bookmarkEnd w:id="298"/>
    <w:bookmarkEnd w:id="299"/>
    <w:bookmarkEnd w:id="300"/>
    <w:bookmarkEnd w:id="301"/>
    <w:bookmarkEnd w:id="302"/>
    <w:bookmarkEnd w:id="303"/>
    <w:bookmarkEnd w:id="304"/>
    <w:bookmarkEnd w:id="305"/>
    <w:bookmarkEnd w:id="306"/>
    <w:p w14:paraId="200BA872">
      <w:pPr>
        <w:pageBreakBefore w:val="0"/>
        <w:kinsoku/>
        <w:wordWrap w:val="0"/>
        <w:overflowPunct/>
        <w:topLinePunct w:val="0"/>
        <w:bidi w:val="0"/>
        <w:ind w:firstLine="480" w:firstLineChars="200"/>
        <w:jc w:val="both"/>
        <w:rPr>
          <w:rFonts w:hint="eastAsia"/>
          <w:sz w:val="24"/>
          <w:szCs w:val="24"/>
        </w:rPr>
      </w:pPr>
      <w:r>
        <w:rPr>
          <w:rFonts w:hint="eastAsia"/>
          <w:sz w:val="24"/>
          <w:szCs w:val="24"/>
        </w:rPr>
        <w:t>1.1 词语定义</w:t>
      </w:r>
    </w:p>
    <w:p w14:paraId="4B55DFA7">
      <w:pPr>
        <w:pageBreakBefore w:val="0"/>
        <w:kinsoku/>
        <w:wordWrap w:val="0"/>
        <w:overflowPunct/>
        <w:topLinePunct w:val="0"/>
        <w:bidi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1.1.1合同</w:t>
      </w:r>
    </w:p>
    <w:p w14:paraId="41C5D7A4">
      <w:pPr>
        <w:pageBreakBefore w:val="0"/>
        <w:kinsoku/>
        <w:wordWrap w:val="0"/>
        <w:overflowPunct/>
        <w:topLinePunct w:val="0"/>
        <w:bidi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1.1.1.10其他合同文件包括：</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181AA8">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6E682041">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23FF8753">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6009F815">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5911668E">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398DA2FC">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1557CE3">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627E54F">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14:paraId="22754D6B">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73223CAC">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75E121A5">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53A43A36">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316A3DD8">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32262A7B">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5460EFC1">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2C6AEB1">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永久占地包括：</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kern w:val="0"/>
          <w:sz w:val="24"/>
          <w:szCs w:val="24"/>
          <w:highlight w:val="none"/>
        </w:rPr>
        <w:t>。</w:t>
      </w:r>
    </w:p>
    <w:p w14:paraId="6996C7D5">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1.1.3.10 临时占地包括：</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kern w:val="0"/>
          <w:sz w:val="24"/>
          <w:szCs w:val="24"/>
          <w:highlight w:val="none"/>
        </w:rPr>
        <w:t>。</w:t>
      </w:r>
    </w:p>
    <w:p w14:paraId="7C8DBE95">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1.3法律 </w:t>
      </w:r>
    </w:p>
    <w:p w14:paraId="68BD2D2A">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F4A259D">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标准和规范</w:t>
      </w:r>
    </w:p>
    <w:p w14:paraId="6E1C50CD">
      <w:pPr>
        <w:pageBreakBefore w:val="0"/>
        <w:kinsoku/>
        <w:wordWrap w:val="0"/>
        <w:overflowPunct/>
        <w:topLinePunct w:val="0"/>
        <w:bidi w:val="0"/>
        <w:spacing w:line="360" w:lineRule="auto"/>
        <w:ind w:left="568" w:leftChars="28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 xml:space="preserve"> 。</w:t>
      </w:r>
    </w:p>
    <w:p w14:paraId="06212D7F">
      <w:pPr>
        <w:pageBreakBefore w:val="0"/>
        <w:kinsoku/>
        <w:wordWrap w:val="0"/>
        <w:overflowPunct/>
        <w:topLinePunct w:val="0"/>
        <w:bidi w:val="0"/>
        <w:ind w:firstLine="480" w:firstLineChars="200"/>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1.4.2 发包人提供国外标准、规范的名称：</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w:t>
      </w:r>
    </w:p>
    <w:p w14:paraId="0C2AABF4">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发包人提供国外标准、规范的份数：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FD0F0EC">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发包人提供国外标准、规范的名称：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1B6C7D0">
      <w:pPr>
        <w:pageBreakBefore w:val="0"/>
        <w:kinsoku/>
        <w:wordWrap w:val="0"/>
        <w:overflowPunct/>
        <w:topLinePunct w:val="0"/>
        <w:bidi w:val="0"/>
        <w:spacing w:line="360" w:lineRule="auto"/>
        <w:ind w:left="568" w:leftChars="28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0F31956">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合同文件的优先顺序</w:t>
      </w:r>
    </w:p>
    <w:p w14:paraId="2A81F68F">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06ECF432">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图纸和承包人文件</w:t>
      </w:r>
      <w:r>
        <w:rPr>
          <w:rFonts w:hint="eastAsia" w:ascii="宋体" w:hAnsi="宋体" w:eastAsia="宋体" w:cs="宋体"/>
          <w:color w:val="auto"/>
          <w:sz w:val="24"/>
          <w:szCs w:val="24"/>
          <w:highlight w:val="none"/>
        </w:rPr>
        <w:tab/>
      </w:r>
    </w:p>
    <w:p w14:paraId="532A7E2D">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7C1F57E5">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03826B8">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52D0D4F">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D4E8E4B">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14:paraId="0787E7F3">
      <w:pPr>
        <w:pageBreakBefore w:val="0"/>
        <w:kinsoku/>
        <w:wordWrap w:val="0"/>
        <w:overflowPunct/>
        <w:topLinePunct w:val="0"/>
        <w:bidi w:val="0"/>
        <w:spacing w:line="360" w:lineRule="auto"/>
        <w:ind w:left="568" w:leftChars="284"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B459D76">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       </w:t>
      </w:r>
      <w:r>
        <w:rPr>
          <w:rFonts w:hint="eastAsia" w:ascii="宋体" w:hAnsi="宋体" w:eastAsia="宋体" w:cs="宋体"/>
          <w:color w:val="auto"/>
          <w:sz w:val="24"/>
          <w:szCs w:val="24"/>
          <w:highlight w:val="none"/>
        </w:rPr>
        <w:t>；</w:t>
      </w:r>
    </w:p>
    <w:p w14:paraId="51C31BD0">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DE01526">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273C128">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1C6B6A1">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14:paraId="1275C6F6">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3667B1A9">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p>
    <w:p w14:paraId="5559FDD1">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1.7.1发包人和承包人应当在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167DB056">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发包人接收文件的地点：</w:t>
      </w:r>
      <w:r>
        <w:rPr>
          <w:rFonts w:hint="eastAsia" w:ascii="宋体" w:hAnsi="宋体" w:eastAsia="宋体" w:cs="宋体"/>
          <w:color w:val="auto"/>
          <w:sz w:val="24"/>
          <w:szCs w:val="24"/>
          <w:highlight w:val="none"/>
          <w:u w:val="single"/>
        </w:rPr>
        <w:t>      </w:t>
      </w:r>
      <w:r>
        <w:rPr>
          <w:rFonts w:hint="eastAsia" w:ascii="宋体" w:hAnsi="宋体" w:eastAsia="宋体" w:cs="宋体"/>
          <w:color w:val="auto"/>
          <w:kern w:val="0"/>
          <w:sz w:val="24"/>
          <w:szCs w:val="24"/>
          <w:highlight w:val="none"/>
        </w:rPr>
        <w:t>；</w:t>
      </w:r>
    </w:p>
    <w:p w14:paraId="40145946">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发包人指定的接收人为：</w:t>
      </w:r>
      <w:r>
        <w:rPr>
          <w:rFonts w:hint="eastAsia" w:ascii="宋体" w:hAnsi="宋体" w:eastAsia="宋体" w:cs="宋体"/>
          <w:color w:val="auto"/>
          <w:sz w:val="24"/>
          <w:szCs w:val="24"/>
          <w:highlight w:val="none"/>
          <w:u w:val="single"/>
        </w:rPr>
        <w:t>               </w:t>
      </w:r>
      <w:r>
        <w:rPr>
          <w:rFonts w:hint="eastAsia" w:ascii="宋体" w:hAnsi="宋体" w:eastAsia="宋体" w:cs="宋体"/>
          <w:color w:val="auto"/>
          <w:kern w:val="0"/>
          <w:sz w:val="24"/>
          <w:szCs w:val="24"/>
          <w:highlight w:val="none"/>
        </w:rPr>
        <w:t>。</w:t>
      </w:r>
    </w:p>
    <w:p w14:paraId="3E71C7EA">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color w:val="auto"/>
          <w:sz w:val="24"/>
          <w:szCs w:val="24"/>
          <w:highlight w:val="none"/>
          <w:u w:val="single"/>
        </w:rPr>
        <w:t>             </w:t>
      </w:r>
      <w:r>
        <w:rPr>
          <w:rFonts w:hint="eastAsia" w:ascii="宋体" w:hAnsi="宋体" w:eastAsia="宋体" w:cs="宋体"/>
          <w:color w:val="auto"/>
          <w:kern w:val="0"/>
          <w:sz w:val="24"/>
          <w:szCs w:val="24"/>
          <w:highlight w:val="none"/>
        </w:rPr>
        <w:t>；</w:t>
      </w:r>
    </w:p>
    <w:p w14:paraId="6E2C6994">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             </w:t>
      </w:r>
      <w:r>
        <w:rPr>
          <w:rFonts w:hint="eastAsia" w:ascii="宋体" w:hAnsi="宋体" w:eastAsia="宋体" w:cs="宋体"/>
          <w:color w:val="auto"/>
          <w:kern w:val="0"/>
          <w:sz w:val="24"/>
          <w:szCs w:val="24"/>
          <w:highlight w:val="none"/>
        </w:rPr>
        <w:t>。</w:t>
      </w:r>
    </w:p>
    <w:p w14:paraId="574091FF">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监理人接收文件的地点：</w:t>
      </w:r>
      <w:r>
        <w:rPr>
          <w:rFonts w:hint="eastAsia" w:ascii="宋体" w:hAnsi="宋体" w:eastAsia="宋体" w:cs="宋体"/>
          <w:color w:val="auto"/>
          <w:sz w:val="24"/>
          <w:szCs w:val="24"/>
          <w:highlight w:val="none"/>
          <w:u w:val="single"/>
        </w:rPr>
        <w:t>            </w:t>
      </w:r>
      <w:r>
        <w:rPr>
          <w:rFonts w:hint="eastAsia" w:ascii="宋体" w:hAnsi="宋体" w:eastAsia="宋体" w:cs="宋体"/>
          <w:color w:val="auto"/>
          <w:kern w:val="0"/>
          <w:sz w:val="24"/>
          <w:szCs w:val="24"/>
          <w:highlight w:val="none"/>
        </w:rPr>
        <w:t>；</w:t>
      </w:r>
    </w:p>
    <w:p w14:paraId="6DBF9800">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kern w:val="0"/>
          <w:sz w:val="24"/>
          <w:szCs w:val="24"/>
          <w:highlight w:val="none"/>
        </w:rPr>
        <w:t>。</w:t>
      </w:r>
    </w:p>
    <w:p w14:paraId="759E4809">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交通运输</w:t>
      </w:r>
    </w:p>
    <w:p w14:paraId="059D5E70">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出入现场的权利</w:t>
      </w:r>
    </w:p>
    <w:p w14:paraId="3F8B3F3F">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652061C">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场内交通</w:t>
      </w:r>
    </w:p>
    <w:p w14:paraId="74CD194C">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关于场外交通和场内交通的边界的约定：</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6A9F6A8">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  </w:t>
      </w:r>
    </w:p>
    <w:p w14:paraId="7F4C070F">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4018F507">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承担。</w:t>
      </w:r>
    </w:p>
    <w:p w14:paraId="04FA7969">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知识产权</w:t>
      </w:r>
    </w:p>
    <w:p w14:paraId="59D4C2DC">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24EC5B7">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BAAED3">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AF1E607">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F6BCD0D">
      <w:pPr>
        <w:pageBreakBefore w:val="0"/>
        <w:kinsoku/>
        <w:wordWrap w:val="0"/>
        <w:overflowPunct/>
        <w:topLinePunct w:val="0"/>
        <w:bidi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74FF9E72">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p>
    <w:p w14:paraId="48CA7DEA">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6FD168EC">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706CF8C1">
      <w:pPr>
        <w:pageBreakBefore w:val="0"/>
        <w:kinsoku/>
        <w:wordWrap w:val="0"/>
        <w:overflowPunct/>
        <w:topLinePunct w:val="0"/>
        <w:bidi w:val="0"/>
        <w:spacing w:after="120" w:line="360" w:lineRule="auto"/>
        <w:ind w:firstLine="482" w:firstLineChars="200"/>
        <w:textAlignment w:val="auto"/>
        <w:outlineLvl w:val="0"/>
        <w:rPr>
          <w:rFonts w:hint="eastAsia" w:ascii="宋体" w:hAnsi="宋体" w:eastAsia="宋体" w:cs="宋体"/>
          <w:b/>
          <w:bCs w:val="0"/>
          <w:color w:val="auto"/>
          <w:sz w:val="24"/>
          <w:szCs w:val="24"/>
          <w:highlight w:val="none"/>
        </w:rPr>
      </w:pPr>
      <w:bookmarkStart w:id="307" w:name="_Toc12473"/>
      <w:bookmarkStart w:id="308" w:name="_Toc31214"/>
      <w:bookmarkStart w:id="309" w:name="_Toc17339"/>
      <w:r>
        <w:rPr>
          <w:rFonts w:hint="eastAsia" w:ascii="宋体" w:hAnsi="宋体" w:eastAsia="宋体" w:cs="宋体"/>
          <w:b/>
          <w:bCs w:val="0"/>
          <w:color w:val="auto"/>
          <w:sz w:val="24"/>
          <w:szCs w:val="24"/>
          <w:highlight w:val="none"/>
        </w:rPr>
        <w:t>2. 发包人</w:t>
      </w:r>
      <w:bookmarkEnd w:id="307"/>
      <w:bookmarkEnd w:id="308"/>
      <w:bookmarkEnd w:id="309"/>
    </w:p>
    <w:p w14:paraId="3F1C9405">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发包人代表</w:t>
      </w:r>
    </w:p>
    <w:p w14:paraId="678799E0">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43763647">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4E0FD54C">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E56C3FC">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7E93DD8A">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  </w:t>
      </w:r>
      <w:r>
        <w:rPr>
          <w:rFonts w:hint="eastAsia" w:ascii="宋体" w:hAnsi="宋体" w:eastAsia="宋体" w:cs="宋体"/>
          <w:color w:val="auto"/>
          <w:sz w:val="24"/>
          <w:szCs w:val="24"/>
          <w:highlight w:val="none"/>
        </w:rPr>
        <w:t>；</w:t>
      </w:r>
    </w:p>
    <w:p w14:paraId="2D5688CB">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  </w:t>
      </w:r>
      <w:r>
        <w:rPr>
          <w:rFonts w:hint="eastAsia" w:ascii="宋体" w:hAnsi="宋体" w:eastAsia="宋体" w:cs="宋体"/>
          <w:color w:val="auto"/>
          <w:sz w:val="24"/>
          <w:szCs w:val="24"/>
          <w:highlight w:val="none"/>
        </w:rPr>
        <w:t>；</w:t>
      </w:r>
    </w:p>
    <w:p w14:paraId="61C12191">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6C570B61">
      <w:pPr>
        <w:pageBreakBefore w:val="0"/>
        <w:kinsoku/>
        <w:wordWrap w:val="0"/>
        <w:overflowPunct/>
        <w:topLinePunct w:val="0"/>
        <w:bidi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8C20446">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施工现场、施工条件和基础资料的提供</w:t>
      </w:r>
    </w:p>
    <w:p w14:paraId="208AE412">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07D1483B">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CA75553">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6164D1A7">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8B44F1B">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资金来源证明及支付担保</w:t>
      </w:r>
    </w:p>
    <w:p w14:paraId="362700D0">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2E797EF">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A00A1DC">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EE0143C">
      <w:pPr>
        <w:pageBreakBefore w:val="0"/>
        <w:kinsoku/>
        <w:wordWrap w:val="0"/>
        <w:overflowPunct/>
        <w:topLinePunct w:val="0"/>
        <w:autoSpaceDE w:val="0"/>
        <w:autoSpaceDN w:val="0"/>
        <w:bidi w:val="0"/>
        <w:adjustRightInd w:val="0"/>
        <w:spacing w:line="360" w:lineRule="auto"/>
        <w:ind w:firstLine="482" w:firstLineChars="200"/>
        <w:jc w:val="left"/>
        <w:textAlignment w:val="auto"/>
        <w:outlineLvl w:val="0"/>
        <w:rPr>
          <w:rFonts w:hint="eastAsia" w:ascii="宋体" w:hAnsi="宋体" w:eastAsia="宋体" w:cs="宋体"/>
          <w:b/>
          <w:bCs w:val="0"/>
          <w:color w:val="auto"/>
          <w:sz w:val="24"/>
          <w:szCs w:val="24"/>
          <w:highlight w:val="none"/>
        </w:rPr>
      </w:pPr>
      <w:bookmarkStart w:id="310" w:name="_Toc21025"/>
      <w:bookmarkStart w:id="311" w:name="_Toc7079"/>
      <w:bookmarkStart w:id="312" w:name="_Toc24311"/>
      <w:r>
        <w:rPr>
          <w:rFonts w:hint="eastAsia" w:ascii="宋体" w:hAnsi="宋体" w:eastAsia="宋体" w:cs="宋体"/>
          <w:b/>
          <w:bCs w:val="0"/>
          <w:color w:val="auto"/>
          <w:sz w:val="24"/>
          <w:szCs w:val="24"/>
          <w:highlight w:val="none"/>
        </w:rPr>
        <w:t>3. 承包人</w:t>
      </w:r>
      <w:bookmarkEnd w:id="310"/>
      <w:bookmarkEnd w:id="311"/>
      <w:bookmarkEnd w:id="312"/>
    </w:p>
    <w:p w14:paraId="0430563D">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14:paraId="377610F9">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sz w:val="24"/>
          <w:szCs w:val="24"/>
          <w:highlight w:val="none"/>
        </w:rPr>
        <w:t>承包人提交的竣工资料的内容：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E034BD0">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2FC9EC4">
      <w:pPr>
        <w:pageBreakBefore w:val="0"/>
        <w:kinsoku/>
        <w:wordWrap w:val="0"/>
        <w:overflowPunct/>
        <w:topLinePunct w:val="0"/>
        <w:bidi w:val="0"/>
        <w:spacing w:line="360" w:lineRule="auto"/>
        <w:ind w:left="608" w:leftChars="304"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2751564">
      <w:pPr>
        <w:pageBreakBefore w:val="0"/>
        <w:kinsoku/>
        <w:wordWrap w:val="0"/>
        <w:overflowPunct/>
        <w:topLinePunct w:val="0"/>
        <w:bidi w:val="0"/>
        <w:spacing w:line="360" w:lineRule="auto"/>
        <w:ind w:left="608" w:leftChars="304"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E4CDEE1">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171B6EA">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（10）承包人应履行的其他义务：</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68A637F">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项目经理</w:t>
      </w:r>
    </w:p>
    <w:p w14:paraId="6176E6EF">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rPr>
        <w:t>项目经理：</w:t>
      </w:r>
    </w:p>
    <w:p w14:paraId="79D650B7">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17B7ECF">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53659F6">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E229B38">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483E85A">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49474EE">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F3D252A">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CC26B56">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3DFE7CEE">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1D8A3E8">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19A3745">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关于项目经理每月在施工现场的时间要求：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B0293E">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承包人未提交劳动合同，以及没有为项目经理缴纳社会保险证明的违约责任：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BD3BAE3">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项目经理未经批准，擅自离开施工现场的违约责任：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162A9CE5">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承包人擅自更换项目经理的违约责任：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7D382CF">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3.2.4 承包人无正当理由拒绝更换项目经理的违约责任：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38E7A70">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承包人人员</w:t>
      </w:r>
    </w:p>
    <w:p w14:paraId="3F5442F1">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D28442E">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承包人无正当理由拒绝撤换主要施工管理人员的违约责任：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0F31C68">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3.3.4 承包人主要施工管理人员离开施工现场的批准要求：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1089DCE6">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2356404">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4B0512F">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分包</w:t>
      </w:r>
    </w:p>
    <w:p w14:paraId="76D99231">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分包的一般约定</w:t>
      </w:r>
    </w:p>
    <w:p w14:paraId="5F6860EC">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EEF92B1">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05DB37D">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3.5.2分包的确定</w:t>
      </w:r>
    </w:p>
    <w:p w14:paraId="1CE395AC">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3E9A63F">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p>
    <w:p w14:paraId="617BBF81">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24A793">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工程照管与成品、半成品保护</w:t>
      </w:r>
    </w:p>
    <w:p w14:paraId="173E0DF3">
      <w:pPr>
        <w:pageBreakBefore w:val="0"/>
        <w:kinsoku/>
        <w:wordWrap w:val="0"/>
        <w:overflowPunct/>
        <w:topLinePunct w:val="0"/>
        <w:bidi w:val="0"/>
        <w:spacing w:before="120" w:after="120" w:line="360" w:lineRule="auto"/>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承包人负责照管工程及工程相关的材料、工程设备的起始时间：</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DF05FED">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履约担保</w:t>
      </w:r>
    </w:p>
    <w:p w14:paraId="220ADB02">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B18D5DE">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承包人提供履约担保的形式、金额及期限的：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5DC90E">
      <w:pPr>
        <w:pageBreakBefore w:val="0"/>
        <w:kinsoku/>
        <w:wordWrap w:val="0"/>
        <w:overflowPunct/>
        <w:topLinePunct w:val="0"/>
        <w:autoSpaceDE w:val="0"/>
        <w:autoSpaceDN w:val="0"/>
        <w:bidi w:val="0"/>
        <w:adjustRightInd w:val="0"/>
        <w:spacing w:line="360" w:lineRule="auto"/>
        <w:ind w:firstLine="482" w:firstLineChars="200"/>
        <w:jc w:val="left"/>
        <w:textAlignment w:val="auto"/>
        <w:outlineLvl w:val="0"/>
        <w:rPr>
          <w:rFonts w:hint="eastAsia" w:ascii="宋体" w:hAnsi="宋体" w:eastAsia="宋体" w:cs="宋体"/>
          <w:b/>
          <w:bCs w:val="0"/>
          <w:color w:val="auto"/>
          <w:sz w:val="24"/>
          <w:szCs w:val="24"/>
          <w:highlight w:val="none"/>
        </w:rPr>
      </w:pPr>
      <w:bookmarkStart w:id="313" w:name="_Toc4270"/>
      <w:bookmarkStart w:id="314" w:name="_Toc10457"/>
      <w:bookmarkStart w:id="315" w:name="_Toc17905"/>
      <w:r>
        <w:rPr>
          <w:rFonts w:hint="eastAsia" w:ascii="宋体" w:hAnsi="宋体" w:eastAsia="宋体" w:cs="宋体"/>
          <w:b/>
          <w:bCs w:val="0"/>
          <w:color w:val="auto"/>
          <w:sz w:val="24"/>
          <w:szCs w:val="24"/>
          <w:highlight w:val="none"/>
        </w:rPr>
        <w:t>4. 监理人</w:t>
      </w:r>
      <w:bookmarkEnd w:id="313"/>
      <w:bookmarkEnd w:id="314"/>
      <w:bookmarkEnd w:id="315"/>
    </w:p>
    <w:p w14:paraId="2C966146">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4.1监理人的一般规定</w:t>
      </w:r>
    </w:p>
    <w:p w14:paraId="70137C6F">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EF6C2C4">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0A28862">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7BC473C">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监理人员</w:t>
      </w:r>
    </w:p>
    <w:p w14:paraId="406AD343">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1BD5CF0F">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318DBBB5">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317D7955">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71EE49C">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7242965C">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CF1BCED">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17AE2070">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6D0CBB7">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商定或确定</w:t>
      </w:r>
    </w:p>
    <w:p w14:paraId="748EF1C7">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1BB39800">
      <w:pPr>
        <w:pageBreakBefore w:val="0"/>
        <w:kinsoku/>
        <w:wordWrap w:val="0"/>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290F711">
      <w:pPr>
        <w:pageBreakBefore w:val="0"/>
        <w:kinsoku/>
        <w:wordWrap w:val="0"/>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9CCCCDB">
      <w:pPr>
        <w:pageBreakBefore w:val="0"/>
        <w:kinsoku/>
        <w:wordWrap w:val="0"/>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34AEE5">
      <w:pPr>
        <w:pageBreakBefore w:val="0"/>
        <w:kinsoku/>
        <w:wordWrap w:val="0"/>
        <w:overflowPunct/>
        <w:topLinePunct w:val="0"/>
        <w:autoSpaceDE w:val="0"/>
        <w:autoSpaceDN w:val="0"/>
        <w:bidi w:val="0"/>
        <w:adjustRightInd w:val="0"/>
        <w:spacing w:line="360" w:lineRule="auto"/>
        <w:ind w:firstLine="482" w:firstLineChars="200"/>
        <w:jc w:val="left"/>
        <w:textAlignment w:val="auto"/>
        <w:outlineLvl w:val="0"/>
        <w:rPr>
          <w:rFonts w:hint="eastAsia" w:ascii="宋体" w:hAnsi="宋体" w:eastAsia="宋体" w:cs="宋体"/>
          <w:b/>
          <w:bCs w:val="0"/>
          <w:color w:val="auto"/>
          <w:sz w:val="24"/>
          <w:szCs w:val="24"/>
          <w:highlight w:val="none"/>
        </w:rPr>
      </w:pPr>
      <w:bookmarkStart w:id="316" w:name="_Toc2695"/>
      <w:bookmarkStart w:id="317" w:name="_Toc2390"/>
      <w:bookmarkStart w:id="318" w:name="_Toc10068"/>
      <w:r>
        <w:rPr>
          <w:rFonts w:hint="eastAsia" w:ascii="宋体" w:hAnsi="宋体" w:eastAsia="宋体" w:cs="宋体"/>
          <w:b/>
          <w:bCs w:val="0"/>
          <w:color w:val="auto"/>
          <w:sz w:val="24"/>
          <w:szCs w:val="24"/>
          <w:highlight w:val="none"/>
        </w:rPr>
        <w:t>5. 工程质量</w:t>
      </w:r>
      <w:bookmarkEnd w:id="316"/>
      <w:bookmarkEnd w:id="317"/>
      <w:bookmarkEnd w:id="318"/>
    </w:p>
    <w:p w14:paraId="2ECE04E9">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质量要求</w:t>
      </w:r>
    </w:p>
    <w:p w14:paraId="696F67AD">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 特殊质量标准和要求：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50173D0">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E3416B4">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隐蔽工程检查</w:t>
      </w:r>
    </w:p>
    <w:p w14:paraId="6C885669">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F12BF3E">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小时提交书面延期要求。</w:t>
      </w:r>
    </w:p>
    <w:p w14:paraId="0F504D97">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w:t>
      </w:r>
    </w:p>
    <w:p w14:paraId="39FA55B5">
      <w:pPr>
        <w:pageBreakBefore w:val="0"/>
        <w:kinsoku/>
        <w:wordWrap w:val="0"/>
        <w:overflowPunct/>
        <w:topLinePunct w:val="0"/>
        <w:autoSpaceDE w:val="0"/>
        <w:autoSpaceDN w:val="0"/>
        <w:bidi w:val="0"/>
        <w:adjustRightInd w:val="0"/>
        <w:spacing w:line="360" w:lineRule="auto"/>
        <w:ind w:firstLine="482" w:firstLineChars="200"/>
        <w:jc w:val="left"/>
        <w:textAlignment w:val="auto"/>
        <w:outlineLvl w:val="0"/>
        <w:rPr>
          <w:rFonts w:hint="eastAsia" w:ascii="宋体" w:hAnsi="宋体" w:eastAsia="宋体" w:cs="宋体"/>
          <w:b/>
          <w:bCs w:val="0"/>
          <w:color w:val="auto"/>
          <w:sz w:val="24"/>
          <w:szCs w:val="24"/>
          <w:highlight w:val="none"/>
        </w:rPr>
      </w:pPr>
      <w:bookmarkStart w:id="319" w:name="_Toc11744"/>
      <w:bookmarkStart w:id="320" w:name="_Toc19163"/>
      <w:bookmarkStart w:id="321" w:name="_Toc7089"/>
      <w:r>
        <w:rPr>
          <w:rFonts w:hint="eastAsia" w:ascii="宋体" w:hAnsi="宋体" w:eastAsia="宋体" w:cs="宋体"/>
          <w:b/>
          <w:bCs w:val="0"/>
          <w:color w:val="auto"/>
          <w:sz w:val="24"/>
          <w:szCs w:val="24"/>
          <w:highlight w:val="none"/>
        </w:rPr>
        <w:t>6. 安全文明施工与环境保护</w:t>
      </w:r>
      <w:bookmarkEnd w:id="319"/>
      <w:bookmarkEnd w:id="320"/>
      <w:bookmarkEnd w:id="321"/>
    </w:p>
    <w:p w14:paraId="1C21A3C0">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72D06441">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E14BB6A">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关于治安保卫的特别约定：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65C1B39">
      <w:pPr>
        <w:keepNext w:val="0"/>
        <w:keepLines w:val="0"/>
        <w:pageBreakBefore w:val="0"/>
        <w:widowControl w:val="0"/>
        <w:kinsoku/>
        <w:wordWrap w:val="0"/>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83BB768">
      <w:pPr>
        <w:keepNext w:val="0"/>
        <w:keepLines w:val="0"/>
        <w:pageBreakBefore w:val="0"/>
        <w:widowControl w:val="0"/>
        <w:kinsoku/>
        <w:wordWrap w:val="0"/>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2AE93B70">
      <w:pPr>
        <w:keepNext w:val="0"/>
        <w:keepLines w:val="0"/>
        <w:pageBreakBefore w:val="0"/>
        <w:widowControl w:val="0"/>
        <w:kinsoku/>
        <w:wordWrap w:val="0"/>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E0A4FB8">
      <w:pPr>
        <w:keepNext w:val="0"/>
        <w:keepLines w:val="0"/>
        <w:pageBreakBefore w:val="0"/>
        <w:widowControl w:val="0"/>
        <w:kinsoku/>
        <w:wordWrap w:val="0"/>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关于安全文明施工费支付比例和支付期限的约定：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4D73C47">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left"/>
        <w:textAlignment w:val="auto"/>
        <w:outlineLvl w:val="0"/>
        <w:rPr>
          <w:rFonts w:hint="eastAsia" w:ascii="宋体" w:hAnsi="宋体" w:eastAsia="宋体" w:cs="宋体"/>
          <w:b/>
          <w:bCs w:val="0"/>
          <w:color w:val="auto"/>
          <w:sz w:val="24"/>
          <w:szCs w:val="24"/>
          <w:highlight w:val="none"/>
        </w:rPr>
      </w:pPr>
      <w:bookmarkStart w:id="322" w:name="_Toc4046"/>
      <w:bookmarkStart w:id="323" w:name="_Toc20096"/>
      <w:bookmarkStart w:id="324" w:name="_Toc11524"/>
      <w:r>
        <w:rPr>
          <w:rFonts w:hint="eastAsia" w:ascii="宋体" w:hAnsi="宋体" w:eastAsia="宋体" w:cs="宋体"/>
          <w:b/>
          <w:bCs w:val="0"/>
          <w:color w:val="auto"/>
          <w:sz w:val="24"/>
          <w:szCs w:val="24"/>
          <w:highlight w:val="none"/>
        </w:rPr>
        <w:t>7. 工期和进度</w:t>
      </w:r>
      <w:bookmarkEnd w:id="322"/>
      <w:bookmarkEnd w:id="323"/>
      <w:bookmarkEnd w:id="324"/>
    </w:p>
    <w:p w14:paraId="7CC4842E">
      <w:pPr>
        <w:keepNext w:val="0"/>
        <w:keepLines w:val="0"/>
        <w:pageBreakBefore w:val="0"/>
        <w:widowControl w:val="0"/>
        <w:kinsoku/>
        <w:wordWrap w:val="0"/>
        <w:overflowPunct/>
        <w:topLinePunct w:val="0"/>
        <w:bidi w:val="0"/>
        <w:snapToGrid/>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14:paraId="2941B356">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7.1.1 合</w:t>
      </w:r>
      <w:r>
        <w:rPr>
          <w:rFonts w:hint="eastAsia" w:ascii="宋体" w:hAnsi="宋体" w:eastAsia="宋体" w:cs="宋体"/>
          <w:color w:val="auto"/>
          <w:kern w:val="0"/>
          <w:sz w:val="24"/>
          <w:szCs w:val="24"/>
          <w:highlight w:val="none"/>
        </w:rPr>
        <w:t>同当事人约定的施工组织设计应包括的其他内容：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19FA2C8">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7.1.2 </w:t>
      </w:r>
      <w:r>
        <w:rPr>
          <w:rFonts w:hint="eastAsia" w:ascii="宋体" w:hAnsi="宋体" w:eastAsia="宋体" w:cs="宋体"/>
          <w:color w:val="auto"/>
          <w:kern w:val="0"/>
          <w:sz w:val="24"/>
          <w:szCs w:val="24"/>
          <w:highlight w:val="none"/>
        </w:rPr>
        <w:t>施工组织设计的提交和修改</w:t>
      </w:r>
    </w:p>
    <w:p w14:paraId="136DDC25">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承包人提交详细施工组织设计的期限的约定：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8374083">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43C4452">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施工进度计划</w:t>
      </w:r>
    </w:p>
    <w:p w14:paraId="7E2A2DF4">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0C89E687">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DFB0C21">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开工</w:t>
      </w:r>
    </w:p>
    <w:p w14:paraId="02169E7B">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1481D4EC">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w:t>
      </w:r>
      <w:r>
        <w:rPr>
          <w:rFonts w:hint="eastAsia" w:ascii="宋体" w:hAnsi="宋体" w:eastAsia="宋体" w:cs="宋体"/>
          <w:color w:val="auto"/>
          <w:kern w:val="0"/>
          <w:sz w:val="24"/>
          <w:szCs w:val="24"/>
          <w:highlight w:val="none"/>
        </w:rPr>
        <w:t>工程开工报审表的期限：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2BEAC6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7F6D44">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535225C">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06C6D8C8">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天内发出开工通知的，承包人有权提出价格调整要求，或者解除合同。</w:t>
      </w:r>
    </w:p>
    <w:p w14:paraId="7A6568FB">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74F270CD">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2E73BE2">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工期延误</w:t>
      </w:r>
    </w:p>
    <w:p w14:paraId="2ABF3FEE">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 因发包人原因导致工期延误</w:t>
      </w:r>
    </w:p>
    <w:p w14:paraId="092E301F">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E65B7C">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 因承包人原因导致工期延误</w:t>
      </w:r>
    </w:p>
    <w:p w14:paraId="6CF6E342">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因承包人原因造成工期延误，逾期竣工违约金的计算方法为：</w:t>
      </w:r>
    </w:p>
    <w:p w14:paraId="2EB7B014">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EDA3F29">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因承包人原因造成工期延误，逾期竣工违约金的上限：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1BBB7FE">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不利物质条件</w:t>
      </w:r>
    </w:p>
    <w:p w14:paraId="22FD792B">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C562972">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7.7异常恶劣的气候条件</w:t>
      </w:r>
    </w:p>
    <w:p w14:paraId="7C0D9F0C">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679C070E">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F0E679D">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DD1CD69">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04A4695">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 提前竣工的奖励</w:t>
      </w:r>
    </w:p>
    <w:p w14:paraId="24F05F9F">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90EB8BD">
      <w:pPr>
        <w:pageBreakBefore w:val="0"/>
        <w:kinsoku/>
        <w:wordWrap w:val="0"/>
        <w:overflowPunct/>
        <w:topLinePunct w:val="0"/>
        <w:autoSpaceDE w:val="0"/>
        <w:autoSpaceDN w:val="0"/>
        <w:bidi w:val="0"/>
        <w:adjustRightInd w:val="0"/>
        <w:spacing w:line="360" w:lineRule="auto"/>
        <w:ind w:firstLine="482" w:firstLineChars="200"/>
        <w:jc w:val="left"/>
        <w:textAlignment w:val="auto"/>
        <w:outlineLvl w:val="0"/>
        <w:rPr>
          <w:rFonts w:hint="eastAsia" w:ascii="宋体" w:hAnsi="宋体" w:eastAsia="宋体" w:cs="宋体"/>
          <w:b/>
          <w:bCs w:val="0"/>
          <w:color w:val="auto"/>
          <w:sz w:val="24"/>
          <w:szCs w:val="24"/>
          <w:highlight w:val="none"/>
        </w:rPr>
      </w:pPr>
      <w:bookmarkStart w:id="325" w:name="_Toc19727"/>
      <w:bookmarkStart w:id="326" w:name="_Toc32381"/>
      <w:bookmarkStart w:id="327" w:name="_Toc7129"/>
      <w:r>
        <w:rPr>
          <w:rFonts w:hint="eastAsia" w:ascii="宋体" w:hAnsi="宋体" w:eastAsia="宋体" w:cs="宋体"/>
          <w:b/>
          <w:bCs w:val="0"/>
          <w:color w:val="auto"/>
          <w:sz w:val="24"/>
          <w:szCs w:val="24"/>
          <w:highlight w:val="none"/>
        </w:rPr>
        <w:t>8. 材料与设备</w:t>
      </w:r>
      <w:bookmarkEnd w:id="325"/>
      <w:bookmarkEnd w:id="326"/>
      <w:bookmarkEnd w:id="327"/>
    </w:p>
    <w:p w14:paraId="24D3DD25">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8.4材料与工程设备的保管与使用</w:t>
      </w:r>
    </w:p>
    <w:p w14:paraId="23E28514">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8.4.1发包人供应的材料设备的保管费用的承担：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49F53D1">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p>
    <w:p w14:paraId="18FC5AC2">
      <w:pPr>
        <w:pageBreakBefore w:val="0"/>
        <w:kinsoku/>
        <w:wordWrap w:val="0"/>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样品的报送与封存</w:t>
      </w:r>
    </w:p>
    <w:p w14:paraId="23653AF3">
      <w:pPr>
        <w:pageBreakBefore w:val="0"/>
        <w:kinsoku/>
        <w:wordWrap w:val="0"/>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CD6F994">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施工设备和临时设施</w:t>
      </w:r>
    </w:p>
    <w:p w14:paraId="52AE5000">
      <w:pPr>
        <w:pageBreakBefore w:val="0"/>
        <w:kinsoku/>
        <w:wordWrap w:val="0"/>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156B2657">
      <w:pPr>
        <w:pageBreakBefore w:val="0"/>
        <w:kinsoku/>
        <w:wordWrap w:val="0"/>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491D219">
      <w:pPr>
        <w:pageBreakBefore w:val="0"/>
        <w:kinsoku/>
        <w:wordWrap w:val="0"/>
        <w:overflowPunct/>
        <w:topLinePunct w:val="0"/>
        <w:autoSpaceDE w:val="0"/>
        <w:autoSpaceDN w:val="0"/>
        <w:bidi w:val="0"/>
        <w:adjustRightInd w:val="0"/>
        <w:spacing w:line="360" w:lineRule="auto"/>
        <w:ind w:firstLine="482" w:firstLineChars="200"/>
        <w:jc w:val="left"/>
        <w:textAlignment w:val="auto"/>
        <w:outlineLvl w:val="0"/>
        <w:rPr>
          <w:rFonts w:hint="eastAsia" w:ascii="宋体" w:hAnsi="宋体" w:eastAsia="宋体" w:cs="宋体"/>
          <w:b/>
          <w:bCs w:val="0"/>
          <w:color w:val="auto"/>
          <w:sz w:val="24"/>
          <w:szCs w:val="24"/>
          <w:highlight w:val="none"/>
        </w:rPr>
      </w:pPr>
      <w:bookmarkStart w:id="328" w:name="_Toc7636"/>
      <w:bookmarkStart w:id="329" w:name="_Toc30834"/>
      <w:bookmarkStart w:id="330" w:name="_Toc24811"/>
      <w:r>
        <w:rPr>
          <w:rFonts w:hint="eastAsia" w:ascii="宋体" w:hAnsi="宋体" w:eastAsia="宋体" w:cs="宋体"/>
          <w:b/>
          <w:bCs w:val="0"/>
          <w:color w:val="auto"/>
          <w:sz w:val="24"/>
          <w:szCs w:val="24"/>
          <w:highlight w:val="none"/>
        </w:rPr>
        <w:t>9. 试验与检验</w:t>
      </w:r>
      <w:bookmarkEnd w:id="328"/>
      <w:bookmarkEnd w:id="329"/>
      <w:bookmarkEnd w:id="330"/>
    </w:p>
    <w:p w14:paraId="533369E1">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9.1试验设备与试验人员</w:t>
      </w:r>
    </w:p>
    <w:p w14:paraId="1ED49195">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9.1.2 试验设备</w:t>
      </w:r>
    </w:p>
    <w:p w14:paraId="54C0B52D">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389F1BC">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3594ABB">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3095654">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9.4 现场工艺试验 </w:t>
      </w:r>
    </w:p>
    <w:p w14:paraId="07DA91BD">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0B9238F">
      <w:pPr>
        <w:pageBreakBefore w:val="0"/>
        <w:kinsoku/>
        <w:wordWrap w:val="0"/>
        <w:overflowPunct/>
        <w:topLinePunct w:val="0"/>
        <w:autoSpaceDE w:val="0"/>
        <w:autoSpaceDN w:val="0"/>
        <w:bidi w:val="0"/>
        <w:adjustRightInd w:val="0"/>
        <w:spacing w:line="360" w:lineRule="auto"/>
        <w:ind w:firstLine="482" w:firstLineChars="200"/>
        <w:jc w:val="left"/>
        <w:textAlignment w:val="auto"/>
        <w:outlineLvl w:val="0"/>
        <w:rPr>
          <w:rFonts w:hint="eastAsia" w:ascii="宋体" w:hAnsi="宋体" w:eastAsia="宋体" w:cs="宋体"/>
          <w:b/>
          <w:bCs w:val="0"/>
          <w:color w:val="auto"/>
          <w:sz w:val="24"/>
          <w:szCs w:val="24"/>
          <w:highlight w:val="none"/>
        </w:rPr>
      </w:pPr>
      <w:bookmarkStart w:id="331" w:name="_Toc12973"/>
      <w:bookmarkStart w:id="332" w:name="_Toc29425"/>
      <w:bookmarkStart w:id="333" w:name="_Toc17214"/>
      <w:r>
        <w:rPr>
          <w:rFonts w:hint="eastAsia" w:ascii="宋体" w:hAnsi="宋体" w:eastAsia="宋体" w:cs="宋体"/>
          <w:b/>
          <w:bCs w:val="0"/>
          <w:color w:val="auto"/>
          <w:sz w:val="24"/>
          <w:szCs w:val="24"/>
          <w:highlight w:val="none"/>
        </w:rPr>
        <w:t>10. 变更</w:t>
      </w:r>
      <w:bookmarkEnd w:id="331"/>
      <w:bookmarkEnd w:id="332"/>
      <w:bookmarkEnd w:id="333"/>
    </w:p>
    <w:p w14:paraId="64F3C225">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10.1变更的范围</w:t>
      </w:r>
    </w:p>
    <w:p w14:paraId="4E9A490E">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关于变更的范围的约定：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35DA716">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变更估价</w:t>
      </w:r>
    </w:p>
    <w:p w14:paraId="2FF1249B">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 变更估价原则</w:t>
      </w:r>
    </w:p>
    <w:p w14:paraId="57415B65">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关于变更估价的约定: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6122B4">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10.5承包人的合理化建议</w:t>
      </w:r>
    </w:p>
    <w:p w14:paraId="565F1909">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E9D946E">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FF0854E">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承包人提出的合理化建议降低了合同价格或者提高了工程经济效益的奖励的方法和金额为：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 xml:space="preserve"> </w:t>
      </w:r>
    </w:p>
    <w:p w14:paraId="17CACFC5">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 暂估价</w:t>
      </w:r>
    </w:p>
    <w:p w14:paraId="119B6B17">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暂估价材料和工程设备的明细详见附件11：《</w:t>
      </w:r>
      <w:r>
        <w:rPr>
          <w:rFonts w:hint="eastAsia" w:ascii="宋体" w:hAnsi="宋体" w:eastAsia="宋体" w:cs="宋体"/>
          <w:color w:val="auto"/>
          <w:sz w:val="24"/>
          <w:szCs w:val="24"/>
          <w:highlight w:val="none"/>
        </w:rPr>
        <w:t>暂估价一览表》</w:t>
      </w:r>
      <w:r>
        <w:rPr>
          <w:rFonts w:hint="eastAsia" w:ascii="宋体" w:hAnsi="宋体" w:eastAsia="宋体" w:cs="宋体"/>
          <w:color w:val="auto"/>
          <w:kern w:val="0"/>
          <w:sz w:val="24"/>
          <w:szCs w:val="24"/>
          <w:highlight w:val="none"/>
        </w:rPr>
        <w:t>。</w:t>
      </w:r>
    </w:p>
    <w:p w14:paraId="08D929F7">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10.7.1 依法必须招标的暂估价项目</w:t>
      </w:r>
    </w:p>
    <w:p w14:paraId="4B2D4500">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种方式确定。</w:t>
      </w:r>
    </w:p>
    <w:p w14:paraId="59EDDBD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 不属于依法必须招标的暂估价项目</w:t>
      </w:r>
    </w:p>
    <w:p w14:paraId="553231F9">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种方式确定。</w:t>
      </w:r>
    </w:p>
    <w:p w14:paraId="44059B8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第3种方式：</w:t>
      </w:r>
      <w:r>
        <w:rPr>
          <w:rFonts w:hint="eastAsia" w:ascii="宋体" w:hAnsi="宋体" w:eastAsia="宋体" w:cs="宋体"/>
          <w:color w:val="auto"/>
          <w:kern w:val="0"/>
          <w:sz w:val="24"/>
          <w:szCs w:val="24"/>
          <w:highlight w:val="none"/>
        </w:rPr>
        <w:t>承包人直接实施的暂估价项目</w:t>
      </w:r>
    </w:p>
    <w:p w14:paraId="1AC6B57D">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B46C2A2">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暂列金额</w:t>
      </w:r>
    </w:p>
    <w:p w14:paraId="57D6F2E4">
      <w:pPr>
        <w:pageBreakBefore w:val="0"/>
        <w:kinsoku/>
        <w:wordWrap w:val="0"/>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19C8F206">
      <w:pPr>
        <w:pageBreakBefore w:val="0"/>
        <w:kinsoku/>
        <w:wordWrap w:val="0"/>
        <w:overflowPunct/>
        <w:topLinePunct w:val="0"/>
        <w:autoSpaceDE w:val="0"/>
        <w:autoSpaceDN w:val="0"/>
        <w:bidi w:val="0"/>
        <w:adjustRightInd w:val="0"/>
        <w:spacing w:line="360" w:lineRule="auto"/>
        <w:ind w:firstLine="482" w:firstLineChars="200"/>
        <w:jc w:val="left"/>
        <w:textAlignment w:val="auto"/>
        <w:outlineLvl w:val="0"/>
        <w:rPr>
          <w:rFonts w:hint="eastAsia" w:ascii="宋体" w:hAnsi="宋体" w:eastAsia="宋体" w:cs="宋体"/>
          <w:b/>
          <w:bCs w:val="0"/>
          <w:color w:val="auto"/>
          <w:sz w:val="24"/>
          <w:szCs w:val="24"/>
          <w:highlight w:val="none"/>
        </w:rPr>
      </w:pPr>
      <w:bookmarkStart w:id="334" w:name="_Toc30722"/>
      <w:bookmarkStart w:id="335" w:name="_Toc19614"/>
      <w:bookmarkStart w:id="336" w:name="_Toc1240"/>
      <w:r>
        <w:rPr>
          <w:rFonts w:hint="eastAsia" w:ascii="宋体" w:hAnsi="宋体" w:eastAsia="宋体" w:cs="宋体"/>
          <w:b/>
          <w:bCs w:val="0"/>
          <w:color w:val="auto"/>
          <w:sz w:val="24"/>
          <w:szCs w:val="24"/>
          <w:highlight w:val="none"/>
        </w:rPr>
        <w:t>11. 价格调整</w:t>
      </w:r>
      <w:bookmarkEnd w:id="334"/>
      <w:bookmarkEnd w:id="335"/>
      <w:bookmarkEnd w:id="336"/>
    </w:p>
    <w:p w14:paraId="74B90F09">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市场价格波动引起的调整</w:t>
      </w:r>
    </w:p>
    <w:p w14:paraId="352FD58A">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C6C67EC">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51F7B12B">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57C4C4DE">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39E42B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0E042918">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5DD5971">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46882A77">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7F18D726">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05A0082D">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01F4DA3">
      <w:pPr>
        <w:pageBreakBefore w:val="0"/>
        <w:kinsoku/>
        <w:wordWrap w:val="0"/>
        <w:overflowPunct/>
        <w:topLinePunct w:val="0"/>
        <w:autoSpaceDE w:val="0"/>
        <w:autoSpaceDN w:val="0"/>
        <w:bidi w:val="0"/>
        <w:adjustRightInd w:val="0"/>
        <w:spacing w:line="360" w:lineRule="auto"/>
        <w:ind w:firstLine="482" w:firstLineChars="200"/>
        <w:jc w:val="left"/>
        <w:textAlignment w:val="auto"/>
        <w:outlineLvl w:val="0"/>
        <w:rPr>
          <w:rFonts w:hint="eastAsia" w:ascii="宋体" w:hAnsi="宋体" w:eastAsia="宋体" w:cs="宋体"/>
          <w:b/>
          <w:bCs w:val="0"/>
          <w:color w:val="auto"/>
          <w:sz w:val="24"/>
          <w:szCs w:val="24"/>
          <w:highlight w:val="none"/>
        </w:rPr>
      </w:pPr>
      <w:bookmarkStart w:id="337" w:name="_Toc10677"/>
      <w:bookmarkStart w:id="338" w:name="_Toc23246"/>
      <w:bookmarkStart w:id="339" w:name="_Toc30672"/>
      <w:r>
        <w:rPr>
          <w:rFonts w:hint="eastAsia" w:ascii="宋体" w:hAnsi="宋体" w:eastAsia="宋体" w:cs="宋体"/>
          <w:b/>
          <w:bCs w:val="0"/>
          <w:color w:val="auto"/>
          <w:sz w:val="24"/>
          <w:szCs w:val="24"/>
          <w:highlight w:val="none"/>
        </w:rPr>
        <w:t>12. 合同价格、计量与支付</w:t>
      </w:r>
      <w:bookmarkEnd w:id="337"/>
      <w:bookmarkEnd w:id="338"/>
      <w:bookmarkEnd w:id="339"/>
    </w:p>
    <w:p w14:paraId="7A9B74B2">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合同价格形式</w:t>
      </w:r>
    </w:p>
    <w:p w14:paraId="36F0F0C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74886B2D">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2154C67">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17F569C">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613968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39EC3E76">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322F32B">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CE792C">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508C837">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945BDE9">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预付款</w:t>
      </w:r>
    </w:p>
    <w:p w14:paraId="137C9225">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预付款的支付</w:t>
      </w:r>
    </w:p>
    <w:p w14:paraId="5ACF2408">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预付款支付比例或金额：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7C9D33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AF5049A">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预付款扣回的方式：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D91E15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12.2.2 预付款担保</w:t>
      </w:r>
    </w:p>
    <w:p w14:paraId="6F0C2D18">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承包人提交预付款担保的期限：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9A29925">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预付款担保的形式为：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7EE17ED">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计量</w:t>
      </w:r>
    </w:p>
    <w:p w14:paraId="4DED7C7D">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 计量原则</w:t>
      </w:r>
    </w:p>
    <w:p w14:paraId="5B59D70A">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15D1DCA">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 计量周期</w:t>
      </w:r>
    </w:p>
    <w:p w14:paraId="6D9FC67F">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1ECF08F">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 单价合同的计量</w:t>
      </w:r>
    </w:p>
    <w:p w14:paraId="2A663789">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DB86DBA">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 总价合同的计量</w:t>
      </w:r>
    </w:p>
    <w:p w14:paraId="26446966">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FE48E2D">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12.3.5总价合同采用支付分解表计量支付的，是否适用第</w:t>
      </w:r>
      <w:r>
        <w:rPr>
          <w:rFonts w:hint="eastAsia" w:ascii="宋体" w:hAnsi="宋体" w:eastAsia="宋体" w:cs="宋体"/>
          <w:color w:val="auto"/>
          <w:kern w:val="0"/>
          <w:sz w:val="24"/>
          <w:szCs w:val="24"/>
          <w:highlight w:val="none"/>
        </w:rPr>
        <w:t xml:space="preserve">12.3.4 </w:t>
      </w:r>
      <w:r>
        <w:rPr>
          <w:rFonts w:hint="eastAsia" w:ascii="宋体" w:hAnsi="宋体" w:eastAsia="宋体" w:cs="宋体"/>
          <w:color w:val="auto"/>
          <w:sz w:val="24"/>
          <w:szCs w:val="24"/>
          <w:highlight w:val="none"/>
        </w:rPr>
        <w:t>项</w:t>
      </w:r>
      <w:r>
        <w:rPr>
          <w:rFonts w:hint="eastAsia" w:ascii="宋体" w:hAnsi="宋体" w:eastAsia="宋体" w:cs="宋体"/>
          <w:color w:val="auto"/>
          <w:kern w:val="0"/>
          <w:sz w:val="24"/>
          <w:szCs w:val="24"/>
          <w:highlight w:val="none"/>
        </w:rPr>
        <w:t>〔总价合同的计量〕</w:t>
      </w:r>
      <w:r>
        <w:rPr>
          <w:rFonts w:hint="eastAsia" w:ascii="宋体" w:hAnsi="宋体" w:eastAsia="宋体" w:cs="宋体"/>
          <w:color w:val="auto"/>
          <w:sz w:val="24"/>
          <w:szCs w:val="24"/>
          <w:highlight w:val="none"/>
        </w:rPr>
        <w:t>约定进行计量：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E0908FE">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14:paraId="399A6AAE">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11EDE9D">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工程进度款支付</w:t>
      </w:r>
    </w:p>
    <w:p w14:paraId="5B6BBF3A">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付款周期</w:t>
      </w:r>
    </w:p>
    <w:p w14:paraId="5197BC36">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关于付款周期的约定：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0099504">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进度付款申请单的编制</w:t>
      </w:r>
    </w:p>
    <w:p w14:paraId="41853516">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96CA3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12.4.3 进度付款申请单的提交</w:t>
      </w:r>
    </w:p>
    <w:p w14:paraId="3BA1039B">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A71686C">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87EBE0">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73728D">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14:paraId="25358436">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FF5C49B">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03A56C">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0182A40">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D32EBD7">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0A2182ED">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48D4D1A">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7A3AEE0">
      <w:pPr>
        <w:pageBreakBefore w:val="0"/>
        <w:kinsoku/>
        <w:wordWrap w:val="0"/>
        <w:overflowPunct/>
        <w:topLinePunct w:val="0"/>
        <w:autoSpaceDE w:val="0"/>
        <w:autoSpaceDN w:val="0"/>
        <w:bidi w:val="0"/>
        <w:adjustRightInd w:val="0"/>
        <w:spacing w:line="360" w:lineRule="auto"/>
        <w:ind w:firstLine="482" w:firstLineChars="200"/>
        <w:jc w:val="left"/>
        <w:textAlignment w:val="auto"/>
        <w:outlineLvl w:val="0"/>
        <w:rPr>
          <w:rFonts w:hint="eastAsia" w:ascii="宋体" w:hAnsi="宋体" w:eastAsia="宋体" w:cs="宋体"/>
          <w:b/>
          <w:bCs w:val="0"/>
          <w:color w:val="auto"/>
          <w:sz w:val="24"/>
          <w:szCs w:val="24"/>
          <w:highlight w:val="none"/>
        </w:rPr>
      </w:pPr>
      <w:bookmarkStart w:id="340" w:name="_Toc21491"/>
      <w:bookmarkStart w:id="341" w:name="_Toc11612"/>
      <w:bookmarkStart w:id="342" w:name="_Toc17332"/>
      <w:r>
        <w:rPr>
          <w:rFonts w:hint="eastAsia" w:ascii="宋体" w:hAnsi="宋体" w:eastAsia="宋体" w:cs="宋体"/>
          <w:b/>
          <w:bCs w:val="0"/>
          <w:color w:val="auto"/>
          <w:sz w:val="24"/>
          <w:szCs w:val="24"/>
          <w:highlight w:val="none"/>
        </w:rPr>
        <w:t>13. 验收和工程试车</w:t>
      </w:r>
      <w:bookmarkEnd w:id="340"/>
      <w:bookmarkEnd w:id="341"/>
      <w:bookmarkEnd w:id="342"/>
    </w:p>
    <w:p w14:paraId="2A6F71B3">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14:paraId="1B79CE0E">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小时提交书面延期要求。</w:t>
      </w:r>
    </w:p>
    <w:p w14:paraId="4880FB98">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w:t>
      </w:r>
    </w:p>
    <w:p w14:paraId="405C1478">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竣工验收</w:t>
      </w:r>
    </w:p>
    <w:p w14:paraId="3E3B844B">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13.2.2竣工验收程序</w:t>
      </w:r>
    </w:p>
    <w:p w14:paraId="0B070B94">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关于竣工验收程序的约定：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D97D22C">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70DC8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p w14:paraId="067E2D88">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承包人向发包人移交工程的期限：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C36F9BD">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C98B2E6">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2955E4B">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p w14:paraId="468D9978">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13.3.1 试车程序</w:t>
      </w:r>
    </w:p>
    <w:p w14:paraId="47D6DF48">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工程试车内容：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FBF02F">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（1）单机无负荷试车费用由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66272E50">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（2）无负荷联动试车费用由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00E6E9AD">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13.3.3 投料试车</w:t>
      </w:r>
    </w:p>
    <w:p w14:paraId="7139B7B8">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关于投料试车相关事项的约定：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A35DCFC">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竣工退场</w:t>
      </w:r>
    </w:p>
    <w:p w14:paraId="078C3C2E">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13.6.1 竣工退场</w:t>
      </w:r>
    </w:p>
    <w:p w14:paraId="6B73AD9C">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承包人完成竣工退场的期限：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63A82060">
      <w:pPr>
        <w:pageBreakBefore w:val="0"/>
        <w:kinsoku/>
        <w:wordWrap w:val="0"/>
        <w:overflowPunct/>
        <w:topLinePunct w:val="0"/>
        <w:autoSpaceDE w:val="0"/>
        <w:autoSpaceDN w:val="0"/>
        <w:bidi w:val="0"/>
        <w:adjustRightInd w:val="0"/>
        <w:spacing w:line="360" w:lineRule="auto"/>
        <w:ind w:firstLine="482" w:firstLineChars="200"/>
        <w:jc w:val="left"/>
        <w:textAlignment w:val="auto"/>
        <w:outlineLvl w:val="0"/>
        <w:rPr>
          <w:rFonts w:hint="eastAsia" w:ascii="宋体" w:hAnsi="宋体" w:eastAsia="宋体" w:cs="宋体"/>
          <w:b/>
          <w:bCs w:val="0"/>
          <w:color w:val="auto"/>
          <w:sz w:val="24"/>
          <w:szCs w:val="24"/>
          <w:highlight w:val="none"/>
        </w:rPr>
      </w:pPr>
      <w:bookmarkStart w:id="343" w:name="_Toc19787"/>
      <w:bookmarkStart w:id="344" w:name="_Toc4623"/>
      <w:bookmarkStart w:id="345" w:name="_Toc2534"/>
      <w:r>
        <w:rPr>
          <w:rFonts w:hint="eastAsia" w:ascii="宋体" w:hAnsi="宋体" w:eastAsia="宋体" w:cs="宋体"/>
          <w:b/>
          <w:bCs w:val="0"/>
          <w:color w:val="auto"/>
          <w:sz w:val="24"/>
          <w:szCs w:val="24"/>
          <w:highlight w:val="none"/>
        </w:rPr>
        <w:t>14. 竣工结算</w:t>
      </w:r>
      <w:bookmarkEnd w:id="343"/>
      <w:bookmarkEnd w:id="344"/>
      <w:bookmarkEnd w:id="345"/>
    </w:p>
    <w:p w14:paraId="21C85042">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竣工结算申请</w:t>
      </w:r>
    </w:p>
    <w:p w14:paraId="3857BB6A">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承包人提交竣工结算申请单的期限：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2CA784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竣工结算申请单应包括的内容：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C0AFD68">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竣工结算审核</w:t>
      </w:r>
    </w:p>
    <w:p w14:paraId="6562A122">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260D19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92849FD">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EF52A2F">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最终结清</w:t>
      </w:r>
    </w:p>
    <w:p w14:paraId="574C765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14.4.1 最终结清申请单</w:t>
      </w:r>
    </w:p>
    <w:p w14:paraId="78F9EA71">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3E83912">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EDCDB2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6C00FDD2">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F691E02">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9CDD9B">
      <w:pPr>
        <w:pageBreakBefore w:val="0"/>
        <w:kinsoku/>
        <w:wordWrap w:val="0"/>
        <w:overflowPunct/>
        <w:topLinePunct w:val="0"/>
        <w:autoSpaceDE w:val="0"/>
        <w:autoSpaceDN w:val="0"/>
        <w:bidi w:val="0"/>
        <w:adjustRightInd w:val="0"/>
        <w:spacing w:line="360" w:lineRule="auto"/>
        <w:ind w:firstLine="482" w:firstLineChars="200"/>
        <w:jc w:val="left"/>
        <w:textAlignment w:val="auto"/>
        <w:outlineLvl w:val="0"/>
        <w:rPr>
          <w:rFonts w:hint="eastAsia" w:ascii="宋体" w:hAnsi="宋体" w:eastAsia="宋体" w:cs="宋体"/>
          <w:b/>
          <w:bCs w:val="0"/>
          <w:color w:val="auto"/>
          <w:sz w:val="24"/>
          <w:szCs w:val="24"/>
          <w:highlight w:val="none"/>
        </w:rPr>
      </w:pPr>
      <w:bookmarkStart w:id="346" w:name="_Toc10158"/>
      <w:bookmarkStart w:id="347" w:name="_Toc3187"/>
      <w:bookmarkStart w:id="348" w:name="_Toc10067"/>
      <w:r>
        <w:rPr>
          <w:rFonts w:hint="eastAsia" w:ascii="宋体" w:hAnsi="宋体" w:eastAsia="宋体" w:cs="宋体"/>
          <w:b/>
          <w:bCs w:val="0"/>
          <w:color w:val="auto"/>
          <w:sz w:val="24"/>
          <w:szCs w:val="24"/>
          <w:highlight w:val="none"/>
        </w:rPr>
        <w:t>15. 缺陷责任期与保修</w:t>
      </w:r>
      <w:bookmarkEnd w:id="346"/>
      <w:bookmarkEnd w:id="347"/>
      <w:bookmarkEnd w:id="348"/>
    </w:p>
    <w:p w14:paraId="28E27EC6">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缺陷责任期</w:t>
      </w:r>
    </w:p>
    <w:p w14:paraId="568F76BA">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DC37E9C">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质量保证金</w:t>
      </w:r>
    </w:p>
    <w:p w14:paraId="4B0DB544">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关于是否扣留质量保证金的约定：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。在工程项目竣工前，承包人按专用合同条款第3.7条提供履约担保的，发包人不得同时预留工程质量保证金。</w:t>
      </w:r>
    </w:p>
    <w:p w14:paraId="28B6A569">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 承包人提供质量保证金的方式</w:t>
      </w:r>
    </w:p>
    <w:p w14:paraId="7A4E3859">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w:t>
      </w:r>
    </w:p>
    <w:p w14:paraId="3E266853">
      <w:pPr>
        <w:pageBreakBefore w:val="0"/>
        <w:kinsoku/>
        <w:wordWrap w:val="0"/>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（1）质量保证金保函，保证金额为：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1E6E1FDB">
      <w:pPr>
        <w:pageBreakBefore w:val="0"/>
        <w:kinsoku/>
        <w:wordWrap w:val="0"/>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%的工程款；</w:t>
      </w:r>
    </w:p>
    <w:p w14:paraId="5270CF62">
      <w:pPr>
        <w:pageBreakBefore w:val="0"/>
        <w:kinsoku/>
        <w:wordWrap w:val="0"/>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（3）其他方式: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23CE51C">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.2 质量保证金的扣留 </w:t>
      </w:r>
    </w:p>
    <w:p w14:paraId="14508882">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质量保证金的扣留采取以下第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w:t>
      </w:r>
    </w:p>
    <w:p w14:paraId="03CF75FE">
      <w:pPr>
        <w:pageBreakBefore w:val="0"/>
        <w:kinsoku/>
        <w:wordWrap w:val="0"/>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（1）在支付工程进度款时逐次扣留，在此情形下，质量保证金的计算基数不包括预付款的支付、扣回以及价格调整的金额；</w:t>
      </w:r>
    </w:p>
    <w:p w14:paraId="0A029C1E">
      <w:pPr>
        <w:pageBreakBefore w:val="0"/>
        <w:kinsoku/>
        <w:wordWrap w:val="0"/>
        <w:overflowPunct/>
        <w:topLinePunct w:val="0"/>
        <w:bidi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（2）工程竣工结算时一次性扣留质量保证金；</w:t>
      </w:r>
    </w:p>
    <w:p w14:paraId="2D384139">
      <w:pPr>
        <w:pageBreakBefore w:val="0"/>
        <w:kinsoku/>
        <w:wordWrap w:val="0"/>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（3）其他扣留方式: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46F14229">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关于质量保证金的补充约定：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99C4F4E">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保修</w:t>
      </w:r>
    </w:p>
    <w:p w14:paraId="7DCCBE7B">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 保修责任</w:t>
      </w:r>
    </w:p>
    <w:p w14:paraId="5ADE59DF">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1A04D62">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3.2</w:t>
      </w:r>
      <w:r>
        <w:rPr>
          <w:rFonts w:hint="eastAsia" w:ascii="宋体" w:hAnsi="宋体" w:eastAsia="宋体" w:cs="宋体"/>
          <w:color w:val="auto"/>
          <w:sz w:val="24"/>
          <w:szCs w:val="24"/>
          <w:highlight w:val="none"/>
        </w:rPr>
        <w:t xml:space="preserve"> 修复通知</w:t>
      </w:r>
    </w:p>
    <w:p w14:paraId="02F11F7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承包人收到保修通知并到达工程现场的合理时间：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2C65871">
      <w:pPr>
        <w:pageBreakBefore w:val="0"/>
        <w:kinsoku/>
        <w:wordWrap w:val="0"/>
        <w:overflowPunct/>
        <w:topLinePunct w:val="0"/>
        <w:autoSpaceDE w:val="0"/>
        <w:autoSpaceDN w:val="0"/>
        <w:bidi w:val="0"/>
        <w:adjustRightInd w:val="0"/>
        <w:spacing w:line="360" w:lineRule="auto"/>
        <w:ind w:firstLine="482" w:firstLineChars="200"/>
        <w:jc w:val="left"/>
        <w:textAlignment w:val="auto"/>
        <w:outlineLvl w:val="0"/>
        <w:rPr>
          <w:rFonts w:hint="eastAsia" w:ascii="宋体" w:hAnsi="宋体" w:eastAsia="宋体" w:cs="宋体"/>
          <w:b/>
          <w:bCs w:val="0"/>
          <w:color w:val="auto"/>
          <w:sz w:val="24"/>
          <w:szCs w:val="24"/>
          <w:highlight w:val="none"/>
        </w:rPr>
      </w:pPr>
      <w:bookmarkStart w:id="349" w:name="_Toc4169"/>
      <w:bookmarkStart w:id="350" w:name="_Toc13888"/>
      <w:bookmarkStart w:id="351" w:name="_Toc21535"/>
      <w:r>
        <w:rPr>
          <w:rFonts w:hint="eastAsia" w:ascii="宋体" w:hAnsi="宋体" w:eastAsia="宋体" w:cs="宋体"/>
          <w:b/>
          <w:bCs w:val="0"/>
          <w:color w:val="auto"/>
          <w:sz w:val="24"/>
          <w:szCs w:val="24"/>
          <w:highlight w:val="none"/>
        </w:rPr>
        <w:t>16. 违约</w:t>
      </w:r>
      <w:bookmarkEnd w:id="349"/>
      <w:bookmarkEnd w:id="350"/>
      <w:bookmarkEnd w:id="351"/>
    </w:p>
    <w:p w14:paraId="76C9F921">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发包人违约</w:t>
      </w:r>
    </w:p>
    <w:p w14:paraId="399152D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2C9D86A4">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7F0F058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16.1.2 发包人违约的责任</w:t>
      </w:r>
    </w:p>
    <w:p w14:paraId="3538ED49">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发包人违约责任的承担方式和计算方法：</w:t>
      </w:r>
    </w:p>
    <w:p w14:paraId="7C8CA02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（1）因发包人原因未能在计划开工日期前7天内下达开工通知的违约责任：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4B0CE360">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（2）因发包人原因未能按合同约定支付合同价款的违约责任：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D58403F">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E4AF45B">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D6737CC">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（5）因发包人违反合同约定造成暂停施工的违约责任：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8F62589">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（6）发包人无正当理由没有在约定期限内发出复工指示，导致承包人无法复工的违约责任：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4F78BF1E">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E9B0A22">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1F9460DC">
      <w:pPr>
        <w:pageBreakBefore w:val="0"/>
        <w:kinsoku/>
        <w:wordWrap w:val="0"/>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承包人按16.1.1项〔发包人违约的情形〕约定暂停施工满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天后发包人仍不纠正其违约行为并致使合同目的不能实现的，承包人有权解除合同。</w:t>
      </w:r>
    </w:p>
    <w:p w14:paraId="561FA2A3">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承包人违约</w:t>
      </w:r>
    </w:p>
    <w:p w14:paraId="138F863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16.2.1 承包人违约的情形</w:t>
      </w:r>
    </w:p>
    <w:p w14:paraId="46533DDF">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983742E">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16.2.2承包人违约的责任</w:t>
      </w:r>
    </w:p>
    <w:p w14:paraId="67FAFD86">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承包人违约责任的承担方式和计算方法：</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 xml:space="preserve">    </w:t>
      </w:r>
    </w:p>
    <w:p w14:paraId="58322868">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14:paraId="77B4E8FD">
      <w:pPr>
        <w:pageBreakBefore w:val="0"/>
        <w:kinsoku/>
        <w:wordWrap w:val="0"/>
        <w:overflowPunct/>
        <w:topLinePunct w:val="0"/>
        <w:bidi w:val="0"/>
        <w:spacing w:before="120" w:after="12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关于承包人违约解除合同的特别约定：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7FCCD390">
      <w:pPr>
        <w:pageBreakBefore w:val="0"/>
        <w:kinsoku/>
        <w:wordWrap w:val="0"/>
        <w:overflowPunct/>
        <w:topLinePunct w:val="0"/>
        <w:bidi w:val="0"/>
        <w:spacing w:before="120" w:after="12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8812728">
      <w:pPr>
        <w:pageBreakBefore w:val="0"/>
        <w:kinsoku/>
        <w:wordWrap w:val="0"/>
        <w:overflowPunct/>
        <w:topLinePunct w:val="0"/>
        <w:autoSpaceDE w:val="0"/>
        <w:autoSpaceDN w:val="0"/>
        <w:bidi w:val="0"/>
        <w:adjustRightInd w:val="0"/>
        <w:spacing w:line="360" w:lineRule="auto"/>
        <w:ind w:firstLine="482" w:firstLineChars="200"/>
        <w:jc w:val="left"/>
        <w:textAlignment w:val="auto"/>
        <w:outlineLvl w:val="0"/>
        <w:rPr>
          <w:rFonts w:hint="eastAsia" w:ascii="宋体" w:hAnsi="宋体" w:eastAsia="宋体" w:cs="宋体"/>
          <w:b/>
          <w:bCs w:val="0"/>
          <w:color w:val="auto"/>
          <w:sz w:val="24"/>
          <w:szCs w:val="24"/>
          <w:highlight w:val="none"/>
        </w:rPr>
      </w:pPr>
      <w:bookmarkStart w:id="352" w:name="_Toc14401"/>
      <w:bookmarkStart w:id="353" w:name="_Toc9191"/>
      <w:bookmarkStart w:id="354" w:name="_Toc26570"/>
      <w:r>
        <w:rPr>
          <w:rFonts w:hint="eastAsia" w:ascii="宋体" w:hAnsi="宋体" w:eastAsia="宋体" w:cs="宋体"/>
          <w:b/>
          <w:bCs w:val="0"/>
          <w:color w:val="auto"/>
          <w:sz w:val="24"/>
          <w:szCs w:val="24"/>
          <w:highlight w:val="none"/>
        </w:rPr>
        <w:t>17. 不可抗力</w:t>
      </w:r>
      <w:bookmarkEnd w:id="352"/>
      <w:bookmarkEnd w:id="353"/>
      <w:bookmarkEnd w:id="354"/>
      <w:r>
        <w:rPr>
          <w:rFonts w:hint="eastAsia" w:ascii="宋体" w:hAnsi="宋体" w:eastAsia="宋体" w:cs="宋体"/>
          <w:b/>
          <w:bCs w:val="0"/>
          <w:color w:val="auto"/>
          <w:sz w:val="24"/>
          <w:szCs w:val="24"/>
          <w:highlight w:val="none"/>
        </w:rPr>
        <w:t xml:space="preserve"> </w:t>
      </w:r>
    </w:p>
    <w:p w14:paraId="6D2CABCE">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14:paraId="2051BD3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 xml:space="preserve">除通用合同条款约定的不可抗力事件之外，视为不可抗力的其他情形：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9CF016A">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因不可抗力解除合同</w:t>
      </w:r>
    </w:p>
    <w:p w14:paraId="211F5D72">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天内完成款项的支付。</w:t>
      </w:r>
    </w:p>
    <w:p w14:paraId="755B6A59">
      <w:pPr>
        <w:pageBreakBefore w:val="0"/>
        <w:kinsoku/>
        <w:wordWrap w:val="0"/>
        <w:overflowPunct/>
        <w:topLinePunct w:val="0"/>
        <w:autoSpaceDE w:val="0"/>
        <w:autoSpaceDN w:val="0"/>
        <w:bidi w:val="0"/>
        <w:adjustRightInd w:val="0"/>
        <w:spacing w:line="360" w:lineRule="auto"/>
        <w:ind w:firstLine="482" w:firstLineChars="200"/>
        <w:jc w:val="left"/>
        <w:textAlignment w:val="auto"/>
        <w:outlineLvl w:val="0"/>
        <w:rPr>
          <w:rFonts w:hint="eastAsia" w:ascii="宋体" w:hAnsi="宋体" w:eastAsia="宋体" w:cs="宋体"/>
          <w:b/>
          <w:bCs w:val="0"/>
          <w:color w:val="auto"/>
          <w:sz w:val="24"/>
          <w:szCs w:val="24"/>
          <w:highlight w:val="none"/>
        </w:rPr>
      </w:pPr>
      <w:bookmarkStart w:id="355" w:name="_Toc25629"/>
      <w:bookmarkStart w:id="356" w:name="_Toc7733"/>
      <w:bookmarkStart w:id="357" w:name="_Toc22556"/>
      <w:r>
        <w:rPr>
          <w:rFonts w:hint="eastAsia" w:ascii="宋体" w:hAnsi="宋体" w:eastAsia="宋体" w:cs="宋体"/>
          <w:b/>
          <w:bCs w:val="0"/>
          <w:color w:val="auto"/>
          <w:sz w:val="24"/>
          <w:szCs w:val="24"/>
          <w:highlight w:val="none"/>
        </w:rPr>
        <w:t>18. 保险</w:t>
      </w:r>
      <w:bookmarkEnd w:id="355"/>
      <w:bookmarkEnd w:id="356"/>
      <w:bookmarkEnd w:id="357"/>
    </w:p>
    <w:p w14:paraId="1BD32D99">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14:paraId="6DC610C8">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1F379D4">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其他保险</w:t>
      </w:r>
    </w:p>
    <w:p w14:paraId="3D9C0EA0">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7A2CBAA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A222304">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通知义务</w:t>
      </w:r>
    </w:p>
    <w:p w14:paraId="296213C7">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D1490A0">
      <w:pPr>
        <w:pageBreakBefore w:val="0"/>
        <w:kinsoku/>
        <w:wordWrap w:val="0"/>
        <w:overflowPunct/>
        <w:topLinePunct w:val="0"/>
        <w:autoSpaceDE w:val="0"/>
        <w:autoSpaceDN w:val="0"/>
        <w:bidi w:val="0"/>
        <w:adjustRightInd w:val="0"/>
        <w:spacing w:line="360" w:lineRule="auto"/>
        <w:ind w:firstLine="482" w:firstLineChars="200"/>
        <w:jc w:val="left"/>
        <w:textAlignment w:val="auto"/>
        <w:outlineLvl w:val="0"/>
        <w:rPr>
          <w:rFonts w:hint="eastAsia" w:ascii="宋体" w:hAnsi="宋体" w:eastAsia="宋体" w:cs="宋体"/>
          <w:b/>
          <w:bCs w:val="0"/>
          <w:color w:val="auto"/>
          <w:sz w:val="24"/>
          <w:szCs w:val="24"/>
          <w:highlight w:val="none"/>
        </w:rPr>
      </w:pPr>
      <w:bookmarkStart w:id="358" w:name="_Toc25154"/>
      <w:bookmarkStart w:id="359" w:name="_Toc28099"/>
      <w:bookmarkStart w:id="360" w:name="_Toc31409"/>
      <w:r>
        <w:rPr>
          <w:rFonts w:hint="eastAsia" w:ascii="宋体" w:hAnsi="宋体" w:eastAsia="宋体" w:cs="宋体"/>
          <w:b/>
          <w:bCs w:val="0"/>
          <w:color w:val="auto"/>
          <w:sz w:val="24"/>
          <w:szCs w:val="24"/>
          <w:highlight w:val="none"/>
        </w:rPr>
        <w:t>20. 争议解决</w:t>
      </w:r>
      <w:bookmarkEnd w:id="358"/>
      <w:bookmarkEnd w:id="359"/>
      <w:bookmarkEnd w:id="360"/>
    </w:p>
    <w:p w14:paraId="795B9524">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争议评审</w:t>
      </w:r>
    </w:p>
    <w:p w14:paraId="780AAB20">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4F9EFF0">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 争议评审小组的确定</w:t>
      </w:r>
    </w:p>
    <w:p w14:paraId="64B2BBB1">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27FA80F">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BFDA33">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7ABB2F">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4B837A6">
      <w:pPr>
        <w:pageBreakBefore w:val="0"/>
        <w:kinsoku/>
        <w:wordWrap w:val="0"/>
        <w:overflowPunct/>
        <w:topLinePunct w:val="0"/>
        <w:bidi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20.3.2 争议评审小组的决定</w:t>
      </w:r>
    </w:p>
    <w:p w14:paraId="47A27949">
      <w:pPr>
        <w:pageBreakBefore w:val="0"/>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E453181">
      <w:pPr>
        <w:pageBreakBefore w:val="0"/>
        <w:kinsoku/>
        <w:wordWrap w:val="0"/>
        <w:overflowPunct/>
        <w:topLinePunct w:val="0"/>
        <w:bidi w:val="0"/>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20.4仲裁或诉讼</w:t>
      </w:r>
    </w:p>
    <w:p w14:paraId="3CF4644D">
      <w:pPr>
        <w:pageBreakBefore w:val="0"/>
        <w:kinsoku/>
        <w:wordWrap w:val="0"/>
        <w:overflowPunct/>
        <w:topLinePunct w:val="0"/>
        <w:bidi w:val="0"/>
        <w:spacing w:after="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01DEF2CF">
      <w:pPr>
        <w:pageBreakBefore w:val="0"/>
        <w:numPr>
          <w:ilvl w:val="0"/>
          <w:numId w:val="12"/>
        </w:numPr>
        <w:kinsoku/>
        <w:wordWrap w:val="0"/>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170695E8">
      <w:pPr>
        <w:pageBreakBefore w:val="0"/>
        <w:numPr>
          <w:ilvl w:val="0"/>
          <w:numId w:val="12"/>
        </w:numPr>
        <w:kinsoku/>
        <w:wordWrap w:val="0"/>
        <w:overflowPunct/>
        <w:topLinePunct w:val="0"/>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477BAF9C">
      <w:pPr>
        <w:pageBreakBefore w:val="0"/>
        <w:kinsoku/>
        <w:wordWrap w:val="0"/>
        <w:overflowPunct/>
        <w:topLinePunct w:val="0"/>
        <w:bidi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21. 补充合同条款</w:t>
      </w:r>
    </w:p>
    <w:p w14:paraId="39579914">
      <w:pPr>
        <w:pageBreakBefore w:val="0"/>
        <w:kinsoku/>
        <w:wordWrap w:val="0"/>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 承包人负责相关安全措施（ 包含自身的人身、 财产及周边的设施及人身安 全），按规定办理相应的各种保险并承担相应费用。</w:t>
      </w:r>
    </w:p>
    <w:p w14:paraId="5E41B63A">
      <w:pPr>
        <w:pageBreakBefore w:val="0"/>
        <w:kinsoku/>
        <w:wordWrap w:val="0"/>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 在施工过程中，因建材的供应、人工的使用等原因引起的地方关系纠纷，由承</w:t>
      </w:r>
    </w:p>
    <w:p w14:paraId="25D4E05A">
      <w:pPr>
        <w:pageBreakBefore w:val="0"/>
        <w:kinsoku/>
        <w:wordWrap w:val="0"/>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包人协调解决。</w:t>
      </w:r>
    </w:p>
    <w:p w14:paraId="54E92B11">
      <w:pPr>
        <w:pageBreakBefore w:val="0"/>
        <w:kinsoku/>
        <w:wordWrap w:val="0"/>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 与相邻施工单位交叉施工时严格服从甲方组织安排，无偿提供配合，积极配合 甲方开展工作。</w:t>
      </w:r>
    </w:p>
    <w:p w14:paraId="111F08C6">
      <w:pPr>
        <w:pageBreakBefore w:val="0"/>
        <w:kinsoku/>
        <w:wordWrap w:val="0"/>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21.4 乙方负责协调周边关系，甲方配合。</w:t>
      </w:r>
    </w:p>
    <w:p w14:paraId="4FD193A9">
      <w:pPr>
        <w:pageBreakBefore w:val="0"/>
        <w:kinsoku/>
        <w:wordWrap w:val="0"/>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21.5 乙方保证按照甲方要求进行安全文明施工，做到工完场清；承诺施工产生的垃 圾清运至发包人指定地点不另外计取费用。</w:t>
      </w:r>
    </w:p>
    <w:p w14:paraId="66BD22A1">
      <w:pPr>
        <w:pageBreakBefore w:val="0"/>
        <w:kinsoku/>
        <w:wordWrap w:val="0"/>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21.6 在工程交工后乙方定期的回访保修确保甲方满意。</w:t>
      </w:r>
    </w:p>
    <w:p w14:paraId="3037F19D">
      <w:pPr>
        <w:pageBreakBefore w:val="0"/>
        <w:kinsoku/>
        <w:wordWrap w:val="0"/>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21.7 保证按正常施工进度连续施工至竣工验收。</w:t>
      </w:r>
    </w:p>
    <w:p w14:paraId="07334A5D">
      <w:pPr>
        <w:pageBreakBefore w:val="0"/>
        <w:kinsoku/>
        <w:wordWrap w:val="0"/>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21.8 在工程施工过程中，乙方保证决不拖欠农民工工资。</w:t>
      </w:r>
    </w:p>
    <w:p w14:paraId="0761A689">
      <w:pPr>
        <w:pageBreakBefore w:val="0"/>
        <w:kinsoku/>
        <w:wordWrap w:val="0"/>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21.9 乙方要服从甲方现场协调指挥。</w:t>
      </w:r>
    </w:p>
    <w:p w14:paraId="769659D4">
      <w:pPr>
        <w:pageBreakBefore w:val="0"/>
        <w:kinsoku/>
        <w:wordWrap w:val="0"/>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21.10 对于主材甲方有权认质认价，对于不符合甲方要求的甲方有权要求乙方更换。</w:t>
      </w:r>
    </w:p>
    <w:p w14:paraId="26A4A094">
      <w:pPr>
        <w:pageBreakBefore w:val="0"/>
        <w:kinsoku/>
        <w:wordWrap w:val="0"/>
        <w:overflowPunct/>
        <w:topLinePunct w:val="0"/>
        <w:bidi w:val="0"/>
        <w:spacing w:line="360" w:lineRule="auto"/>
        <w:ind w:firstLine="480" w:firstLineChars="200"/>
        <w:rPr>
          <w:rFonts w:hint="eastAsia" w:ascii="宋体" w:hAnsi="宋体" w:eastAsia="宋体" w:cs="宋体"/>
          <w:color w:val="000000"/>
          <w:kern w:val="36"/>
          <w:sz w:val="36"/>
          <w:szCs w:val="36"/>
          <w:highlight w:val="none"/>
          <w:lang w:val="zh-CN"/>
        </w:rPr>
      </w:pPr>
      <w:r>
        <w:rPr>
          <w:rFonts w:hint="eastAsia" w:ascii="宋体" w:hAnsi="宋体" w:eastAsia="宋体" w:cs="宋体"/>
          <w:sz w:val="24"/>
          <w:szCs w:val="24"/>
          <w:lang w:val="en-US" w:eastAsia="zh-CN"/>
        </w:rPr>
        <w:t xml:space="preserve">21.11 </w:t>
      </w:r>
      <w:r>
        <w:rPr>
          <w:rFonts w:hint="eastAsia" w:ascii="宋体" w:hAnsi="宋体" w:eastAsia="宋体" w:cs="宋体"/>
          <w:sz w:val="24"/>
          <w:szCs w:val="24"/>
        </w:rPr>
        <w:t>承包人与发包人签订合同前应向发包人递交工程造价 10%作为农民工工资保证 金，待项目竣工结算后退还。</w:t>
      </w:r>
    </w:p>
    <w:p w14:paraId="16F3CA9A">
      <w:pPr>
        <w:pStyle w:val="7"/>
        <w:pageBreakBefore w:val="0"/>
        <w:kinsoku/>
        <w:wordWrap w:val="0"/>
        <w:overflowPunct/>
        <w:topLinePunct w:val="0"/>
        <w:bidi w:val="0"/>
        <w:spacing w:line="600" w:lineRule="exact"/>
        <w:ind w:left="882" w:hanging="482"/>
        <w:jc w:val="center"/>
        <w:sectPr>
          <w:footerReference r:id="rId11" w:type="default"/>
          <w:pgSz w:w="11906" w:h="16838"/>
          <w:pgMar w:top="1135" w:right="1196" w:bottom="1135" w:left="1418" w:header="720" w:footer="720" w:gutter="0"/>
          <w:pgNumType w:fmt="decimal"/>
          <w:cols w:space="720" w:num="1"/>
          <w:docGrid w:type="lines" w:linePitch="312" w:charSpace="0"/>
        </w:sectPr>
      </w:pPr>
    </w:p>
    <w:p w14:paraId="5CB7EEBD">
      <w:pPr>
        <w:pageBreakBefore w:val="0"/>
        <w:kinsoku/>
        <w:wordWrap w:val="0"/>
        <w:overflowPunct/>
        <w:topLinePunct w:val="0"/>
        <w:bidi w:val="0"/>
        <w:spacing w:line="600" w:lineRule="exact"/>
        <w:jc w:val="both"/>
        <w:outlineLvl w:val="0"/>
        <w:rPr>
          <w:rFonts w:hint="eastAsia" w:ascii="黑体" w:cs="宋体"/>
          <w:bCs/>
          <w:kern w:val="2"/>
          <w:sz w:val="24"/>
          <w:szCs w:val="24"/>
        </w:rPr>
      </w:pPr>
      <w:bookmarkStart w:id="361" w:name="_Toc461977428"/>
      <w:bookmarkEnd w:id="361"/>
      <w:bookmarkStart w:id="362" w:name="_Toc12980"/>
      <w:bookmarkStart w:id="363" w:name="_Toc8269"/>
    </w:p>
    <w:p w14:paraId="324C3042">
      <w:pPr>
        <w:pageBreakBefore w:val="0"/>
        <w:kinsoku/>
        <w:wordWrap w:val="0"/>
        <w:overflowPunct/>
        <w:topLinePunct w:val="0"/>
        <w:bidi w:val="0"/>
        <w:spacing w:line="600" w:lineRule="exact"/>
        <w:jc w:val="center"/>
        <w:outlineLvl w:val="0"/>
        <w:rPr>
          <w:rFonts w:hint="eastAsia" w:ascii="宋体" w:hAnsi="宋体" w:eastAsia="宋体" w:cs="宋体"/>
          <w:bCs/>
          <w:kern w:val="2"/>
          <w:sz w:val="30"/>
          <w:szCs w:val="30"/>
          <w:lang w:eastAsia="zh-CN"/>
        </w:rPr>
      </w:pPr>
      <w:r>
        <w:rPr>
          <w:rFonts w:hint="eastAsia" w:ascii="宋体" w:hAnsi="宋体" w:cs="宋体"/>
          <w:bCs/>
          <w:kern w:val="2"/>
          <w:sz w:val="30"/>
          <w:szCs w:val="30"/>
        </w:rPr>
        <w:t>第</w:t>
      </w:r>
      <w:r>
        <w:rPr>
          <w:rFonts w:hint="eastAsia" w:ascii="宋体" w:hAnsi="宋体" w:cs="宋体"/>
          <w:bCs/>
          <w:kern w:val="2"/>
          <w:sz w:val="30"/>
          <w:szCs w:val="30"/>
          <w:lang w:eastAsia="zh-CN"/>
        </w:rPr>
        <w:t>五</w:t>
      </w:r>
      <w:r>
        <w:rPr>
          <w:rFonts w:hint="eastAsia" w:ascii="宋体" w:hAnsi="宋体" w:cs="宋体"/>
          <w:bCs/>
          <w:kern w:val="2"/>
          <w:sz w:val="30"/>
          <w:szCs w:val="30"/>
        </w:rPr>
        <w:t>章   工程量清单</w:t>
      </w:r>
      <w:r>
        <w:rPr>
          <w:rFonts w:hint="eastAsia" w:ascii="宋体" w:hAnsi="宋体" w:cs="宋体"/>
          <w:bCs/>
          <w:kern w:val="2"/>
          <w:sz w:val="30"/>
          <w:szCs w:val="30"/>
          <w:lang w:eastAsia="zh-CN"/>
        </w:rPr>
        <w:t>及图纸</w:t>
      </w:r>
    </w:p>
    <w:p w14:paraId="7D6625E2">
      <w:pPr>
        <w:pStyle w:val="39"/>
        <w:pageBreakBefore w:val="0"/>
        <w:kinsoku/>
        <w:wordWrap w:val="0"/>
        <w:overflowPunct/>
        <w:topLinePunct w:val="0"/>
        <w:bidi w:val="0"/>
        <w:spacing w:line="480" w:lineRule="exact"/>
        <w:ind w:firstLine="48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在附件中</w:t>
      </w:r>
      <w:r>
        <w:rPr>
          <w:rFonts w:hint="eastAsia" w:ascii="宋体" w:hAnsi="宋体" w:eastAsia="宋体" w:cs="宋体"/>
          <w:b/>
          <w:bCs/>
          <w:color w:val="auto"/>
          <w:sz w:val="24"/>
          <w:szCs w:val="24"/>
          <w:lang w:val="en-US" w:eastAsia="zh-CN"/>
        </w:rPr>
        <w:t>自行下载</w:t>
      </w:r>
      <w:r>
        <w:rPr>
          <w:rFonts w:hint="eastAsia" w:ascii="宋体" w:hAnsi="宋体" w:eastAsia="宋体" w:cs="宋体"/>
          <w:b/>
          <w:bCs/>
          <w:color w:val="auto"/>
          <w:sz w:val="24"/>
          <w:szCs w:val="24"/>
        </w:rPr>
        <w:t>）</w:t>
      </w:r>
    </w:p>
    <w:p w14:paraId="4238FFFC">
      <w:pPr>
        <w:pageBreakBefore w:val="0"/>
        <w:widowControl w:val="0"/>
        <w:kinsoku/>
        <w:wordWrap w:val="0"/>
        <w:overflowPunct/>
        <w:topLinePunct w:val="0"/>
        <w:autoSpaceDE w:val="0"/>
        <w:autoSpaceDN w:val="0"/>
        <w:bidi w:val="0"/>
        <w:adjustRightInd w:val="0"/>
        <w:spacing w:line="600" w:lineRule="exact"/>
        <w:ind w:right="-58" w:firstLine="464" w:firstLineChars="200"/>
        <w:jc w:val="both"/>
        <w:rPr>
          <w:rFonts w:ascii="宋体" w:hAnsi="宋体" w:cs="宋体"/>
          <w:color w:val="C00000"/>
          <w:spacing w:val="-4"/>
          <w:sz w:val="24"/>
          <w:szCs w:val="24"/>
        </w:rPr>
      </w:pPr>
    </w:p>
    <w:p w14:paraId="79406500">
      <w:pPr>
        <w:pStyle w:val="4"/>
        <w:pageBreakBefore w:val="0"/>
        <w:kinsoku/>
        <w:wordWrap w:val="0"/>
        <w:overflowPunct/>
        <w:topLinePunct w:val="0"/>
        <w:bidi w:val="0"/>
        <w:spacing w:after="0" w:line="600" w:lineRule="exact"/>
        <w:rPr>
          <w:rFonts w:ascii="黑体" w:cs="宋体"/>
          <w:bCs/>
          <w:sz w:val="24"/>
        </w:rPr>
      </w:pPr>
    </w:p>
    <w:p w14:paraId="3255513A">
      <w:pPr>
        <w:pStyle w:val="4"/>
        <w:pageBreakBefore w:val="0"/>
        <w:kinsoku/>
        <w:wordWrap w:val="0"/>
        <w:overflowPunct/>
        <w:topLinePunct w:val="0"/>
        <w:bidi w:val="0"/>
        <w:spacing w:after="0" w:line="600" w:lineRule="exact"/>
        <w:rPr>
          <w:rFonts w:ascii="黑体" w:cs="宋体"/>
          <w:bCs/>
          <w:sz w:val="24"/>
        </w:rPr>
      </w:pPr>
    </w:p>
    <w:p w14:paraId="05D3A378">
      <w:pPr>
        <w:pStyle w:val="4"/>
        <w:pageBreakBefore w:val="0"/>
        <w:kinsoku/>
        <w:wordWrap w:val="0"/>
        <w:overflowPunct/>
        <w:topLinePunct w:val="0"/>
        <w:bidi w:val="0"/>
        <w:spacing w:after="0" w:line="600" w:lineRule="exact"/>
        <w:rPr>
          <w:rFonts w:ascii="黑体" w:cs="宋体"/>
          <w:bCs/>
          <w:sz w:val="24"/>
        </w:rPr>
      </w:pPr>
    </w:p>
    <w:p w14:paraId="036C115D">
      <w:pPr>
        <w:pStyle w:val="4"/>
        <w:pageBreakBefore w:val="0"/>
        <w:kinsoku/>
        <w:wordWrap w:val="0"/>
        <w:overflowPunct/>
        <w:topLinePunct w:val="0"/>
        <w:bidi w:val="0"/>
        <w:spacing w:after="0" w:line="600" w:lineRule="exact"/>
        <w:rPr>
          <w:rFonts w:ascii="黑体" w:cs="宋体"/>
          <w:bCs/>
          <w:sz w:val="24"/>
        </w:rPr>
      </w:pPr>
    </w:p>
    <w:p w14:paraId="179437CA">
      <w:pPr>
        <w:pStyle w:val="4"/>
        <w:pageBreakBefore w:val="0"/>
        <w:kinsoku/>
        <w:wordWrap w:val="0"/>
        <w:overflowPunct/>
        <w:topLinePunct w:val="0"/>
        <w:bidi w:val="0"/>
        <w:spacing w:after="0" w:line="600" w:lineRule="exact"/>
        <w:rPr>
          <w:rFonts w:ascii="黑体" w:cs="宋体"/>
          <w:bCs/>
          <w:sz w:val="24"/>
        </w:rPr>
      </w:pPr>
    </w:p>
    <w:p w14:paraId="29CD9D20">
      <w:pPr>
        <w:pStyle w:val="4"/>
        <w:pageBreakBefore w:val="0"/>
        <w:kinsoku/>
        <w:wordWrap w:val="0"/>
        <w:overflowPunct/>
        <w:topLinePunct w:val="0"/>
        <w:bidi w:val="0"/>
        <w:spacing w:after="0" w:line="600" w:lineRule="exact"/>
        <w:rPr>
          <w:rFonts w:ascii="黑体" w:cs="宋体"/>
          <w:bCs/>
          <w:sz w:val="24"/>
        </w:rPr>
      </w:pPr>
    </w:p>
    <w:p w14:paraId="3E17D6D4">
      <w:pPr>
        <w:pStyle w:val="4"/>
        <w:pageBreakBefore w:val="0"/>
        <w:kinsoku/>
        <w:wordWrap w:val="0"/>
        <w:overflowPunct/>
        <w:topLinePunct w:val="0"/>
        <w:bidi w:val="0"/>
        <w:spacing w:after="0" w:line="600" w:lineRule="exact"/>
        <w:rPr>
          <w:rFonts w:ascii="黑体" w:cs="宋体"/>
          <w:bCs/>
          <w:sz w:val="24"/>
        </w:rPr>
      </w:pPr>
    </w:p>
    <w:p w14:paraId="3D62B1C9">
      <w:pPr>
        <w:pStyle w:val="4"/>
        <w:pageBreakBefore w:val="0"/>
        <w:kinsoku/>
        <w:wordWrap w:val="0"/>
        <w:overflowPunct/>
        <w:topLinePunct w:val="0"/>
        <w:bidi w:val="0"/>
        <w:spacing w:after="0" w:line="600" w:lineRule="exact"/>
        <w:rPr>
          <w:rFonts w:ascii="黑体" w:cs="宋体"/>
          <w:bCs/>
          <w:sz w:val="24"/>
        </w:rPr>
      </w:pPr>
    </w:p>
    <w:p w14:paraId="16A3D36A">
      <w:pPr>
        <w:pStyle w:val="4"/>
        <w:pageBreakBefore w:val="0"/>
        <w:kinsoku/>
        <w:wordWrap w:val="0"/>
        <w:overflowPunct/>
        <w:topLinePunct w:val="0"/>
        <w:bidi w:val="0"/>
        <w:spacing w:after="0" w:line="600" w:lineRule="exact"/>
        <w:rPr>
          <w:rFonts w:ascii="黑体" w:cs="宋体"/>
          <w:bCs/>
          <w:sz w:val="24"/>
        </w:rPr>
      </w:pPr>
    </w:p>
    <w:p w14:paraId="717A3A2A">
      <w:pPr>
        <w:pStyle w:val="4"/>
        <w:pageBreakBefore w:val="0"/>
        <w:kinsoku/>
        <w:wordWrap w:val="0"/>
        <w:overflowPunct/>
        <w:topLinePunct w:val="0"/>
        <w:bidi w:val="0"/>
        <w:spacing w:after="0" w:line="600" w:lineRule="exact"/>
        <w:rPr>
          <w:rFonts w:ascii="黑体" w:cs="宋体"/>
          <w:bCs/>
          <w:sz w:val="24"/>
        </w:rPr>
      </w:pPr>
    </w:p>
    <w:p w14:paraId="278FBE3B">
      <w:pPr>
        <w:pStyle w:val="4"/>
        <w:pageBreakBefore w:val="0"/>
        <w:kinsoku/>
        <w:wordWrap w:val="0"/>
        <w:overflowPunct/>
        <w:topLinePunct w:val="0"/>
        <w:bidi w:val="0"/>
        <w:spacing w:after="0" w:line="600" w:lineRule="exact"/>
        <w:rPr>
          <w:rFonts w:ascii="黑体" w:cs="宋体"/>
          <w:bCs/>
          <w:sz w:val="24"/>
        </w:rPr>
      </w:pPr>
    </w:p>
    <w:p w14:paraId="18EF9E2A">
      <w:pPr>
        <w:pStyle w:val="4"/>
        <w:pageBreakBefore w:val="0"/>
        <w:kinsoku/>
        <w:wordWrap w:val="0"/>
        <w:overflowPunct/>
        <w:topLinePunct w:val="0"/>
        <w:bidi w:val="0"/>
        <w:spacing w:after="0" w:line="600" w:lineRule="exact"/>
        <w:rPr>
          <w:rFonts w:ascii="黑体" w:cs="宋体"/>
          <w:bCs/>
          <w:sz w:val="24"/>
        </w:rPr>
      </w:pPr>
    </w:p>
    <w:p w14:paraId="03FEEC1C">
      <w:pPr>
        <w:pageBreakBefore w:val="0"/>
        <w:kinsoku/>
        <w:wordWrap w:val="0"/>
        <w:overflowPunct/>
        <w:topLinePunct w:val="0"/>
        <w:bidi w:val="0"/>
        <w:spacing w:line="600" w:lineRule="exact"/>
        <w:rPr>
          <w:rFonts w:ascii="黑体" w:cs="宋体"/>
          <w:bCs/>
          <w:kern w:val="2"/>
          <w:sz w:val="24"/>
          <w:szCs w:val="24"/>
        </w:rPr>
      </w:pPr>
    </w:p>
    <w:p w14:paraId="28F11A49">
      <w:pPr>
        <w:pStyle w:val="7"/>
        <w:pageBreakBefore w:val="0"/>
        <w:kinsoku/>
        <w:wordWrap w:val="0"/>
        <w:overflowPunct/>
        <w:topLinePunct w:val="0"/>
        <w:bidi w:val="0"/>
        <w:spacing w:line="600" w:lineRule="exact"/>
        <w:ind w:left="880" w:hanging="480"/>
        <w:rPr>
          <w:rFonts w:ascii="黑体" w:cs="宋体"/>
          <w:bCs/>
          <w:kern w:val="2"/>
          <w:sz w:val="24"/>
          <w:szCs w:val="24"/>
        </w:rPr>
      </w:pPr>
    </w:p>
    <w:p w14:paraId="5C6E5329">
      <w:pPr>
        <w:pageBreakBefore w:val="0"/>
        <w:kinsoku/>
        <w:wordWrap w:val="0"/>
        <w:overflowPunct/>
        <w:topLinePunct w:val="0"/>
        <w:bidi w:val="0"/>
        <w:rPr>
          <w:rFonts w:hint="eastAsia" w:ascii="黑体" w:cs="宋体"/>
          <w:bCs/>
          <w:kern w:val="2"/>
          <w:sz w:val="24"/>
          <w:szCs w:val="24"/>
        </w:rPr>
      </w:pPr>
    </w:p>
    <w:p w14:paraId="0AA803C4">
      <w:pPr>
        <w:pageBreakBefore w:val="0"/>
        <w:kinsoku/>
        <w:wordWrap w:val="0"/>
        <w:overflowPunct/>
        <w:topLinePunct w:val="0"/>
        <w:bidi w:val="0"/>
        <w:rPr>
          <w:rFonts w:hint="eastAsia" w:ascii="黑体" w:cs="宋体"/>
          <w:bCs/>
          <w:kern w:val="2"/>
          <w:sz w:val="24"/>
          <w:szCs w:val="24"/>
        </w:rPr>
      </w:pPr>
    </w:p>
    <w:p w14:paraId="673B2ED8">
      <w:pPr>
        <w:pageBreakBefore w:val="0"/>
        <w:kinsoku/>
        <w:wordWrap w:val="0"/>
        <w:overflowPunct/>
        <w:topLinePunct w:val="0"/>
        <w:bidi w:val="0"/>
        <w:rPr>
          <w:rFonts w:hint="eastAsia" w:ascii="黑体" w:cs="宋体"/>
          <w:bCs/>
          <w:kern w:val="2"/>
          <w:sz w:val="24"/>
          <w:szCs w:val="24"/>
        </w:rPr>
      </w:pPr>
    </w:p>
    <w:p w14:paraId="2C8A7598">
      <w:pPr>
        <w:pageBreakBefore w:val="0"/>
        <w:kinsoku/>
        <w:wordWrap w:val="0"/>
        <w:overflowPunct/>
        <w:topLinePunct w:val="0"/>
        <w:bidi w:val="0"/>
        <w:rPr>
          <w:rFonts w:hint="eastAsia" w:ascii="黑体" w:cs="宋体"/>
          <w:bCs/>
          <w:kern w:val="2"/>
          <w:sz w:val="24"/>
          <w:szCs w:val="24"/>
        </w:rPr>
      </w:pPr>
    </w:p>
    <w:p w14:paraId="5949B48A">
      <w:pPr>
        <w:pageBreakBefore w:val="0"/>
        <w:kinsoku/>
        <w:wordWrap w:val="0"/>
        <w:overflowPunct/>
        <w:topLinePunct w:val="0"/>
        <w:bidi w:val="0"/>
        <w:rPr>
          <w:rFonts w:hint="eastAsia" w:ascii="黑体" w:cs="宋体"/>
          <w:bCs/>
          <w:kern w:val="2"/>
          <w:sz w:val="24"/>
          <w:szCs w:val="24"/>
        </w:rPr>
      </w:pPr>
    </w:p>
    <w:p w14:paraId="5B34E872">
      <w:pPr>
        <w:pageBreakBefore w:val="0"/>
        <w:kinsoku/>
        <w:wordWrap w:val="0"/>
        <w:overflowPunct/>
        <w:topLinePunct w:val="0"/>
        <w:bidi w:val="0"/>
        <w:rPr>
          <w:rFonts w:hint="eastAsia" w:ascii="黑体" w:cs="宋体"/>
          <w:bCs/>
          <w:kern w:val="2"/>
          <w:sz w:val="24"/>
          <w:szCs w:val="24"/>
        </w:rPr>
      </w:pPr>
    </w:p>
    <w:p w14:paraId="6AA830E5">
      <w:pPr>
        <w:pageBreakBefore w:val="0"/>
        <w:kinsoku/>
        <w:wordWrap w:val="0"/>
        <w:overflowPunct/>
        <w:topLinePunct w:val="0"/>
        <w:bidi w:val="0"/>
        <w:rPr>
          <w:rFonts w:hint="eastAsia" w:ascii="黑体" w:cs="宋体"/>
          <w:bCs/>
          <w:kern w:val="2"/>
          <w:sz w:val="24"/>
          <w:szCs w:val="24"/>
        </w:rPr>
      </w:pPr>
    </w:p>
    <w:p w14:paraId="04D7226F">
      <w:pPr>
        <w:pageBreakBefore w:val="0"/>
        <w:kinsoku/>
        <w:wordWrap w:val="0"/>
        <w:overflowPunct/>
        <w:topLinePunct w:val="0"/>
        <w:bidi w:val="0"/>
        <w:rPr>
          <w:rFonts w:hint="eastAsia" w:ascii="黑体" w:cs="宋体"/>
          <w:bCs/>
          <w:kern w:val="2"/>
          <w:sz w:val="24"/>
          <w:szCs w:val="24"/>
        </w:rPr>
      </w:pPr>
    </w:p>
    <w:p w14:paraId="5F077CDA">
      <w:pPr>
        <w:pageBreakBefore w:val="0"/>
        <w:kinsoku/>
        <w:wordWrap w:val="0"/>
        <w:overflowPunct/>
        <w:topLinePunct w:val="0"/>
        <w:bidi w:val="0"/>
        <w:rPr>
          <w:rFonts w:hint="eastAsia" w:ascii="黑体" w:cs="宋体"/>
          <w:bCs/>
          <w:kern w:val="2"/>
          <w:sz w:val="24"/>
          <w:szCs w:val="24"/>
        </w:rPr>
      </w:pPr>
    </w:p>
    <w:p w14:paraId="1EDD5FE4">
      <w:pPr>
        <w:pageBreakBefore w:val="0"/>
        <w:kinsoku/>
        <w:wordWrap w:val="0"/>
        <w:overflowPunct/>
        <w:topLinePunct w:val="0"/>
        <w:bidi w:val="0"/>
        <w:rPr>
          <w:rFonts w:hint="eastAsia" w:ascii="黑体" w:cs="宋体"/>
          <w:bCs/>
          <w:kern w:val="2"/>
          <w:sz w:val="24"/>
          <w:szCs w:val="24"/>
        </w:rPr>
      </w:pPr>
    </w:p>
    <w:p w14:paraId="435E0E61">
      <w:pPr>
        <w:pageBreakBefore w:val="0"/>
        <w:kinsoku/>
        <w:wordWrap w:val="0"/>
        <w:overflowPunct/>
        <w:topLinePunct w:val="0"/>
        <w:bidi w:val="0"/>
        <w:rPr>
          <w:rFonts w:hint="eastAsia" w:ascii="黑体" w:cs="宋体"/>
          <w:bCs/>
          <w:kern w:val="2"/>
          <w:sz w:val="24"/>
          <w:szCs w:val="24"/>
        </w:rPr>
      </w:pPr>
    </w:p>
    <w:p w14:paraId="782F2E3E">
      <w:pPr>
        <w:pageBreakBefore w:val="0"/>
        <w:kinsoku/>
        <w:wordWrap w:val="0"/>
        <w:overflowPunct/>
        <w:topLinePunct w:val="0"/>
        <w:bidi w:val="0"/>
        <w:rPr>
          <w:rFonts w:ascii="黑体" w:cs="宋体"/>
          <w:bCs/>
          <w:kern w:val="2"/>
          <w:sz w:val="24"/>
          <w:szCs w:val="24"/>
        </w:rPr>
      </w:pPr>
      <w:r>
        <w:rPr>
          <w:rFonts w:hint="eastAsia" w:ascii="黑体" w:cs="宋体"/>
          <w:bCs/>
          <w:kern w:val="2"/>
          <w:sz w:val="24"/>
          <w:szCs w:val="24"/>
        </w:rPr>
        <w:br w:type="page"/>
      </w:r>
    </w:p>
    <w:p w14:paraId="7F3072BA">
      <w:pPr>
        <w:pageBreakBefore w:val="0"/>
        <w:kinsoku/>
        <w:wordWrap w:val="0"/>
        <w:overflowPunct/>
        <w:topLinePunct w:val="0"/>
        <w:bidi w:val="0"/>
        <w:spacing w:line="600" w:lineRule="exact"/>
        <w:jc w:val="both"/>
        <w:outlineLvl w:val="0"/>
        <w:rPr>
          <w:rFonts w:hint="eastAsia" w:ascii="黑体" w:cs="宋体"/>
          <w:bCs/>
          <w:kern w:val="2"/>
          <w:sz w:val="24"/>
          <w:szCs w:val="24"/>
        </w:rPr>
      </w:pPr>
    </w:p>
    <w:p w14:paraId="1B863209">
      <w:pPr>
        <w:pageBreakBefore w:val="0"/>
        <w:kinsoku/>
        <w:wordWrap w:val="0"/>
        <w:overflowPunct/>
        <w:topLinePunct w:val="0"/>
        <w:bidi w:val="0"/>
        <w:spacing w:line="600" w:lineRule="exact"/>
        <w:jc w:val="center"/>
        <w:outlineLvl w:val="0"/>
        <w:rPr>
          <w:rFonts w:hint="eastAsia" w:ascii="宋体" w:hAnsi="宋体" w:cs="宋体"/>
          <w:bCs/>
          <w:kern w:val="2"/>
          <w:sz w:val="30"/>
          <w:szCs w:val="30"/>
        </w:rPr>
      </w:pPr>
      <w:r>
        <w:rPr>
          <w:rFonts w:hint="eastAsia" w:ascii="宋体" w:hAnsi="宋体" w:cs="宋体"/>
          <w:bCs/>
          <w:kern w:val="2"/>
          <w:sz w:val="30"/>
          <w:szCs w:val="30"/>
        </w:rPr>
        <w:t>第六章  响应文件格式</w:t>
      </w:r>
      <w:bookmarkEnd w:id="362"/>
      <w:bookmarkEnd w:id="363"/>
    </w:p>
    <w:p w14:paraId="550B56AD">
      <w:pPr>
        <w:pageBreakBefore w:val="0"/>
        <w:widowControl w:val="0"/>
        <w:kinsoku/>
        <w:wordWrap w:val="0"/>
        <w:overflowPunct/>
        <w:topLinePunct w:val="0"/>
        <w:bidi w:val="0"/>
        <w:spacing w:line="600" w:lineRule="exact"/>
        <w:ind w:firstLine="952" w:firstLineChars="395"/>
        <w:jc w:val="center"/>
        <w:rPr>
          <w:rFonts w:ascii="宋体" w:hAnsi="宋体" w:cs="宋体"/>
          <w:b/>
          <w:kern w:val="2"/>
          <w:sz w:val="24"/>
          <w:szCs w:val="24"/>
          <w:u w:val="single"/>
        </w:rPr>
      </w:pPr>
    </w:p>
    <w:p w14:paraId="3F9852CB">
      <w:pPr>
        <w:pageBreakBefore w:val="0"/>
        <w:kinsoku/>
        <w:wordWrap w:val="0"/>
        <w:overflowPunct/>
        <w:topLinePunct w:val="0"/>
        <w:bidi w:val="0"/>
        <w:spacing w:line="360" w:lineRule="auto"/>
        <w:rPr>
          <w:rFonts w:cs="宋体" w:asciiTheme="minorEastAsia" w:hAnsiTheme="minorEastAsia" w:eastAsiaTheme="minorEastAsia"/>
          <w:sz w:val="24"/>
        </w:rPr>
      </w:pPr>
    </w:p>
    <w:p w14:paraId="19FDCD21">
      <w:pPr>
        <w:pageBreakBefore w:val="0"/>
        <w:kinsoku/>
        <w:wordWrap w:val="0"/>
        <w:overflowPunct/>
        <w:topLinePunct w:val="0"/>
        <w:bidi w:val="0"/>
        <w:spacing w:line="360" w:lineRule="auto"/>
        <w:rPr>
          <w:rFonts w:cs="宋体" w:asciiTheme="minorEastAsia" w:hAnsiTheme="minorEastAsia" w:eastAsiaTheme="minorEastAsia"/>
          <w:sz w:val="24"/>
          <w:u w:val="single"/>
        </w:rPr>
      </w:pPr>
    </w:p>
    <w:p w14:paraId="08A20CC1">
      <w:pPr>
        <w:pageBreakBefore w:val="0"/>
        <w:kinsoku/>
        <w:wordWrap w:val="0"/>
        <w:overflowPunct/>
        <w:topLinePunct w:val="0"/>
        <w:bidi w:val="0"/>
        <w:spacing w:line="360" w:lineRule="auto"/>
        <w:jc w:val="center"/>
        <w:outlineLvl w:val="0"/>
        <w:rPr>
          <w:rFonts w:cs="宋体" w:asciiTheme="minorEastAsia" w:hAnsiTheme="minorEastAsia" w:eastAsiaTheme="minorEastAsia"/>
          <w:sz w:val="44"/>
          <w:szCs w:val="44"/>
        </w:rPr>
      </w:pPr>
      <w:bookmarkStart w:id="364" w:name="_Toc24054"/>
      <w:bookmarkStart w:id="365" w:name="_Toc15366"/>
      <w:bookmarkStart w:id="366" w:name="_Toc14852"/>
      <w:bookmarkStart w:id="367" w:name="_Toc24314"/>
      <w:bookmarkStart w:id="368" w:name="_Toc28974"/>
      <w:r>
        <w:rPr>
          <w:rFonts w:hint="eastAsia" w:cs="宋体" w:asciiTheme="minorEastAsia" w:hAnsiTheme="minorEastAsia" w:eastAsiaTheme="minorEastAsia"/>
          <w:sz w:val="28"/>
          <w:szCs w:val="28"/>
          <w:u w:val="single"/>
        </w:rPr>
        <w:t>（项目名称）</w:t>
      </w:r>
      <w:bookmarkEnd w:id="364"/>
      <w:bookmarkEnd w:id="365"/>
      <w:bookmarkEnd w:id="366"/>
      <w:bookmarkEnd w:id="367"/>
      <w:bookmarkEnd w:id="368"/>
    </w:p>
    <w:p w14:paraId="236BFD67">
      <w:pPr>
        <w:pageBreakBefore w:val="0"/>
        <w:kinsoku/>
        <w:wordWrap w:val="0"/>
        <w:overflowPunct/>
        <w:topLinePunct w:val="0"/>
        <w:bidi w:val="0"/>
        <w:spacing w:line="360" w:lineRule="auto"/>
        <w:jc w:val="center"/>
        <w:outlineLvl w:val="0"/>
        <w:rPr>
          <w:rFonts w:cs="宋体" w:asciiTheme="minorEastAsia" w:hAnsiTheme="minorEastAsia" w:eastAsiaTheme="minorEastAsia"/>
          <w:sz w:val="44"/>
          <w:szCs w:val="44"/>
        </w:rPr>
      </w:pPr>
      <w:bookmarkStart w:id="369" w:name="_Toc26224"/>
      <w:bookmarkStart w:id="370" w:name="_Toc181"/>
      <w:bookmarkStart w:id="371" w:name="_Toc13495"/>
      <w:bookmarkStart w:id="372" w:name="_Toc26282"/>
      <w:bookmarkStart w:id="373" w:name="_Toc14209"/>
      <w:r>
        <w:rPr>
          <w:rFonts w:hint="eastAsia" w:cs="宋体" w:asciiTheme="minorEastAsia" w:hAnsiTheme="minorEastAsia" w:eastAsiaTheme="minorEastAsia"/>
          <w:sz w:val="44"/>
          <w:szCs w:val="44"/>
        </w:rPr>
        <w:t>响  应  文  件</w:t>
      </w:r>
      <w:bookmarkEnd w:id="369"/>
      <w:bookmarkEnd w:id="370"/>
      <w:bookmarkEnd w:id="371"/>
      <w:bookmarkEnd w:id="372"/>
      <w:bookmarkEnd w:id="373"/>
    </w:p>
    <w:p w14:paraId="2F3D200A">
      <w:pPr>
        <w:pageBreakBefore w:val="0"/>
        <w:kinsoku/>
        <w:wordWrap w:val="0"/>
        <w:overflowPunct/>
        <w:topLinePunct w:val="0"/>
        <w:bidi w:val="0"/>
        <w:spacing w:line="360" w:lineRule="auto"/>
        <w:ind w:firstLine="2760" w:firstLineChars="1150"/>
        <w:rPr>
          <w:rFonts w:cs="宋体" w:asciiTheme="minorEastAsia" w:hAnsiTheme="minorEastAsia" w:eastAsiaTheme="minorEastAsia"/>
          <w:sz w:val="24"/>
        </w:rPr>
      </w:pPr>
    </w:p>
    <w:p w14:paraId="378EBD6F">
      <w:pPr>
        <w:pageBreakBefore w:val="0"/>
        <w:kinsoku/>
        <w:wordWrap w:val="0"/>
        <w:overflowPunct/>
        <w:topLinePunct w:val="0"/>
        <w:bidi w:val="0"/>
        <w:spacing w:line="360" w:lineRule="auto"/>
        <w:ind w:firstLine="2760" w:firstLineChars="1150"/>
        <w:rPr>
          <w:rFonts w:cs="宋体" w:asciiTheme="minorEastAsia" w:hAnsiTheme="minorEastAsia" w:eastAsiaTheme="minorEastAsia"/>
          <w:sz w:val="24"/>
        </w:rPr>
      </w:pPr>
    </w:p>
    <w:p w14:paraId="580FE002">
      <w:pPr>
        <w:pageBreakBefore w:val="0"/>
        <w:kinsoku/>
        <w:wordWrap w:val="0"/>
        <w:overflowPunct/>
        <w:topLinePunct w:val="0"/>
        <w:bidi w:val="0"/>
        <w:spacing w:line="360" w:lineRule="auto"/>
        <w:ind w:firstLine="2760" w:firstLineChars="1150"/>
        <w:rPr>
          <w:rFonts w:cs="宋体" w:asciiTheme="minorEastAsia" w:hAnsiTheme="minorEastAsia" w:eastAsiaTheme="minorEastAsia"/>
          <w:sz w:val="24"/>
        </w:rPr>
      </w:pPr>
    </w:p>
    <w:p w14:paraId="172B9963">
      <w:pPr>
        <w:pageBreakBefore w:val="0"/>
        <w:kinsoku/>
        <w:wordWrap w:val="0"/>
        <w:overflowPunct/>
        <w:topLinePunct w:val="0"/>
        <w:bidi w:val="0"/>
        <w:spacing w:line="360" w:lineRule="auto"/>
        <w:ind w:firstLine="2760" w:firstLineChars="1150"/>
        <w:rPr>
          <w:rFonts w:cs="宋体" w:asciiTheme="minorEastAsia" w:hAnsiTheme="minorEastAsia" w:eastAsiaTheme="minorEastAsia"/>
          <w:sz w:val="24"/>
        </w:rPr>
      </w:pPr>
      <w:r>
        <w:rPr>
          <w:rFonts w:hint="eastAsia" w:cs="宋体" w:asciiTheme="minorEastAsia" w:hAnsiTheme="minorEastAsia" w:eastAsiaTheme="minorEastAsia"/>
          <w:sz w:val="24"/>
        </w:rPr>
        <w:t xml:space="preserve">项目编号： </w:t>
      </w:r>
    </w:p>
    <w:p w14:paraId="3ECDE8DF">
      <w:pPr>
        <w:pageBreakBefore w:val="0"/>
        <w:kinsoku/>
        <w:wordWrap w:val="0"/>
        <w:overflowPunct/>
        <w:topLinePunct w:val="0"/>
        <w:bidi w:val="0"/>
        <w:spacing w:line="360" w:lineRule="auto"/>
        <w:jc w:val="center"/>
        <w:rPr>
          <w:rFonts w:cs="宋体" w:asciiTheme="minorEastAsia" w:hAnsiTheme="minorEastAsia" w:eastAsiaTheme="minorEastAsia"/>
          <w:sz w:val="24"/>
        </w:rPr>
      </w:pPr>
    </w:p>
    <w:p w14:paraId="5F05CE4E">
      <w:pPr>
        <w:pageBreakBefore w:val="0"/>
        <w:kinsoku/>
        <w:wordWrap w:val="0"/>
        <w:overflowPunct/>
        <w:topLinePunct w:val="0"/>
        <w:bidi w:val="0"/>
        <w:spacing w:line="360" w:lineRule="auto"/>
        <w:jc w:val="center"/>
        <w:rPr>
          <w:rFonts w:cs="宋体" w:asciiTheme="minorEastAsia" w:hAnsiTheme="minorEastAsia" w:eastAsiaTheme="minorEastAsia"/>
          <w:sz w:val="24"/>
        </w:rPr>
      </w:pPr>
    </w:p>
    <w:p w14:paraId="5D856B07">
      <w:pPr>
        <w:pageBreakBefore w:val="0"/>
        <w:kinsoku/>
        <w:wordWrap w:val="0"/>
        <w:overflowPunct/>
        <w:topLinePunct w:val="0"/>
        <w:bidi w:val="0"/>
        <w:spacing w:line="360" w:lineRule="auto"/>
        <w:jc w:val="center"/>
        <w:rPr>
          <w:rFonts w:cs="宋体" w:asciiTheme="minorEastAsia" w:hAnsiTheme="minorEastAsia" w:eastAsiaTheme="minorEastAsia"/>
          <w:sz w:val="24"/>
        </w:rPr>
      </w:pPr>
    </w:p>
    <w:p w14:paraId="7AEBC2A3">
      <w:pPr>
        <w:pageBreakBefore w:val="0"/>
        <w:kinsoku/>
        <w:wordWrap w:val="0"/>
        <w:overflowPunct/>
        <w:topLinePunct w:val="0"/>
        <w:bidi w:val="0"/>
        <w:spacing w:line="360" w:lineRule="auto"/>
        <w:jc w:val="center"/>
        <w:rPr>
          <w:rFonts w:cs="宋体" w:asciiTheme="minorEastAsia" w:hAnsiTheme="minorEastAsia" w:eastAsiaTheme="minorEastAsia"/>
          <w:sz w:val="24"/>
        </w:rPr>
      </w:pPr>
    </w:p>
    <w:p w14:paraId="467193EC">
      <w:pPr>
        <w:pageBreakBefore w:val="0"/>
        <w:kinsoku/>
        <w:wordWrap w:val="0"/>
        <w:overflowPunct/>
        <w:topLinePunct w:val="0"/>
        <w:bidi w:val="0"/>
        <w:spacing w:line="360" w:lineRule="auto"/>
        <w:rPr>
          <w:rFonts w:cs="宋体" w:asciiTheme="minorEastAsia" w:hAnsiTheme="minorEastAsia" w:eastAsiaTheme="minorEastAsia"/>
          <w:sz w:val="24"/>
        </w:rPr>
      </w:pPr>
    </w:p>
    <w:p w14:paraId="29B90DB9">
      <w:pPr>
        <w:pStyle w:val="15"/>
        <w:pageBreakBefore w:val="0"/>
        <w:kinsoku/>
        <w:wordWrap w:val="0"/>
        <w:overflowPunct/>
        <w:topLinePunct w:val="0"/>
        <w:bidi w:val="0"/>
        <w:ind w:firstLine="240"/>
        <w:rPr>
          <w:rFonts w:cs="宋体" w:asciiTheme="minorEastAsia" w:hAnsiTheme="minorEastAsia" w:eastAsiaTheme="minorEastAsia"/>
          <w:sz w:val="24"/>
        </w:rPr>
      </w:pPr>
    </w:p>
    <w:p w14:paraId="6B069561">
      <w:pPr>
        <w:pStyle w:val="15"/>
        <w:pageBreakBefore w:val="0"/>
        <w:kinsoku/>
        <w:wordWrap w:val="0"/>
        <w:overflowPunct/>
        <w:topLinePunct w:val="0"/>
        <w:bidi w:val="0"/>
        <w:ind w:firstLine="240"/>
        <w:rPr>
          <w:rFonts w:cs="宋体" w:asciiTheme="minorEastAsia" w:hAnsiTheme="minorEastAsia" w:eastAsiaTheme="minorEastAsia"/>
          <w:sz w:val="24"/>
        </w:rPr>
      </w:pPr>
    </w:p>
    <w:p w14:paraId="2B59394A">
      <w:pPr>
        <w:pageBreakBefore w:val="0"/>
        <w:kinsoku/>
        <w:wordWrap w:val="0"/>
        <w:overflowPunct/>
        <w:topLinePunct w:val="0"/>
        <w:bidi w:val="0"/>
        <w:spacing w:line="360" w:lineRule="auto"/>
        <w:jc w:val="center"/>
        <w:rPr>
          <w:rFonts w:cs="宋体" w:asciiTheme="minorEastAsia" w:hAnsiTheme="minorEastAsia" w:eastAsiaTheme="minorEastAsia"/>
          <w:sz w:val="24"/>
        </w:rPr>
      </w:pPr>
    </w:p>
    <w:p w14:paraId="35A63DA7">
      <w:pPr>
        <w:pageBreakBefore w:val="0"/>
        <w:kinsoku/>
        <w:wordWrap w:val="0"/>
        <w:overflowPunct/>
        <w:topLinePunct w:val="0"/>
        <w:bidi w:val="0"/>
        <w:spacing w:line="360" w:lineRule="auto"/>
        <w:jc w:val="center"/>
        <w:rPr>
          <w:rFonts w:cs="宋体" w:asciiTheme="minorEastAsia" w:hAnsiTheme="minorEastAsia" w:eastAsiaTheme="minorEastAsia"/>
          <w:sz w:val="24"/>
        </w:rPr>
      </w:pPr>
    </w:p>
    <w:p w14:paraId="28A4FC45">
      <w:pPr>
        <w:pageBreakBefore w:val="0"/>
        <w:kinsoku/>
        <w:wordWrap w:val="0"/>
        <w:overflowPunct/>
        <w:topLinePunct w:val="0"/>
        <w:bidi w:val="0"/>
        <w:spacing w:line="360" w:lineRule="auto"/>
        <w:jc w:val="center"/>
        <w:outlineLvl w:val="0"/>
        <w:rPr>
          <w:rFonts w:cs="宋体" w:asciiTheme="minorEastAsia" w:hAnsiTheme="minorEastAsia" w:eastAsiaTheme="minorEastAsia"/>
          <w:sz w:val="24"/>
        </w:rPr>
      </w:pPr>
      <w:bookmarkStart w:id="374" w:name="_Toc3755"/>
      <w:bookmarkStart w:id="375" w:name="_Toc7649"/>
      <w:bookmarkStart w:id="376" w:name="_Toc13542"/>
      <w:bookmarkStart w:id="377" w:name="_Toc16543"/>
      <w:bookmarkStart w:id="378" w:name="_Toc26563"/>
      <w:r>
        <w:rPr>
          <w:rFonts w:hint="eastAsia" w:cs="宋体" w:asciiTheme="minorEastAsia" w:hAnsiTheme="minorEastAsia" w:eastAsiaTheme="minorEastAsia"/>
          <w:sz w:val="24"/>
        </w:rPr>
        <w:t>响应人：（盖章）</w:t>
      </w:r>
      <w:bookmarkEnd w:id="374"/>
      <w:bookmarkEnd w:id="375"/>
      <w:bookmarkEnd w:id="376"/>
      <w:bookmarkEnd w:id="377"/>
      <w:bookmarkEnd w:id="378"/>
    </w:p>
    <w:p w14:paraId="7A1F1983">
      <w:pPr>
        <w:pageBreakBefore w:val="0"/>
        <w:kinsoku/>
        <w:wordWrap w:val="0"/>
        <w:overflowPunct/>
        <w:topLinePunct w:val="0"/>
        <w:bidi w:val="0"/>
        <w:spacing w:line="360" w:lineRule="auto"/>
        <w:jc w:val="center"/>
        <w:outlineLvl w:val="0"/>
        <w:rPr>
          <w:rFonts w:cs="宋体" w:asciiTheme="minorEastAsia" w:hAnsiTheme="minorEastAsia" w:eastAsiaTheme="minorEastAsia"/>
          <w:sz w:val="24"/>
          <w:u w:val="single"/>
        </w:rPr>
      </w:pPr>
      <w:bookmarkStart w:id="379" w:name="_Toc273"/>
      <w:bookmarkStart w:id="380" w:name="_Toc16729"/>
      <w:bookmarkStart w:id="381" w:name="_Toc22710"/>
      <w:bookmarkStart w:id="382" w:name="_Toc24251"/>
      <w:bookmarkStart w:id="383" w:name="_Toc15935"/>
      <w:r>
        <w:rPr>
          <w:rFonts w:hint="eastAsia" w:cs="宋体" w:asciiTheme="minorEastAsia" w:hAnsiTheme="minorEastAsia" w:eastAsiaTheme="minorEastAsia"/>
          <w:sz w:val="24"/>
        </w:rPr>
        <w:t>法定代表人：（电子签章）</w:t>
      </w:r>
      <w:bookmarkEnd w:id="379"/>
      <w:bookmarkEnd w:id="380"/>
      <w:bookmarkEnd w:id="381"/>
      <w:bookmarkEnd w:id="382"/>
      <w:bookmarkEnd w:id="383"/>
    </w:p>
    <w:p w14:paraId="2A0CFAA9">
      <w:pPr>
        <w:pageBreakBefore w:val="0"/>
        <w:kinsoku/>
        <w:wordWrap w:val="0"/>
        <w:overflowPunct/>
        <w:topLinePunct w:val="0"/>
        <w:bidi w:val="0"/>
        <w:spacing w:line="360" w:lineRule="auto"/>
        <w:jc w:val="center"/>
        <w:outlineLvl w:val="0"/>
        <w:rPr>
          <w:rFonts w:cs="宋体" w:asciiTheme="minorEastAsia" w:hAnsiTheme="minorEastAsia" w:eastAsiaTheme="minorEastAsia"/>
          <w:sz w:val="24"/>
        </w:rPr>
      </w:pPr>
      <w:bookmarkStart w:id="384" w:name="_Toc24718"/>
      <w:bookmarkStart w:id="385" w:name="_Toc11028"/>
      <w:bookmarkStart w:id="386" w:name="_Toc6022"/>
      <w:bookmarkStart w:id="387" w:name="_Toc22871"/>
      <w:bookmarkStart w:id="388" w:name="_Toc8692"/>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日</w:t>
      </w:r>
      <w:bookmarkEnd w:id="384"/>
      <w:bookmarkEnd w:id="385"/>
      <w:bookmarkEnd w:id="386"/>
      <w:bookmarkEnd w:id="387"/>
      <w:bookmarkEnd w:id="388"/>
    </w:p>
    <w:p w14:paraId="68B044A8">
      <w:pPr>
        <w:pageBreakBefore w:val="0"/>
        <w:kinsoku/>
        <w:wordWrap w:val="0"/>
        <w:overflowPunct/>
        <w:topLinePunct w:val="0"/>
        <w:bidi w:val="0"/>
        <w:spacing w:line="360" w:lineRule="auto"/>
        <w:ind w:left="4200"/>
        <w:rPr>
          <w:rFonts w:cs="宋体" w:asciiTheme="minorEastAsia" w:hAnsiTheme="minorEastAsia" w:eastAsiaTheme="minorEastAsia"/>
          <w:b/>
          <w:bCs/>
          <w:sz w:val="30"/>
          <w:szCs w:val="30"/>
        </w:rPr>
      </w:pPr>
    </w:p>
    <w:p w14:paraId="2E412F2C">
      <w:pPr>
        <w:pageBreakBefore w:val="0"/>
        <w:kinsoku/>
        <w:wordWrap w:val="0"/>
        <w:overflowPunct/>
        <w:topLinePunct w:val="0"/>
        <w:bidi w:val="0"/>
        <w:spacing w:line="520" w:lineRule="exact"/>
        <w:ind w:firstLine="240" w:firstLineChars="100"/>
        <w:textAlignment w:val="center"/>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5F05170E">
      <w:pPr>
        <w:pageBreakBefore w:val="0"/>
        <w:kinsoku/>
        <w:wordWrap w:val="0"/>
        <w:overflowPunct/>
        <w:topLinePunct w:val="0"/>
        <w:bidi w:val="0"/>
        <w:spacing w:line="0" w:lineRule="atLeast"/>
        <w:ind w:left="420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 xml:space="preserve">目   </w:t>
      </w:r>
      <w:r>
        <w:rPr>
          <w:rFonts w:hint="eastAsia" w:cs="宋体" w:asciiTheme="minorEastAsia" w:hAnsiTheme="minorEastAsia" w:eastAsiaTheme="minorEastAsia"/>
          <w:b/>
          <w:bCs/>
          <w:sz w:val="30"/>
          <w:szCs w:val="30"/>
        </w:rPr>
        <w:tab/>
      </w:r>
      <w:r>
        <w:rPr>
          <w:rFonts w:hint="eastAsia" w:cs="宋体" w:asciiTheme="minorEastAsia" w:hAnsiTheme="minorEastAsia" w:eastAsiaTheme="minorEastAsia"/>
          <w:b/>
          <w:bCs/>
          <w:sz w:val="30"/>
          <w:szCs w:val="30"/>
        </w:rPr>
        <w:t>录</w:t>
      </w:r>
    </w:p>
    <w:p w14:paraId="36904BBB">
      <w:pPr>
        <w:pageBreakBefore w:val="0"/>
        <w:kinsoku/>
        <w:wordWrap w:val="0"/>
        <w:overflowPunct/>
        <w:topLinePunct w:val="0"/>
        <w:bidi w:val="0"/>
        <w:spacing w:line="520" w:lineRule="exact"/>
        <w:ind w:firstLine="240" w:firstLineChars="100"/>
        <w:textAlignment w:val="center"/>
        <w:rPr>
          <w:rFonts w:asciiTheme="minorEastAsia" w:hAnsiTheme="minorEastAsia" w:eastAsiaTheme="minorEastAsia"/>
          <w:sz w:val="24"/>
          <w:szCs w:val="24"/>
        </w:rPr>
      </w:pPr>
    </w:p>
    <w:p w14:paraId="1F6056EE">
      <w:pPr>
        <w:pageBreakBefore w:val="0"/>
        <w:kinsoku/>
        <w:wordWrap w:val="0"/>
        <w:overflowPunct/>
        <w:topLinePunct w:val="0"/>
        <w:bidi w:val="0"/>
        <w:spacing w:line="520" w:lineRule="exact"/>
        <w:ind w:firstLine="480" w:firstLineChars="200"/>
        <w:textAlignment w:val="center"/>
        <w:outlineLvl w:val="0"/>
        <w:rPr>
          <w:rFonts w:cs="宋体" w:asciiTheme="minorEastAsia" w:hAnsiTheme="minorEastAsia" w:eastAsiaTheme="minorEastAsia"/>
          <w:sz w:val="24"/>
        </w:rPr>
      </w:pPr>
      <w:bookmarkStart w:id="389" w:name="_Toc6370"/>
      <w:bookmarkStart w:id="390" w:name="_Toc28965"/>
      <w:bookmarkStart w:id="391" w:name="_Toc4573"/>
      <w:bookmarkStart w:id="392" w:name="_Toc27724"/>
      <w:bookmarkStart w:id="393" w:name="_Toc28972"/>
      <w:r>
        <w:rPr>
          <w:rFonts w:hint="eastAsia" w:cs="宋体" w:asciiTheme="minorEastAsia" w:hAnsiTheme="minorEastAsia" w:eastAsiaTheme="minorEastAsia"/>
          <w:sz w:val="24"/>
        </w:rPr>
        <w:t>一、磋商函及磋商函附录</w:t>
      </w:r>
      <w:bookmarkEnd w:id="389"/>
      <w:bookmarkEnd w:id="390"/>
      <w:bookmarkEnd w:id="391"/>
      <w:bookmarkEnd w:id="392"/>
      <w:bookmarkEnd w:id="393"/>
    </w:p>
    <w:p w14:paraId="12D4BFBB">
      <w:pPr>
        <w:pageBreakBefore w:val="0"/>
        <w:kinsoku/>
        <w:wordWrap w:val="0"/>
        <w:overflowPunct/>
        <w:topLinePunct w:val="0"/>
        <w:bidi w:val="0"/>
        <w:spacing w:line="520" w:lineRule="exact"/>
        <w:ind w:firstLine="480" w:firstLineChars="200"/>
        <w:textAlignment w:val="center"/>
        <w:outlineLvl w:val="0"/>
        <w:rPr>
          <w:rFonts w:cs="宋体" w:asciiTheme="minorEastAsia" w:hAnsiTheme="minorEastAsia" w:eastAsiaTheme="minorEastAsia"/>
          <w:sz w:val="24"/>
        </w:rPr>
      </w:pPr>
      <w:bookmarkStart w:id="394" w:name="_Toc24563"/>
      <w:bookmarkStart w:id="395" w:name="_Toc32153"/>
      <w:bookmarkStart w:id="396" w:name="_Toc31353"/>
      <w:bookmarkStart w:id="397" w:name="_Toc31584"/>
      <w:bookmarkStart w:id="398" w:name="_Toc1810"/>
      <w:r>
        <w:rPr>
          <w:rFonts w:hint="eastAsia" w:cs="宋体" w:asciiTheme="minorEastAsia" w:hAnsiTheme="minorEastAsia" w:eastAsiaTheme="minorEastAsia"/>
          <w:sz w:val="24"/>
        </w:rPr>
        <w:t>二、法定代表人身份证明</w:t>
      </w:r>
      <w:bookmarkEnd w:id="394"/>
      <w:bookmarkEnd w:id="395"/>
      <w:bookmarkEnd w:id="396"/>
      <w:bookmarkEnd w:id="397"/>
      <w:bookmarkEnd w:id="398"/>
    </w:p>
    <w:p w14:paraId="5657D535">
      <w:pPr>
        <w:pageBreakBefore w:val="0"/>
        <w:kinsoku/>
        <w:wordWrap w:val="0"/>
        <w:overflowPunct/>
        <w:topLinePunct w:val="0"/>
        <w:bidi w:val="0"/>
        <w:spacing w:line="520" w:lineRule="exact"/>
        <w:ind w:firstLine="480" w:firstLineChars="200"/>
        <w:textAlignment w:val="center"/>
        <w:outlineLvl w:val="0"/>
        <w:rPr>
          <w:rFonts w:cs="宋体" w:asciiTheme="minorEastAsia" w:hAnsiTheme="minorEastAsia" w:eastAsiaTheme="minorEastAsia"/>
          <w:sz w:val="24"/>
        </w:rPr>
      </w:pPr>
      <w:bookmarkStart w:id="399" w:name="_Toc32438"/>
      <w:bookmarkStart w:id="400" w:name="_Toc5239"/>
      <w:bookmarkStart w:id="401" w:name="_Toc23528"/>
      <w:bookmarkStart w:id="402" w:name="_Toc4349"/>
      <w:bookmarkStart w:id="403" w:name="_Toc20097"/>
      <w:r>
        <w:rPr>
          <w:rFonts w:hint="eastAsia" w:cs="宋体" w:asciiTheme="minorEastAsia" w:hAnsiTheme="minorEastAsia" w:eastAsiaTheme="minorEastAsia"/>
          <w:sz w:val="24"/>
        </w:rPr>
        <w:t>三、授权委托书</w:t>
      </w:r>
      <w:bookmarkEnd w:id="399"/>
      <w:bookmarkEnd w:id="400"/>
      <w:bookmarkEnd w:id="401"/>
      <w:bookmarkEnd w:id="402"/>
      <w:bookmarkEnd w:id="403"/>
    </w:p>
    <w:p w14:paraId="48914A02">
      <w:pPr>
        <w:pageBreakBefore w:val="0"/>
        <w:kinsoku/>
        <w:wordWrap w:val="0"/>
        <w:overflowPunct/>
        <w:topLinePunct w:val="0"/>
        <w:bidi w:val="0"/>
        <w:spacing w:line="520" w:lineRule="exact"/>
        <w:ind w:firstLine="480" w:firstLineChars="200"/>
        <w:textAlignment w:val="center"/>
        <w:outlineLvl w:val="0"/>
        <w:rPr>
          <w:rFonts w:cs="宋体" w:asciiTheme="minorEastAsia" w:hAnsiTheme="minorEastAsia" w:eastAsiaTheme="minorEastAsia"/>
          <w:sz w:val="24"/>
        </w:rPr>
      </w:pPr>
      <w:bookmarkStart w:id="404" w:name="_Toc5243"/>
      <w:bookmarkStart w:id="405" w:name="_Toc14561"/>
      <w:bookmarkStart w:id="406" w:name="_Toc19589"/>
      <w:bookmarkStart w:id="407" w:name="_Toc28263"/>
      <w:bookmarkStart w:id="408" w:name="_Toc7394"/>
      <w:r>
        <w:rPr>
          <w:rFonts w:hint="eastAsia" w:cs="宋体" w:asciiTheme="minorEastAsia" w:hAnsiTheme="minorEastAsia" w:eastAsiaTheme="minorEastAsia"/>
          <w:sz w:val="24"/>
        </w:rPr>
        <w:t>四、磋商承诺函</w:t>
      </w:r>
      <w:bookmarkEnd w:id="404"/>
      <w:bookmarkEnd w:id="405"/>
      <w:bookmarkEnd w:id="406"/>
      <w:bookmarkEnd w:id="407"/>
      <w:bookmarkEnd w:id="408"/>
    </w:p>
    <w:p w14:paraId="103D9CE5">
      <w:pPr>
        <w:pageBreakBefore w:val="0"/>
        <w:kinsoku/>
        <w:wordWrap w:val="0"/>
        <w:overflowPunct/>
        <w:topLinePunct w:val="0"/>
        <w:bidi w:val="0"/>
        <w:spacing w:line="520" w:lineRule="exact"/>
        <w:ind w:firstLine="480" w:firstLineChars="200"/>
        <w:textAlignment w:val="center"/>
        <w:outlineLvl w:val="0"/>
        <w:rPr>
          <w:rFonts w:cs="宋体" w:asciiTheme="minorEastAsia" w:hAnsiTheme="minorEastAsia" w:eastAsiaTheme="minorEastAsia"/>
          <w:sz w:val="24"/>
        </w:rPr>
      </w:pPr>
      <w:bookmarkStart w:id="409" w:name="_Toc24556"/>
      <w:bookmarkStart w:id="410" w:name="_Toc15068"/>
      <w:bookmarkStart w:id="411" w:name="_Toc21841"/>
      <w:bookmarkStart w:id="412" w:name="_Toc21081"/>
      <w:bookmarkStart w:id="413" w:name="_Toc6819"/>
      <w:r>
        <w:rPr>
          <w:rFonts w:hint="eastAsia" w:cs="宋体" w:asciiTheme="minorEastAsia" w:hAnsiTheme="minorEastAsia" w:eastAsiaTheme="minorEastAsia"/>
          <w:sz w:val="24"/>
        </w:rPr>
        <w:t>五、已标价工程量清单</w:t>
      </w:r>
      <w:bookmarkEnd w:id="409"/>
      <w:bookmarkEnd w:id="410"/>
      <w:bookmarkEnd w:id="411"/>
      <w:bookmarkEnd w:id="412"/>
      <w:bookmarkEnd w:id="413"/>
    </w:p>
    <w:p w14:paraId="2A4CC069">
      <w:pPr>
        <w:pageBreakBefore w:val="0"/>
        <w:kinsoku/>
        <w:wordWrap w:val="0"/>
        <w:overflowPunct/>
        <w:topLinePunct w:val="0"/>
        <w:bidi w:val="0"/>
        <w:spacing w:line="520" w:lineRule="exact"/>
        <w:ind w:firstLine="480" w:firstLineChars="200"/>
        <w:textAlignment w:val="center"/>
        <w:outlineLvl w:val="0"/>
        <w:rPr>
          <w:rFonts w:cs="宋体" w:asciiTheme="minorEastAsia" w:hAnsiTheme="minorEastAsia" w:eastAsiaTheme="minorEastAsia"/>
          <w:sz w:val="24"/>
        </w:rPr>
      </w:pPr>
      <w:bookmarkStart w:id="414" w:name="_Toc17396"/>
      <w:bookmarkStart w:id="415" w:name="_Toc32697"/>
      <w:bookmarkStart w:id="416" w:name="_Toc25875"/>
      <w:bookmarkStart w:id="417" w:name="_Toc25853"/>
      <w:bookmarkStart w:id="418" w:name="_Toc14134"/>
      <w:r>
        <w:rPr>
          <w:rFonts w:hint="eastAsia" w:cs="宋体" w:asciiTheme="minorEastAsia" w:hAnsiTheme="minorEastAsia" w:eastAsiaTheme="minorEastAsia"/>
          <w:sz w:val="24"/>
        </w:rPr>
        <w:t>六、施工组织设计</w:t>
      </w:r>
      <w:bookmarkEnd w:id="414"/>
      <w:bookmarkEnd w:id="415"/>
      <w:bookmarkEnd w:id="416"/>
      <w:bookmarkEnd w:id="417"/>
      <w:bookmarkEnd w:id="418"/>
    </w:p>
    <w:p w14:paraId="7B24B7DE">
      <w:pPr>
        <w:pageBreakBefore w:val="0"/>
        <w:kinsoku/>
        <w:wordWrap w:val="0"/>
        <w:overflowPunct/>
        <w:topLinePunct w:val="0"/>
        <w:bidi w:val="0"/>
        <w:spacing w:line="520" w:lineRule="exact"/>
        <w:ind w:firstLine="480" w:firstLineChars="200"/>
        <w:textAlignment w:val="center"/>
        <w:outlineLvl w:val="0"/>
        <w:rPr>
          <w:rFonts w:cs="宋体" w:asciiTheme="minorEastAsia" w:hAnsiTheme="minorEastAsia" w:eastAsiaTheme="minorEastAsia"/>
          <w:sz w:val="24"/>
        </w:rPr>
      </w:pPr>
      <w:bookmarkStart w:id="419" w:name="_Toc16030"/>
      <w:bookmarkStart w:id="420" w:name="_Toc1937"/>
      <w:bookmarkStart w:id="421" w:name="_Toc19254"/>
      <w:bookmarkStart w:id="422" w:name="_Toc24878"/>
      <w:bookmarkStart w:id="423" w:name="_Toc25565"/>
      <w:r>
        <w:rPr>
          <w:rFonts w:hint="eastAsia" w:cs="宋体" w:asciiTheme="minorEastAsia" w:hAnsiTheme="minorEastAsia" w:eastAsiaTheme="minorEastAsia"/>
          <w:sz w:val="24"/>
        </w:rPr>
        <w:t>七、资格审查资料</w:t>
      </w:r>
      <w:bookmarkEnd w:id="419"/>
      <w:bookmarkEnd w:id="420"/>
      <w:bookmarkEnd w:id="421"/>
      <w:bookmarkEnd w:id="422"/>
      <w:bookmarkEnd w:id="423"/>
    </w:p>
    <w:p w14:paraId="5976567F">
      <w:pPr>
        <w:pageBreakBefore w:val="0"/>
        <w:kinsoku/>
        <w:wordWrap w:val="0"/>
        <w:overflowPunct/>
        <w:topLinePunct w:val="0"/>
        <w:bidi w:val="0"/>
        <w:spacing w:line="520" w:lineRule="exact"/>
        <w:ind w:firstLine="480" w:firstLineChars="200"/>
        <w:textAlignment w:val="center"/>
        <w:outlineLvl w:val="0"/>
        <w:rPr>
          <w:rFonts w:cs="宋体" w:asciiTheme="minorEastAsia" w:hAnsiTheme="minorEastAsia" w:eastAsiaTheme="minorEastAsia"/>
          <w:sz w:val="24"/>
        </w:rPr>
      </w:pPr>
      <w:bookmarkStart w:id="424" w:name="_Toc18463"/>
      <w:bookmarkStart w:id="425" w:name="_Toc17871"/>
      <w:bookmarkStart w:id="426" w:name="_Toc21658"/>
      <w:bookmarkStart w:id="427" w:name="_Toc20817"/>
      <w:bookmarkStart w:id="428" w:name="_Toc27395"/>
      <w:r>
        <w:rPr>
          <w:rFonts w:hint="eastAsia" w:cs="宋体" w:asciiTheme="minorEastAsia" w:hAnsiTheme="minorEastAsia" w:eastAsiaTheme="minorEastAsia"/>
          <w:sz w:val="24"/>
        </w:rPr>
        <w:t>八、</w:t>
      </w:r>
      <w:bookmarkEnd w:id="424"/>
      <w:bookmarkEnd w:id="425"/>
      <w:bookmarkEnd w:id="426"/>
      <w:bookmarkEnd w:id="427"/>
      <w:bookmarkEnd w:id="428"/>
      <w:bookmarkStart w:id="429" w:name="_Toc2939"/>
      <w:bookmarkStart w:id="430" w:name="_Toc9774"/>
      <w:bookmarkStart w:id="431" w:name="_Toc26943"/>
      <w:bookmarkStart w:id="432" w:name="_Toc12141"/>
      <w:bookmarkStart w:id="433" w:name="_Toc15358"/>
      <w:r>
        <w:rPr>
          <w:rFonts w:hint="eastAsia" w:cs="宋体" w:asciiTheme="minorEastAsia" w:hAnsiTheme="minorEastAsia" w:eastAsiaTheme="minorEastAsia"/>
          <w:sz w:val="24"/>
        </w:rPr>
        <w:t>项目管理机构</w:t>
      </w:r>
    </w:p>
    <w:p w14:paraId="5972EBE9">
      <w:pPr>
        <w:pageBreakBefore w:val="0"/>
        <w:kinsoku/>
        <w:wordWrap w:val="0"/>
        <w:overflowPunct/>
        <w:topLinePunct w:val="0"/>
        <w:bidi w:val="0"/>
        <w:spacing w:line="520" w:lineRule="exact"/>
        <w:ind w:firstLine="480" w:firstLineChars="200"/>
        <w:textAlignment w:val="center"/>
        <w:outlineLvl w:val="0"/>
        <w:rPr>
          <w:rFonts w:cs="宋体" w:asciiTheme="minorEastAsia" w:hAnsiTheme="minorEastAsia" w:eastAsiaTheme="minorEastAsia"/>
          <w:sz w:val="24"/>
        </w:rPr>
      </w:pPr>
      <w:r>
        <w:rPr>
          <w:rFonts w:hint="eastAsia" w:cs="宋体" w:asciiTheme="minorEastAsia" w:hAnsiTheme="minorEastAsia" w:eastAsiaTheme="minorEastAsia"/>
          <w:sz w:val="24"/>
        </w:rPr>
        <w:t>九、中小企业声明函</w:t>
      </w:r>
    </w:p>
    <w:p w14:paraId="38987252">
      <w:pPr>
        <w:pageBreakBefore w:val="0"/>
        <w:kinsoku/>
        <w:wordWrap w:val="0"/>
        <w:overflowPunct/>
        <w:topLinePunct w:val="0"/>
        <w:bidi w:val="0"/>
        <w:spacing w:line="520" w:lineRule="exact"/>
        <w:ind w:firstLine="480" w:firstLineChars="200"/>
        <w:textAlignment w:val="center"/>
        <w:outlineLvl w:val="0"/>
        <w:rPr>
          <w:rFonts w:cs="宋体" w:asciiTheme="minorEastAsia" w:hAnsiTheme="minorEastAsia" w:eastAsiaTheme="minorEastAsia"/>
          <w:sz w:val="24"/>
        </w:rPr>
      </w:pPr>
      <w:r>
        <w:rPr>
          <w:rFonts w:hint="eastAsia" w:cs="宋体" w:asciiTheme="minorEastAsia" w:hAnsiTheme="minorEastAsia" w:eastAsiaTheme="minorEastAsia"/>
          <w:sz w:val="24"/>
        </w:rPr>
        <w:t>十、其他材料</w:t>
      </w:r>
      <w:bookmarkEnd w:id="429"/>
      <w:bookmarkEnd w:id="430"/>
      <w:bookmarkEnd w:id="431"/>
      <w:bookmarkEnd w:id="432"/>
      <w:bookmarkEnd w:id="433"/>
    </w:p>
    <w:p w14:paraId="1FA59754">
      <w:pPr>
        <w:pageBreakBefore w:val="0"/>
        <w:kinsoku/>
        <w:wordWrap w:val="0"/>
        <w:overflowPunct/>
        <w:topLinePunct w:val="0"/>
        <w:bidi w:val="0"/>
        <w:spacing w:line="0" w:lineRule="atLeast"/>
        <w:jc w:val="center"/>
        <w:rPr>
          <w:rFonts w:cs="宋体" w:asciiTheme="minorEastAsia" w:hAnsiTheme="minorEastAsia" w:eastAsiaTheme="minorEastAsia"/>
          <w:b/>
          <w:bCs/>
          <w:sz w:val="24"/>
        </w:rPr>
      </w:pPr>
      <w:r>
        <w:rPr>
          <w:rFonts w:asciiTheme="minorEastAsia" w:hAnsiTheme="minorEastAsia" w:eastAsiaTheme="minorEastAsia"/>
          <w:sz w:val="24"/>
          <w:szCs w:val="24"/>
        </w:rPr>
        <w:br w:type="page"/>
      </w:r>
    </w:p>
    <w:p w14:paraId="4A6C0936">
      <w:pPr>
        <w:pageBreakBefore w:val="0"/>
        <w:kinsoku/>
        <w:wordWrap w:val="0"/>
        <w:overflowPunct/>
        <w:topLinePunct w:val="0"/>
        <w:bidi w:val="0"/>
        <w:spacing w:line="0" w:lineRule="atLeast"/>
        <w:jc w:val="center"/>
        <w:outlineLvl w:val="0"/>
        <w:rPr>
          <w:rFonts w:cs="宋体" w:asciiTheme="minorEastAsia" w:hAnsiTheme="minorEastAsia" w:eastAsiaTheme="minorEastAsia"/>
          <w:b/>
          <w:bCs/>
          <w:sz w:val="30"/>
          <w:szCs w:val="30"/>
        </w:rPr>
      </w:pPr>
      <w:bookmarkStart w:id="434" w:name="_Toc24483"/>
      <w:bookmarkStart w:id="435" w:name="_Toc21074"/>
      <w:bookmarkStart w:id="436" w:name="_Toc11316"/>
      <w:bookmarkStart w:id="437" w:name="_Toc8764"/>
      <w:bookmarkStart w:id="438" w:name="_Toc16807"/>
      <w:bookmarkStart w:id="439" w:name="_Toc9992"/>
      <w:r>
        <w:rPr>
          <w:rFonts w:hint="eastAsia" w:cs="宋体" w:asciiTheme="minorEastAsia" w:hAnsiTheme="minorEastAsia" w:eastAsiaTheme="minorEastAsia"/>
          <w:b/>
          <w:bCs/>
          <w:sz w:val="30"/>
          <w:szCs w:val="30"/>
        </w:rPr>
        <w:t>一、磋商函及磋商函附录</w:t>
      </w:r>
      <w:bookmarkEnd w:id="434"/>
      <w:bookmarkEnd w:id="435"/>
      <w:bookmarkEnd w:id="436"/>
      <w:bookmarkEnd w:id="437"/>
      <w:bookmarkEnd w:id="438"/>
      <w:bookmarkEnd w:id="439"/>
    </w:p>
    <w:p w14:paraId="3205863E">
      <w:pPr>
        <w:pageBreakBefore w:val="0"/>
        <w:kinsoku/>
        <w:wordWrap w:val="0"/>
        <w:overflowPunct/>
        <w:topLinePunct w:val="0"/>
        <w:bidi w:val="0"/>
        <w:spacing w:line="0" w:lineRule="atLeast"/>
        <w:jc w:val="center"/>
        <w:rPr>
          <w:rFonts w:cs="宋体" w:asciiTheme="minorEastAsia" w:hAnsiTheme="minorEastAsia" w:eastAsiaTheme="minorEastAsia"/>
          <w:b/>
          <w:bCs/>
          <w:sz w:val="24"/>
        </w:rPr>
      </w:pPr>
    </w:p>
    <w:p w14:paraId="11912F33">
      <w:pPr>
        <w:pageBreakBefore w:val="0"/>
        <w:kinsoku/>
        <w:wordWrap w:val="0"/>
        <w:overflowPunct/>
        <w:topLinePunct w:val="0"/>
        <w:bidi w:val="0"/>
        <w:spacing w:line="0" w:lineRule="atLeast"/>
        <w:jc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（一）磋商函</w:t>
      </w:r>
    </w:p>
    <w:p w14:paraId="6BE4EE18">
      <w:pPr>
        <w:pageBreakBefore w:val="0"/>
        <w:kinsoku/>
        <w:wordWrap w:val="0"/>
        <w:overflowPunct/>
        <w:topLinePunct w:val="0"/>
        <w:bidi w:val="0"/>
        <w:spacing w:line="460" w:lineRule="exact"/>
        <w:rPr>
          <w:rFonts w:cs="宋体" w:asciiTheme="minorEastAsia" w:hAnsiTheme="minorEastAsia" w:eastAsiaTheme="minorEastAsia"/>
          <w:sz w:val="24"/>
        </w:rPr>
      </w:pPr>
      <w:r>
        <w:rPr>
          <w:rFonts w:hint="eastAsia" w:cs="宋体" w:asciiTheme="minorEastAsia" w:hAnsiTheme="minorEastAsia" w:eastAsiaTheme="minorEastAsia"/>
          <w:sz w:val="24"/>
        </w:rPr>
        <w:t>致：（采购人名称）</w:t>
      </w:r>
    </w:p>
    <w:p w14:paraId="46208176">
      <w:pPr>
        <w:pageBreakBefore w:val="0"/>
        <w:kinsoku/>
        <w:wordWrap w:val="0"/>
        <w:overflowPunct/>
        <w:topLinePunct w:val="0"/>
        <w:bidi w:val="0"/>
        <w:spacing w:line="46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1、我方已仔细研究了</w:t>
      </w:r>
      <w:r>
        <w:rPr>
          <w:rFonts w:hint="eastAsia" w:cs="宋体" w:asciiTheme="minorEastAsia" w:hAnsiTheme="minorEastAsia" w:eastAsiaTheme="minorEastAsia"/>
          <w:sz w:val="24"/>
          <w:u w:val="single"/>
        </w:rPr>
        <w:t xml:space="preserve">    （项目名称）</w:t>
      </w:r>
      <w:r>
        <w:rPr>
          <w:rFonts w:hint="eastAsia" w:cs="宋体" w:asciiTheme="minorEastAsia" w:hAnsiTheme="minorEastAsia" w:eastAsiaTheme="minorEastAsia"/>
          <w:sz w:val="24"/>
        </w:rPr>
        <w:t>竞争性磋商文件的全部内容，愿以人民币（大写：）（小写：元）的磋商总报价。 按合同约定实施和完成承包工程，修补工程中的任何缺陷。</w:t>
      </w:r>
    </w:p>
    <w:p w14:paraId="688F02CB">
      <w:pPr>
        <w:pageBreakBefore w:val="0"/>
        <w:kinsoku/>
        <w:wordWrap w:val="0"/>
        <w:overflowPunct/>
        <w:topLinePunct w:val="0"/>
        <w:bidi w:val="0"/>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如果我方中标，我方保证日历天内竣工，并确保工程质量。我方同意本磋商函在竞争性磋商文件规定的提交响应文件截止时间后，在竞争性磋商文件规定的磋商有效期期满前对我方具有约束力，且随时准备接受你方发出的中标（成交）通知书。</w:t>
      </w:r>
    </w:p>
    <w:p w14:paraId="44C2DA92">
      <w:pPr>
        <w:pageBreakBefore w:val="0"/>
        <w:kinsoku/>
        <w:wordWrap w:val="0"/>
        <w:overflowPunct/>
        <w:topLinePunct w:val="0"/>
        <w:bidi w:val="0"/>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3、我方承诺在磋商有效期</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rPr>
        <w:t>日历天内不修改、撤销响应文件。</w:t>
      </w:r>
    </w:p>
    <w:p w14:paraId="7AA2A6A8">
      <w:pPr>
        <w:pageBreakBefore w:val="0"/>
        <w:kinsoku/>
        <w:wordWrap w:val="0"/>
        <w:overflowPunct/>
        <w:topLinePunct w:val="0"/>
        <w:bidi w:val="0"/>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4、如我方中标：</w:t>
      </w:r>
    </w:p>
    <w:p w14:paraId="2A47CDD9">
      <w:pPr>
        <w:pageBreakBefore w:val="0"/>
        <w:kinsoku/>
        <w:wordWrap w:val="0"/>
        <w:overflowPunct/>
        <w:topLinePunct w:val="0"/>
        <w:bidi w:val="0"/>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（1）我方承诺在收到通知后领取中标（成交）通知书，并在中标（成交）通知书规定的期限内与你方签订合同，逾期可视为放弃中标。</w:t>
      </w:r>
    </w:p>
    <w:p w14:paraId="5E863A88">
      <w:pPr>
        <w:pageBreakBefore w:val="0"/>
        <w:kinsoku/>
        <w:wordWrap w:val="0"/>
        <w:overflowPunct/>
        <w:topLinePunct w:val="0"/>
        <w:bidi w:val="0"/>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（2）随同本磋商函递交的磋商函附录属于合同文件的组成部分。</w:t>
      </w:r>
    </w:p>
    <w:p w14:paraId="1A5EB4D7">
      <w:pPr>
        <w:pageBreakBefore w:val="0"/>
        <w:kinsoku/>
        <w:wordWrap w:val="0"/>
        <w:overflowPunct/>
        <w:topLinePunct w:val="0"/>
        <w:bidi w:val="0"/>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（3）我方承诺在合同约定的期限内完成并移交全部合同工程。</w:t>
      </w:r>
    </w:p>
    <w:p w14:paraId="3B5C4537">
      <w:pPr>
        <w:pageBreakBefore w:val="0"/>
        <w:kinsoku/>
        <w:wordWrap w:val="0"/>
        <w:overflowPunct/>
        <w:topLinePunct w:val="0"/>
        <w:bidi w:val="0"/>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（4）我方承诺满足合同专用条款中补充条款的内容。</w:t>
      </w:r>
    </w:p>
    <w:p w14:paraId="534F8140">
      <w:pPr>
        <w:pageBreakBefore w:val="0"/>
        <w:kinsoku/>
        <w:wordWrap w:val="0"/>
        <w:overflowPunct/>
        <w:topLinePunct w:val="0"/>
        <w:bidi w:val="0"/>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（5）我方承诺并理解采购人不以最低磋商标价为中标价的唯一选择。</w:t>
      </w:r>
    </w:p>
    <w:p w14:paraId="0C977405">
      <w:pPr>
        <w:pageBreakBefore w:val="0"/>
        <w:kinsoku/>
        <w:wordWrap w:val="0"/>
        <w:overflowPunct/>
        <w:topLinePunct w:val="0"/>
        <w:bidi w:val="0"/>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5．我方在此声明，所递交的响应文件及有关资料内容完整、真实和准确。</w:t>
      </w:r>
    </w:p>
    <w:p w14:paraId="5523FBDC">
      <w:pPr>
        <w:pageBreakBefore w:val="0"/>
        <w:kinsoku/>
        <w:wordWrap w:val="0"/>
        <w:overflowPunct/>
        <w:topLinePunct w:val="0"/>
        <w:bidi w:val="0"/>
        <w:spacing w:line="460" w:lineRule="exact"/>
        <w:ind w:firstLine="3840" w:firstLineChars="1600"/>
        <w:rPr>
          <w:rFonts w:cs="宋体" w:asciiTheme="minorEastAsia" w:hAnsiTheme="minorEastAsia" w:eastAsiaTheme="minorEastAsia"/>
          <w:sz w:val="24"/>
        </w:rPr>
      </w:pPr>
    </w:p>
    <w:p w14:paraId="3026D350">
      <w:pPr>
        <w:pageBreakBefore w:val="0"/>
        <w:kinsoku/>
        <w:wordWrap w:val="0"/>
        <w:overflowPunct/>
        <w:topLinePunct w:val="0"/>
        <w:bidi w:val="0"/>
        <w:spacing w:line="460" w:lineRule="exact"/>
        <w:ind w:firstLine="3840" w:firstLineChars="1600"/>
        <w:rPr>
          <w:rFonts w:cs="宋体" w:asciiTheme="minorEastAsia" w:hAnsiTheme="minorEastAsia" w:eastAsiaTheme="minorEastAsia"/>
          <w:sz w:val="24"/>
        </w:rPr>
      </w:pPr>
    </w:p>
    <w:p w14:paraId="7F9C4255">
      <w:pPr>
        <w:pageBreakBefore w:val="0"/>
        <w:kinsoku/>
        <w:wordWrap w:val="0"/>
        <w:overflowPunct/>
        <w:topLinePunct w:val="0"/>
        <w:bidi w:val="0"/>
        <w:spacing w:line="700" w:lineRule="exact"/>
        <w:ind w:right="480" w:firstLine="3600" w:firstLineChars="1500"/>
        <w:rPr>
          <w:rFonts w:cs="宋体" w:asciiTheme="minorEastAsia" w:hAnsiTheme="minorEastAsia" w:eastAsiaTheme="minorEastAsia"/>
          <w:sz w:val="24"/>
        </w:rPr>
      </w:pPr>
      <w:r>
        <w:rPr>
          <w:rFonts w:hint="eastAsia" w:cs="宋体" w:asciiTheme="minorEastAsia" w:hAnsiTheme="minorEastAsia" w:eastAsiaTheme="minorEastAsia"/>
          <w:sz w:val="24"/>
        </w:rPr>
        <w:t>响应人：（公章签章）</w:t>
      </w:r>
    </w:p>
    <w:p w14:paraId="0DE714C4">
      <w:pPr>
        <w:pageBreakBefore w:val="0"/>
        <w:kinsoku/>
        <w:wordWrap w:val="0"/>
        <w:overflowPunct/>
        <w:topLinePunct w:val="0"/>
        <w:bidi w:val="0"/>
        <w:spacing w:line="700" w:lineRule="exact"/>
        <w:ind w:firstLine="3523" w:firstLineChars="1468"/>
        <w:jc w:val="both"/>
        <w:rPr>
          <w:rFonts w:cs="宋体" w:asciiTheme="minorEastAsia" w:hAnsiTheme="minorEastAsia" w:eastAsiaTheme="minorEastAsia"/>
          <w:sz w:val="24"/>
        </w:rPr>
      </w:pPr>
      <w:r>
        <w:rPr>
          <w:rFonts w:hint="eastAsia" w:cs="宋体" w:asciiTheme="minorEastAsia" w:hAnsiTheme="minorEastAsia" w:eastAsiaTheme="minorEastAsia"/>
          <w:sz w:val="24"/>
        </w:rPr>
        <w:t>法定代表人：（电子签章）</w:t>
      </w:r>
    </w:p>
    <w:p w14:paraId="57E69225">
      <w:pPr>
        <w:pageBreakBefore w:val="0"/>
        <w:kinsoku/>
        <w:wordWrap w:val="0"/>
        <w:overflowPunct/>
        <w:topLinePunct w:val="0"/>
        <w:bidi w:val="0"/>
        <w:spacing w:line="700" w:lineRule="exact"/>
        <w:ind w:right="480" w:firstLine="3720" w:firstLineChars="1550"/>
        <w:rPr>
          <w:rFonts w:asciiTheme="minorEastAsia" w:hAnsiTheme="minorEastAsia" w:eastAsiaTheme="minorEastAsia"/>
          <w:sz w:val="24"/>
        </w:rPr>
      </w:pPr>
      <w:r>
        <w:rPr>
          <w:rFonts w:hint="eastAsia" w:cs="宋体" w:asciiTheme="minorEastAsia" w:hAnsiTheme="minorEastAsia" w:eastAsiaTheme="minorEastAsia"/>
          <w:sz w:val="24"/>
        </w:rPr>
        <w:t xml:space="preserve">日期： </w:t>
      </w:r>
      <w:r>
        <w:rPr>
          <w:rFonts w:hint="eastAsia" w:cs="宋体" w:asciiTheme="minorEastAsia" w:hAnsiTheme="minorEastAsia" w:eastAsiaTheme="minorEastAsia"/>
          <w:sz w:val="24"/>
          <w:lang w:val="en-US" w:eastAsia="zh-CN"/>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日</w:t>
      </w:r>
    </w:p>
    <w:p w14:paraId="1D440A3A">
      <w:pPr>
        <w:pageBreakBefore w:val="0"/>
        <w:kinsoku/>
        <w:wordWrap w:val="0"/>
        <w:overflowPunct/>
        <w:topLinePunct w:val="0"/>
        <w:bidi w:val="0"/>
        <w:spacing w:line="23" w:lineRule="exact"/>
        <w:rPr>
          <w:rFonts w:cs="宋体" w:asciiTheme="minorEastAsia" w:hAnsiTheme="minorEastAsia" w:eastAsiaTheme="minorEastAsia"/>
          <w:sz w:val="24"/>
        </w:rPr>
      </w:pPr>
    </w:p>
    <w:p w14:paraId="18B97BE1">
      <w:pPr>
        <w:pageBreakBefore w:val="0"/>
        <w:kinsoku/>
        <w:wordWrap w:val="0"/>
        <w:overflowPunct/>
        <w:topLinePunct w:val="0"/>
        <w:bidi w:val="0"/>
        <w:rPr>
          <w:rFonts w:cs="宋体" w:asciiTheme="minorEastAsia" w:hAnsiTheme="minorEastAsia" w:eastAsiaTheme="minorEastAsia"/>
          <w:sz w:val="24"/>
        </w:rPr>
        <w:sectPr>
          <w:footerReference r:id="rId12" w:type="default"/>
          <w:pgSz w:w="11900" w:h="16838"/>
          <w:pgMar w:top="1077" w:right="1134" w:bottom="1077" w:left="1134" w:header="720" w:footer="720" w:gutter="0"/>
          <w:pgNumType w:fmt="decimal"/>
          <w:cols w:space="720" w:num="1"/>
          <w:docGrid w:type="lines" w:linePitch="360" w:charSpace="0"/>
        </w:sectPr>
      </w:pPr>
    </w:p>
    <w:p w14:paraId="2FC05F59">
      <w:pPr>
        <w:pageBreakBefore w:val="0"/>
        <w:kinsoku/>
        <w:wordWrap w:val="0"/>
        <w:overflowPunct/>
        <w:topLinePunct w:val="0"/>
        <w:bidi w:val="0"/>
        <w:spacing w:beforeLines="100" w:afterLines="50" w:line="240" w:lineRule="exact"/>
        <w:jc w:val="center"/>
        <w:textAlignment w:val="center"/>
        <w:rPr>
          <w:rFonts w:cs="宋体" w:asciiTheme="minorEastAsia" w:hAnsiTheme="minorEastAsia" w:eastAsiaTheme="minorEastAsia"/>
          <w:b/>
          <w:bCs/>
          <w:sz w:val="30"/>
          <w:szCs w:val="30"/>
        </w:rPr>
      </w:pPr>
      <w:bookmarkStart w:id="440" w:name="page58"/>
      <w:bookmarkEnd w:id="440"/>
    </w:p>
    <w:p w14:paraId="7A1616C4">
      <w:pPr>
        <w:pageBreakBefore w:val="0"/>
        <w:numPr>
          <w:ilvl w:val="0"/>
          <w:numId w:val="0"/>
        </w:numPr>
        <w:kinsoku/>
        <w:wordWrap w:val="0"/>
        <w:overflowPunct/>
        <w:topLinePunct w:val="0"/>
        <w:bidi w:val="0"/>
        <w:spacing w:beforeLines="100" w:afterLines="50" w:line="240" w:lineRule="exact"/>
        <w:jc w:val="center"/>
        <w:textAlignment w:val="center"/>
        <w:rPr>
          <w:rFonts w:hint="eastAsia"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lang w:val="en-US" w:eastAsia="zh-CN" w:bidi="ar-SA"/>
        </w:rPr>
        <w:t>（二）</w:t>
      </w:r>
      <w:r>
        <w:rPr>
          <w:rFonts w:hint="eastAsia" w:cs="宋体" w:asciiTheme="minorEastAsia" w:hAnsiTheme="minorEastAsia" w:eastAsiaTheme="minorEastAsia"/>
          <w:b/>
          <w:bCs/>
          <w:sz w:val="30"/>
          <w:szCs w:val="30"/>
        </w:rPr>
        <w:t>磋商函附录（第一次报价）</w:t>
      </w:r>
    </w:p>
    <w:p w14:paraId="72F0417B">
      <w:pPr>
        <w:pStyle w:val="16"/>
        <w:pageBreakBefore w:val="0"/>
        <w:numPr>
          <w:ilvl w:val="0"/>
          <w:numId w:val="0"/>
        </w:numPr>
        <w:kinsoku/>
        <w:wordWrap w:val="0"/>
        <w:overflowPunct/>
        <w:topLinePunct w:val="0"/>
        <w:bidi w:val="0"/>
        <w:ind w:leftChars="400"/>
      </w:pPr>
    </w:p>
    <w:tbl>
      <w:tblPr>
        <w:tblStyle w:val="17"/>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14:paraId="79DC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vAlign w:val="center"/>
          </w:tcPr>
          <w:p w14:paraId="126574DB">
            <w:pPr>
              <w:pageBreakBefore w:val="0"/>
              <w:kinsoku/>
              <w:wordWrap w:val="0"/>
              <w:overflowPunct/>
              <w:topLinePunct w:val="0"/>
              <w:bidi w:val="0"/>
              <w:spacing w:line="340" w:lineRule="exact"/>
              <w:jc w:val="center"/>
              <w:rPr>
                <w:rFonts w:ascii="宋体" w:hAnsi="宋体"/>
                <w:sz w:val="28"/>
                <w:szCs w:val="28"/>
              </w:rPr>
            </w:pPr>
            <w:bookmarkStart w:id="441" w:name="_Toc6390"/>
            <w:r>
              <w:rPr>
                <w:rFonts w:hint="eastAsia" w:ascii="宋体" w:hAnsi="宋体"/>
                <w:sz w:val="28"/>
                <w:szCs w:val="28"/>
              </w:rPr>
              <w:t>项目名称</w:t>
            </w:r>
          </w:p>
        </w:tc>
        <w:tc>
          <w:tcPr>
            <w:tcW w:w="7580" w:type="dxa"/>
            <w:gridSpan w:val="5"/>
            <w:vAlign w:val="center"/>
          </w:tcPr>
          <w:p w14:paraId="7702C644">
            <w:pPr>
              <w:pageBreakBefore w:val="0"/>
              <w:kinsoku/>
              <w:wordWrap w:val="0"/>
              <w:overflowPunct/>
              <w:topLinePunct w:val="0"/>
              <w:bidi w:val="0"/>
              <w:spacing w:line="340" w:lineRule="exact"/>
              <w:rPr>
                <w:rFonts w:ascii="宋体" w:hAnsi="宋体"/>
                <w:sz w:val="28"/>
                <w:szCs w:val="28"/>
              </w:rPr>
            </w:pPr>
          </w:p>
        </w:tc>
      </w:tr>
      <w:tr w14:paraId="2024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vAlign w:val="center"/>
          </w:tcPr>
          <w:p w14:paraId="53349036">
            <w:pPr>
              <w:pageBreakBefore w:val="0"/>
              <w:kinsoku/>
              <w:wordWrap w:val="0"/>
              <w:overflowPunct/>
              <w:topLinePunct w:val="0"/>
              <w:bidi w:val="0"/>
              <w:spacing w:line="340" w:lineRule="exact"/>
              <w:jc w:val="center"/>
              <w:rPr>
                <w:rFonts w:ascii="宋体" w:hAnsi="宋体"/>
                <w:sz w:val="28"/>
                <w:szCs w:val="28"/>
              </w:rPr>
            </w:pPr>
            <w:r>
              <w:rPr>
                <w:rFonts w:hint="eastAsia" w:ascii="宋体" w:hAnsi="宋体"/>
                <w:sz w:val="28"/>
                <w:szCs w:val="28"/>
              </w:rPr>
              <w:t>供应商</w:t>
            </w:r>
          </w:p>
        </w:tc>
        <w:tc>
          <w:tcPr>
            <w:tcW w:w="7580" w:type="dxa"/>
            <w:gridSpan w:val="5"/>
            <w:vAlign w:val="center"/>
          </w:tcPr>
          <w:p w14:paraId="492F1DDC">
            <w:pPr>
              <w:pageBreakBefore w:val="0"/>
              <w:kinsoku/>
              <w:wordWrap w:val="0"/>
              <w:overflowPunct/>
              <w:topLinePunct w:val="0"/>
              <w:bidi w:val="0"/>
              <w:spacing w:line="340" w:lineRule="exact"/>
              <w:rPr>
                <w:rFonts w:ascii="宋体" w:hAnsi="宋体"/>
                <w:sz w:val="28"/>
                <w:szCs w:val="28"/>
              </w:rPr>
            </w:pPr>
          </w:p>
        </w:tc>
      </w:tr>
      <w:tr w14:paraId="51EB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vAlign w:val="center"/>
          </w:tcPr>
          <w:p w14:paraId="25A6CA9D">
            <w:pPr>
              <w:pageBreakBefore w:val="0"/>
              <w:kinsoku/>
              <w:wordWrap w:val="0"/>
              <w:overflowPunct/>
              <w:topLinePunct w:val="0"/>
              <w:bidi w:val="0"/>
              <w:spacing w:line="340" w:lineRule="exact"/>
              <w:jc w:val="center"/>
              <w:rPr>
                <w:rFonts w:ascii="宋体" w:hAnsi="宋体"/>
                <w:sz w:val="28"/>
                <w:szCs w:val="28"/>
              </w:rPr>
            </w:pPr>
            <w:r>
              <w:rPr>
                <w:rFonts w:hint="eastAsia" w:ascii="宋体" w:hAnsi="宋体"/>
                <w:sz w:val="28"/>
                <w:szCs w:val="28"/>
              </w:rPr>
              <w:t>企业资质等级</w:t>
            </w:r>
          </w:p>
        </w:tc>
        <w:tc>
          <w:tcPr>
            <w:tcW w:w="2667" w:type="dxa"/>
            <w:gridSpan w:val="2"/>
            <w:vAlign w:val="center"/>
          </w:tcPr>
          <w:p w14:paraId="2501159F">
            <w:pPr>
              <w:pageBreakBefore w:val="0"/>
              <w:kinsoku/>
              <w:wordWrap w:val="0"/>
              <w:overflowPunct/>
              <w:topLinePunct w:val="0"/>
              <w:bidi w:val="0"/>
              <w:spacing w:line="340" w:lineRule="exact"/>
              <w:rPr>
                <w:rFonts w:ascii="宋体" w:hAnsi="宋体"/>
                <w:sz w:val="28"/>
                <w:szCs w:val="28"/>
              </w:rPr>
            </w:pPr>
          </w:p>
        </w:tc>
        <w:tc>
          <w:tcPr>
            <w:tcW w:w="1948" w:type="dxa"/>
            <w:vAlign w:val="center"/>
          </w:tcPr>
          <w:p w14:paraId="79401862">
            <w:pPr>
              <w:pageBreakBefore w:val="0"/>
              <w:kinsoku/>
              <w:wordWrap w:val="0"/>
              <w:overflowPunct/>
              <w:topLinePunct w:val="0"/>
              <w:bidi w:val="0"/>
              <w:spacing w:line="340" w:lineRule="exact"/>
              <w:jc w:val="center"/>
              <w:rPr>
                <w:rFonts w:ascii="宋体" w:hAnsi="宋体"/>
                <w:sz w:val="28"/>
                <w:szCs w:val="28"/>
              </w:rPr>
            </w:pPr>
            <w:r>
              <w:rPr>
                <w:rFonts w:hint="eastAsia" w:ascii="宋体" w:hAnsi="宋体"/>
                <w:sz w:val="28"/>
                <w:szCs w:val="28"/>
              </w:rPr>
              <w:t>项目联系人及手机号码</w:t>
            </w:r>
          </w:p>
        </w:tc>
        <w:tc>
          <w:tcPr>
            <w:tcW w:w="2965" w:type="dxa"/>
            <w:gridSpan w:val="2"/>
            <w:vAlign w:val="center"/>
          </w:tcPr>
          <w:p w14:paraId="5A0A57B4">
            <w:pPr>
              <w:pageBreakBefore w:val="0"/>
              <w:kinsoku/>
              <w:wordWrap w:val="0"/>
              <w:overflowPunct/>
              <w:topLinePunct w:val="0"/>
              <w:bidi w:val="0"/>
              <w:spacing w:line="340" w:lineRule="exact"/>
              <w:rPr>
                <w:rFonts w:ascii="宋体" w:hAnsi="宋体"/>
                <w:sz w:val="28"/>
                <w:szCs w:val="28"/>
              </w:rPr>
            </w:pPr>
          </w:p>
        </w:tc>
      </w:tr>
      <w:tr w14:paraId="47D3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1023ECF1">
            <w:pPr>
              <w:pageBreakBefore w:val="0"/>
              <w:kinsoku/>
              <w:wordWrap w:val="0"/>
              <w:overflowPunct/>
              <w:topLinePunct w:val="0"/>
              <w:bidi w:val="0"/>
              <w:spacing w:line="340" w:lineRule="exact"/>
              <w:jc w:val="center"/>
              <w:rPr>
                <w:rFonts w:ascii="宋体" w:hAnsi="宋体"/>
                <w:sz w:val="28"/>
                <w:szCs w:val="28"/>
              </w:rPr>
            </w:pPr>
            <w:r>
              <w:rPr>
                <w:rFonts w:hint="eastAsia" w:ascii="宋体" w:hAnsi="宋体"/>
                <w:sz w:val="28"/>
                <w:szCs w:val="28"/>
              </w:rPr>
              <w:t>项目经理</w:t>
            </w:r>
          </w:p>
        </w:tc>
        <w:tc>
          <w:tcPr>
            <w:tcW w:w="1533" w:type="dxa"/>
            <w:vAlign w:val="center"/>
          </w:tcPr>
          <w:p w14:paraId="431EE9C0">
            <w:pPr>
              <w:pageBreakBefore w:val="0"/>
              <w:kinsoku/>
              <w:wordWrap w:val="0"/>
              <w:overflowPunct/>
              <w:topLinePunct w:val="0"/>
              <w:bidi w:val="0"/>
              <w:spacing w:line="340" w:lineRule="exact"/>
              <w:jc w:val="center"/>
              <w:rPr>
                <w:rFonts w:ascii="宋体" w:hAnsi="宋体"/>
                <w:sz w:val="28"/>
                <w:szCs w:val="28"/>
              </w:rPr>
            </w:pPr>
          </w:p>
        </w:tc>
        <w:tc>
          <w:tcPr>
            <w:tcW w:w="1134" w:type="dxa"/>
            <w:vAlign w:val="center"/>
          </w:tcPr>
          <w:p w14:paraId="5BCE2731">
            <w:pPr>
              <w:pageBreakBefore w:val="0"/>
              <w:kinsoku/>
              <w:wordWrap w:val="0"/>
              <w:overflowPunct/>
              <w:topLinePunct w:val="0"/>
              <w:bidi w:val="0"/>
              <w:spacing w:line="340" w:lineRule="exact"/>
              <w:jc w:val="center"/>
              <w:rPr>
                <w:rFonts w:ascii="宋体" w:hAnsi="宋体"/>
                <w:sz w:val="28"/>
                <w:szCs w:val="28"/>
              </w:rPr>
            </w:pPr>
            <w:r>
              <w:rPr>
                <w:rFonts w:hint="eastAsia" w:ascii="宋体" w:hAnsi="宋体"/>
                <w:sz w:val="28"/>
                <w:szCs w:val="28"/>
              </w:rPr>
              <w:t>级别</w:t>
            </w:r>
          </w:p>
        </w:tc>
        <w:tc>
          <w:tcPr>
            <w:tcW w:w="1948" w:type="dxa"/>
            <w:vAlign w:val="center"/>
          </w:tcPr>
          <w:p w14:paraId="5C50C937">
            <w:pPr>
              <w:pageBreakBefore w:val="0"/>
              <w:kinsoku/>
              <w:wordWrap w:val="0"/>
              <w:overflowPunct/>
              <w:topLinePunct w:val="0"/>
              <w:bidi w:val="0"/>
              <w:spacing w:line="340" w:lineRule="exact"/>
              <w:jc w:val="center"/>
              <w:rPr>
                <w:rFonts w:ascii="宋体" w:hAnsi="宋体"/>
                <w:sz w:val="28"/>
                <w:szCs w:val="28"/>
              </w:rPr>
            </w:pPr>
          </w:p>
        </w:tc>
        <w:tc>
          <w:tcPr>
            <w:tcW w:w="915" w:type="dxa"/>
            <w:vAlign w:val="center"/>
          </w:tcPr>
          <w:p w14:paraId="213BC049">
            <w:pPr>
              <w:pageBreakBefore w:val="0"/>
              <w:kinsoku/>
              <w:wordWrap w:val="0"/>
              <w:overflowPunct/>
              <w:topLinePunct w:val="0"/>
              <w:bidi w:val="0"/>
              <w:spacing w:line="340" w:lineRule="exact"/>
              <w:jc w:val="center"/>
              <w:rPr>
                <w:rFonts w:ascii="宋体" w:hAnsi="宋体"/>
                <w:sz w:val="28"/>
                <w:szCs w:val="28"/>
              </w:rPr>
            </w:pPr>
            <w:r>
              <w:rPr>
                <w:rFonts w:hint="eastAsia" w:ascii="宋体" w:hAnsi="宋体"/>
                <w:sz w:val="28"/>
                <w:szCs w:val="28"/>
              </w:rPr>
              <w:t>注册编号</w:t>
            </w:r>
          </w:p>
        </w:tc>
        <w:tc>
          <w:tcPr>
            <w:tcW w:w="2050" w:type="dxa"/>
            <w:vAlign w:val="center"/>
          </w:tcPr>
          <w:p w14:paraId="4D107B1C">
            <w:pPr>
              <w:pageBreakBefore w:val="0"/>
              <w:kinsoku/>
              <w:wordWrap w:val="0"/>
              <w:overflowPunct/>
              <w:topLinePunct w:val="0"/>
              <w:bidi w:val="0"/>
              <w:spacing w:line="340" w:lineRule="exact"/>
              <w:jc w:val="center"/>
              <w:rPr>
                <w:rFonts w:ascii="宋体" w:hAnsi="宋体"/>
                <w:sz w:val="28"/>
                <w:szCs w:val="28"/>
              </w:rPr>
            </w:pPr>
          </w:p>
        </w:tc>
      </w:tr>
      <w:tr w14:paraId="1607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69330FD5">
            <w:pPr>
              <w:pageBreakBefore w:val="0"/>
              <w:kinsoku/>
              <w:wordWrap w:val="0"/>
              <w:overflowPunct/>
              <w:topLinePunct w:val="0"/>
              <w:bidi w:val="0"/>
              <w:spacing w:line="340" w:lineRule="exact"/>
              <w:jc w:val="center"/>
              <w:rPr>
                <w:rFonts w:ascii="宋体" w:hAnsi="宋体"/>
                <w:sz w:val="28"/>
                <w:szCs w:val="28"/>
              </w:rPr>
            </w:pPr>
            <w:r>
              <w:rPr>
                <w:rFonts w:hint="eastAsia" w:ascii="宋体" w:hAnsi="宋体"/>
                <w:sz w:val="28"/>
                <w:szCs w:val="28"/>
              </w:rPr>
              <w:t>技术负责人</w:t>
            </w:r>
          </w:p>
        </w:tc>
        <w:tc>
          <w:tcPr>
            <w:tcW w:w="1533" w:type="dxa"/>
            <w:vAlign w:val="center"/>
          </w:tcPr>
          <w:p w14:paraId="0820815B">
            <w:pPr>
              <w:pageBreakBefore w:val="0"/>
              <w:kinsoku/>
              <w:wordWrap w:val="0"/>
              <w:overflowPunct/>
              <w:topLinePunct w:val="0"/>
              <w:bidi w:val="0"/>
              <w:spacing w:line="340" w:lineRule="exact"/>
              <w:jc w:val="center"/>
              <w:rPr>
                <w:rFonts w:ascii="宋体" w:hAnsi="宋体"/>
                <w:sz w:val="28"/>
                <w:szCs w:val="28"/>
              </w:rPr>
            </w:pPr>
          </w:p>
        </w:tc>
        <w:tc>
          <w:tcPr>
            <w:tcW w:w="1134" w:type="dxa"/>
            <w:vAlign w:val="center"/>
          </w:tcPr>
          <w:p w14:paraId="69876748">
            <w:pPr>
              <w:pageBreakBefore w:val="0"/>
              <w:kinsoku/>
              <w:wordWrap w:val="0"/>
              <w:overflowPunct/>
              <w:topLinePunct w:val="0"/>
              <w:bidi w:val="0"/>
              <w:spacing w:line="340" w:lineRule="exact"/>
              <w:jc w:val="center"/>
              <w:rPr>
                <w:rFonts w:ascii="宋体" w:hAnsi="宋体"/>
                <w:sz w:val="28"/>
                <w:szCs w:val="28"/>
              </w:rPr>
            </w:pPr>
            <w:r>
              <w:rPr>
                <w:rFonts w:hint="eastAsia" w:ascii="宋体" w:hAnsi="宋体"/>
                <w:sz w:val="28"/>
                <w:szCs w:val="28"/>
              </w:rPr>
              <w:t>职称</w:t>
            </w:r>
          </w:p>
        </w:tc>
        <w:tc>
          <w:tcPr>
            <w:tcW w:w="1948" w:type="dxa"/>
            <w:vAlign w:val="center"/>
          </w:tcPr>
          <w:p w14:paraId="082A2DE6">
            <w:pPr>
              <w:pageBreakBefore w:val="0"/>
              <w:kinsoku/>
              <w:wordWrap w:val="0"/>
              <w:overflowPunct/>
              <w:topLinePunct w:val="0"/>
              <w:bidi w:val="0"/>
              <w:spacing w:line="340" w:lineRule="exact"/>
              <w:jc w:val="center"/>
              <w:rPr>
                <w:rFonts w:ascii="宋体" w:hAnsi="宋体"/>
                <w:sz w:val="28"/>
                <w:szCs w:val="28"/>
              </w:rPr>
            </w:pPr>
          </w:p>
        </w:tc>
        <w:tc>
          <w:tcPr>
            <w:tcW w:w="915" w:type="dxa"/>
            <w:vAlign w:val="center"/>
          </w:tcPr>
          <w:p w14:paraId="28EB4007">
            <w:pPr>
              <w:pageBreakBefore w:val="0"/>
              <w:kinsoku/>
              <w:wordWrap w:val="0"/>
              <w:overflowPunct/>
              <w:topLinePunct w:val="0"/>
              <w:bidi w:val="0"/>
              <w:spacing w:line="340" w:lineRule="exact"/>
              <w:jc w:val="center"/>
              <w:rPr>
                <w:rFonts w:ascii="宋体" w:hAnsi="宋体"/>
                <w:sz w:val="28"/>
                <w:szCs w:val="28"/>
              </w:rPr>
            </w:pPr>
            <w:r>
              <w:rPr>
                <w:rFonts w:hint="eastAsia" w:ascii="宋体" w:hAnsi="宋体"/>
                <w:sz w:val="28"/>
                <w:szCs w:val="28"/>
              </w:rPr>
              <w:t>证书编号</w:t>
            </w:r>
          </w:p>
        </w:tc>
        <w:tc>
          <w:tcPr>
            <w:tcW w:w="2050" w:type="dxa"/>
            <w:vAlign w:val="center"/>
          </w:tcPr>
          <w:p w14:paraId="31DD3693">
            <w:pPr>
              <w:pageBreakBefore w:val="0"/>
              <w:kinsoku/>
              <w:wordWrap w:val="0"/>
              <w:overflowPunct/>
              <w:topLinePunct w:val="0"/>
              <w:bidi w:val="0"/>
              <w:spacing w:line="340" w:lineRule="exact"/>
              <w:jc w:val="center"/>
              <w:rPr>
                <w:rFonts w:ascii="宋体" w:hAnsi="宋体"/>
                <w:sz w:val="28"/>
                <w:szCs w:val="28"/>
              </w:rPr>
            </w:pPr>
          </w:p>
        </w:tc>
      </w:tr>
      <w:tr w14:paraId="55A3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vAlign w:val="center"/>
          </w:tcPr>
          <w:p w14:paraId="0E89CA1C">
            <w:pPr>
              <w:pageBreakBefore w:val="0"/>
              <w:kinsoku/>
              <w:wordWrap w:val="0"/>
              <w:overflowPunct/>
              <w:topLinePunct w:val="0"/>
              <w:bidi w:val="0"/>
              <w:spacing w:line="340" w:lineRule="exact"/>
              <w:jc w:val="center"/>
              <w:rPr>
                <w:rFonts w:ascii="宋体" w:hAnsi="宋体"/>
                <w:sz w:val="28"/>
                <w:szCs w:val="28"/>
              </w:rPr>
            </w:pPr>
            <w:r>
              <w:rPr>
                <w:rFonts w:hint="eastAsia" w:ascii="宋体" w:hAnsi="宋体"/>
                <w:sz w:val="28"/>
                <w:szCs w:val="28"/>
              </w:rPr>
              <w:t>磋商报价（元）</w:t>
            </w:r>
          </w:p>
        </w:tc>
        <w:tc>
          <w:tcPr>
            <w:tcW w:w="7580" w:type="dxa"/>
            <w:gridSpan w:val="5"/>
            <w:vAlign w:val="center"/>
          </w:tcPr>
          <w:p w14:paraId="7BB06FBD">
            <w:pPr>
              <w:pageBreakBefore w:val="0"/>
              <w:kinsoku/>
              <w:wordWrap w:val="0"/>
              <w:overflowPunct/>
              <w:topLinePunct w:val="0"/>
              <w:bidi w:val="0"/>
              <w:spacing w:line="340" w:lineRule="exact"/>
              <w:ind w:right="480"/>
              <w:rPr>
                <w:rFonts w:ascii="宋体" w:hAnsi="宋体"/>
                <w:sz w:val="28"/>
                <w:szCs w:val="28"/>
              </w:rPr>
            </w:pPr>
            <w:r>
              <w:rPr>
                <w:rFonts w:hint="eastAsia" w:ascii="宋体" w:hAnsi="宋体"/>
                <w:sz w:val="28"/>
                <w:szCs w:val="28"/>
              </w:rPr>
              <w:t>（大写）</w:t>
            </w:r>
          </w:p>
          <w:p w14:paraId="3DE7B722">
            <w:pPr>
              <w:pageBreakBefore w:val="0"/>
              <w:kinsoku/>
              <w:wordWrap w:val="0"/>
              <w:overflowPunct/>
              <w:topLinePunct w:val="0"/>
              <w:bidi w:val="0"/>
              <w:spacing w:line="340" w:lineRule="exact"/>
              <w:ind w:right="480"/>
              <w:rPr>
                <w:rFonts w:ascii="宋体" w:hAnsi="宋体"/>
                <w:sz w:val="28"/>
                <w:szCs w:val="28"/>
              </w:rPr>
            </w:pPr>
            <w:r>
              <w:rPr>
                <w:rFonts w:hint="eastAsia" w:ascii="宋体" w:hAnsi="宋体"/>
                <w:sz w:val="28"/>
                <w:szCs w:val="28"/>
              </w:rPr>
              <w:t>（小写）</w:t>
            </w:r>
          </w:p>
        </w:tc>
      </w:tr>
      <w:tr w14:paraId="24A1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3EA8D5B9">
            <w:pPr>
              <w:pageBreakBefore w:val="0"/>
              <w:kinsoku/>
              <w:wordWrap w:val="0"/>
              <w:overflowPunct/>
              <w:topLinePunct w:val="0"/>
              <w:bidi w:val="0"/>
              <w:spacing w:line="340" w:lineRule="exact"/>
              <w:jc w:val="center"/>
              <w:rPr>
                <w:rFonts w:ascii="宋体" w:hAnsi="宋体"/>
                <w:sz w:val="28"/>
                <w:szCs w:val="28"/>
              </w:rPr>
            </w:pPr>
            <w:r>
              <w:rPr>
                <w:rFonts w:hint="eastAsia" w:ascii="宋体" w:hAnsi="宋体"/>
                <w:sz w:val="28"/>
                <w:szCs w:val="28"/>
              </w:rPr>
              <w:t>磋商内容</w:t>
            </w:r>
          </w:p>
        </w:tc>
        <w:tc>
          <w:tcPr>
            <w:tcW w:w="7580" w:type="dxa"/>
            <w:gridSpan w:val="5"/>
            <w:vAlign w:val="center"/>
          </w:tcPr>
          <w:p w14:paraId="1A12C729">
            <w:pPr>
              <w:pageBreakBefore w:val="0"/>
              <w:kinsoku/>
              <w:wordWrap w:val="0"/>
              <w:overflowPunct/>
              <w:topLinePunct w:val="0"/>
              <w:bidi w:val="0"/>
              <w:spacing w:line="340" w:lineRule="exact"/>
              <w:jc w:val="center"/>
              <w:rPr>
                <w:rFonts w:ascii="宋体" w:hAnsi="宋体"/>
                <w:sz w:val="28"/>
                <w:szCs w:val="28"/>
              </w:rPr>
            </w:pPr>
          </w:p>
        </w:tc>
      </w:tr>
      <w:tr w14:paraId="4455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7D3DF89C">
            <w:pPr>
              <w:pageBreakBefore w:val="0"/>
              <w:kinsoku/>
              <w:wordWrap w:val="0"/>
              <w:overflowPunct/>
              <w:topLinePunct w:val="0"/>
              <w:bidi w:val="0"/>
              <w:spacing w:line="340" w:lineRule="exact"/>
              <w:jc w:val="center"/>
              <w:rPr>
                <w:rFonts w:ascii="宋体" w:hAnsi="宋体"/>
                <w:sz w:val="28"/>
                <w:szCs w:val="28"/>
              </w:rPr>
            </w:pPr>
            <w:r>
              <w:rPr>
                <w:rFonts w:hint="eastAsia" w:ascii="宋体" w:hAnsi="宋体"/>
                <w:sz w:val="28"/>
                <w:szCs w:val="28"/>
              </w:rPr>
              <w:t>投标工期</w:t>
            </w:r>
          </w:p>
        </w:tc>
        <w:tc>
          <w:tcPr>
            <w:tcW w:w="7580" w:type="dxa"/>
            <w:gridSpan w:val="5"/>
            <w:vAlign w:val="center"/>
          </w:tcPr>
          <w:p w14:paraId="5E80CB96">
            <w:pPr>
              <w:pageBreakBefore w:val="0"/>
              <w:kinsoku/>
              <w:wordWrap w:val="0"/>
              <w:overflowPunct/>
              <w:topLinePunct w:val="0"/>
              <w:bidi w:val="0"/>
              <w:spacing w:line="340" w:lineRule="exact"/>
              <w:jc w:val="center"/>
              <w:rPr>
                <w:rFonts w:ascii="宋体" w:hAnsi="宋体"/>
                <w:sz w:val="28"/>
                <w:szCs w:val="28"/>
              </w:rPr>
            </w:pPr>
          </w:p>
        </w:tc>
      </w:tr>
      <w:tr w14:paraId="13D8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50DFE36C">
            <w:pPr>
              <w:pageBreakBefore w:val="0"/>
              <w:kinsoku/>
              <w:wordWrap w:val="0"/>
              <w:overflowPunct/>
              <w:topLinePunct w:val="0"/>
              <w:bidi w:val="0"/>
              <w:spacing w:line="340" w:lineRule="exact"/>
              <w:jc w:val="center"/>
              <w:rPr>
                <w:rFonts w:ascii="宋体" w:hAnsi="宋体"/>
                <w:sz w:val="28"/>
                <w:szCs w:val="28"/>
              </w:rPr>
            </w:pPr>
            <w:r>
              <w:rPr>
                <w:rFonts w:hint="eastAsia" w:ascii="宋体" w:hAnsi="宋体"/>
                <w:sz w:val="28"/>
                <w:szCs w:val="28"/>
              </w:rPr>
              <w:t>质量</w:t>
            </w:r>
          </w:p>
        </w:tc>
        <w:tc>
          <w:tcPr>
            <w:tcW w:w="7580" w:type="dxa"/>
            <w:gridSpan w:val="5"/>
            <w:vAlign w:val="center"/>
          </w:tcPr>
          <w:p w14:paraId="76F032EB">
            <w:pPr>
              <w:pageBreakBefore w:val="0"/>
              <w:kinsoku/>
              <w:wordWrap w:val="0"/>
              <w:overflowPunct/>
              <w:topLinePunct w:val="0"/>
              <w:bidi w:val="0"/>
              <w:spacing w:line="340" w:lineRule="exact"/>
              <w:jc w:val="center"/>
              <w:rPr>
                <w:rFonts w:ascii="宋体" w:hAnsi="宋体"/>
                <w:sz w:val="28"/>
                <w:szCs w:val="28"/>
              </w:rPr>
            </w:pPr>
          </w:p>
        </w:tc>
      </w:tr>
      <w:tr w14:paraId="1225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vAlign w:val="center"/>
          </w:tcPr>
          <w:p w14:paraId="583C8C5C">
            <w:pPr>
              <w:pageBreakBefore w:val="0"/>
              <w:kinsoku/>
              <w:wordWrap w:val="0"/>
              <w:overflowPunct/>
              <w:topLinePunct w:val="0"/>
              <w:bidi w:val="0"/>
              <w:spacing w:line="340" w:lineRule="exact"/>
              <w:jc w:val="center"/>
              <w:rPr>
                <w:rFonts w:ascii="宋体" w:hAnsi="宋体"/>
                <w:sz w:val="28"/>
                <w:szCs w:val="28"/>
              </w:rPr>
            </w:pPr>
            <w:r>
              <w:rPr>
                <w:rFonts w:hint="eastAsia" w:ascii="宋体" w:hAnsi="宋体"/>
                <w:sz w:val="28"/>
                <w:szCs w:val="28"/>
              </w:rPr>
              <w:t>磋商有效期</w:t>
            </w:r>
          </w:p>
        </w:tc>
        <w:tc>
          <w:tcPr>
            <w:tcW w:w="7580" w:type="dxa"/>
            <w:gridSpan w:val="5"/>
            <w:vAlign w:val="center"/>
          </w:tcPr>
          <w:p w14:paraId="3B5980DC">
            <w:pPr>
              <w:pageBreakBefore w:val="0"/>
              <w:kinsoku/>
              <w:wordWrap w:val="0"/>
              <w:overflowPunct/>
              <w:topLinePunct w:val="0"/>
              <w:bidi w:val="0"/>
              <w:spacing w:line="340" w:lineRule="exact"/>
              <w:jc w:val="center"/>
              <w:rPr>
                <w:rFonts w:ascii="宋体" w:hAnsi="宋体"/>
                <w:sz w:val="28"/>
                <w:szCs w:val="28"/>
              </w:rPr>
            </w:pPr>
          </w:p>
        </w:tc>
      </w:tr>
      <w:tr w14:paraId="0B74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vAlign w:val="center"/>
          </w:tcPr>
          <w:p w14:paraId="51E391D2">
            <w:pPr>
              <w:pageBreakBefore w:val="0"/>
              <w:kinsoku/>
              <w:wordWrap w:val="0"/>
              <w:overflowPunct/>
              <w:topLinePunct w:val="0"/>
              <w:bidi w:val="0"/>
              <w:spacing w:line="340" w:lineRule="exact"/>
              <w:rPr>
                <w:rFonts w:ascii="宋体" w:hAnsi="宋体"/>
                <w:sz w:val="28"/>
                <w:szCs w:val="28"/>
              </w:rPr>
            </w:pPr>
            <w:r>
              <w:rPr>
                <w:rFonts w:hint="eastAsia" w:ascii="宋体" w:hAnsi="宋体"/>
                <w:sz w:val="28"/>
                <w:szCs w:val="28"/>
              </w:rPr>
              <w:t>优惠与服务承诺：</w:t>
            </w:r>
          </w:p>
        </w:tc>
      </w:tr>
    </w:tbl>
    <w:p w14:paraId="015E6238">
      <w:pPr>
        <w:pageBreakBefore w:val="0"/>
        <w:kinsoku/>
        <w:wordWrap w:val="0"/>
        <w:overflowPunct/>
        <w:topLinePunct w:val="0"/>
        <w:bidi w:val="0"/>
        <w:ind w:firstLine="3967" w:firstLineChars="1417"/>
        <w:jc w:val="left"/>
        <w:rPr>
          <w:rFonts w:ascii="宋体" w:hAnsi="宋体"/>
          <w:sz w:val="28"/>
          <w:szCs w:val="28"/>
        </w:rPr>
      </w:pPr>
      <w:r>
        <w:rPr>
          <w:rFonts w:hint="eastAsia" w:ascii="宋体" w:hAnsi="宋体"/>
          <w:sz w:val="28"/>
          <w:szCs w:val="28"/>
        </w:rPr>
        <w:t>供应商：（企业电子签章）</w:t>
      </w:r>
    </w:p>
    <w:p w14:paraId="0285E5AE">
      <w:pPr>
        <w:pageBreakBefore w:val="0"/>
        <w:kinsoku/>
        <w:wordWrap w:val="0"/>
        <w:overflowPunct/>
        <w:topLinePunct w:val="0"/>
        <w:bidi w:val="0"/>
        <w:ind w:firstLine="3967" w:firstLineChars="1417"/>
        <w:jc w:val="left"/>
        <w:rPr>
          <w:rFonts w:ascii="宋体" w:hAnsi="宋体"/>
          <w:sz w:val="28"/>
          <w:szCs w:val="28"/>
        </w:rPr>
      </w:pPr>
      <w:r>
        <w:rPr>
          <w:rFonts w:hint="eastAsia" w:ascii="宋体" w:hAnsi="宋体"/>
          <w:sz w:val="28"/>
          <w:szCs w:val="28"/>
        </w:rPr>
        <w:t>法定代表人</w:t>
      </w:r>
      <w:r>
        <w:rPr>
          <w:rFonts w:ascii="宋体" w:hAnsi="宋体"/>
          <w:sz w:val="28"/>
          <w:szCs w:val="28"/>
        </w:rPr>
        <w:t>：（</w:t>
      </w:r>
      <w:r>
        <w:rPr>
          <w:rFonts w:hint="eastAsia" w:ascii="宋体" w:hAnsi="宋体"/>
          <w:sz w:val="28"/>
          <w:szCs w:val="28"/>
        </w:rPr>
        <w:t>法人电子签章</w:t>
      </w:r>
      <w:r>
        <w:rPr>
          <w:rFonts w:ascii="宋体" w:hAnsi="宋体"/>
          <w:sz w:val="28"/>
          <w:szCs w:val="28"/>
        </w:rPr>
        <w:t>）</w:t>
      </w:r>
    </w:p>
    <w:p w14:paraId="75EB58CB">
      <w:pPr>
        <w:pageBreakBefore w:val="0"/>
        <w:kinsoku/>
        <w:wordWrap w:val="0"/>
        <w:overflowPunct/>
        <w:topLinePunct w:val="0"/>
        <w:bidi w:val="0"/>
        <w:ind w:firstLine="3967" w:firstLineChars="1417"/>
        <w:jc w:val="left"/>
        <w:rPr>
          <w:rFonts w:ascii="宋体" w:hAnsi="宋体"/>
          <w:sz w:val="28"/>
          <w:szCs w:val="28"/>
        </w:rPr>
      </w:pPr>
      <w:r>
        <w:rPr>
          <w:rFonts w:hint="eastAsia" w:ascii="宋体" w:hAnsi="宋体"/>
          <w:sz w:val="28"/>
          <w:szCs w:val="28"/>
        </w:rPr>
        <w:t>日期：    年   月   日</w:t>
      </w:r>
    </w:p>
    <w:p w14:paraId="61A13029">
      <w:pPr>
        <w:pageBreakBefore w:val="0"/>
        <w:kinsoku/>
        <w:wordWrap w:val="0"/>
        <w:overflowPunct/>
        <w:topLinePunct w:val="0"/>
        <w:bidi w:val="0"/>
        <w:spacing w:line="440" w:lineRule="exact"/>
        <w:jc w:val="center"/>
        <w:outlineLvl w:val="0"/>
        <w:rPr>
          <w:rFonts w:cs="宋体" w:asciiTheme="minorEastAsia" w:hAnsiTheme="minorEastAsia" w:eastAsiaTheme="minorEastAsia"/>
          <w:b/>
          <w:bCs/>
          <w:sz w:val="24"/>
        </w:rPr>
      </w:pPr>
      <w:r>
        <w:rPr>
          <w:rFonts w:hint="eastAsia" w:cs="宋体" w:asciiTheme="minorEastAsia" w:hAnsiTheme="minorEastAsia" w:eastAsiaTheme="minorEastAsia"/>
          <w:b/>
          <w:bCs/>
          <w:sz w:val="30"/>
          <w:szCs w:val="30"/>
        </w:rPr>
        <w:br w:type="page"/>
      </w:r>
      <w:bookmarkStart w:id="442" w:name="_Toc25657"/>
      <w:bookmarkStart w:id="443" w:name="_Toc8022"/>
      <w:bookmarkStart w:id="444" w:name="_Toc9432"/>
      <w:bookmarkStart w:id="445" w:name="_Toc4763"/>
      <w:bookmarkStart w:id="446" w:name="_Toc30095"/>
      <w:r>
        <w:rPr>
          <w:rFonts w:hint="eastAsia" w:cs="宋体" w:asciiTheme="minorEastAsia" w:hAnsiTheme="minorEastAsia" w:eastAsiaTheme="minorEastAsia"/>
          <w:b/>
          <w:bCs/>
          <w:sz w:val="30"/>
          <w:szCs w:val="30"/>
        </w:rPr>
        <w:t>二、法定代表人身份证明</w:t>
      </w:r>
      <w:bookmarkEnd w:id="441"/>
      <w:bookmarkEnd w:id="442"/>
      <w:bookmarkEnd w:id="443"/>
      <w:bookmarkEnd w:id="444"/>
      <w:bookmarkEnd w:id="445"/>
      <w:bookmarkEnd w:id="446"/>
    </w:p>
    <w:p w14:paraId="742BB5B4">
      <w:pPr>
        <w:pageBreakBefore w:val="0"/>
        <w:kinsoku/>
        <w:wordWrap w:val="0"/>
        <w:overflowPunct/>
        <w:topLinePunct w:val="0"/>
        <w:bidi w:val="0"/>
        <w:spacing w:line="480" w:lineRule="exact"/>
        <w:textAlignment w:val="center"/>
        <w:rPr>
          <w:rFonts w:cs="宋体" w:asciiTheme="minorEastAsia" w:hAnsiTheme="minorEastAsia" w:eastAsiaTheme="minorEastAsia"/>
          <w:sz w:val="24"/>
        </w:rPr>
      </w:pPr>
    </w:p>
    <w:p w14:paraId="35D0AA78">
      <w:pPr>
        <w:pageBreakBefore w:val="0"/>
        <w:kinsoku/>
        <w:wordWrap w:val="0"/>
        <w:overflowPunct/>
        <w:topLinePunct w:val="0"/>
        <w:bidi w:val="0"/>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响 应 人：</w:t>
      </w:r>
    </w:p>
    <w:p w14:paraId="6541502E">
      <w:pPr>
        <w:pageBreakBefore w:val="0"/>
        <w:kinsoku/>
        <w:wordWrap w:val="0"/>
        <w:overflowPunct/>
        <w:topLinePunct w:val="0"/>
        <w:bidi w:val="0"/>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单位性质：</w:t>
      </w:r>
    </w:p>
    <w:p w14:paraId="073C8C95">
      <w:pPr>
        <w:pageBreakBefore w:val="0"/>
        <w:kinsoku/>
        <w:wordWrap w:val="0"/>
        <w:overflowPunct/>
        <w:topLinePunct w:val="0"/>
        <w:bidi w:val="0"/>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地    址：</w:t>
      </w:r>
    </w:p>
    <w:p w14:paraId="6138C1C3">
      <w:pPr>
        <w:pageBreakBefore w:val="0"/>
        <w:kinsoku/>
        <w:wordWrap w:val="0"/>
        <w:overflowPunct/>
        <w:topLinePunct w:val="0"/>
        <w:bidi w:val="0"/>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     年  月  日</w:t>
      </w:r>
    </w:p>
    <w:p w14:paraId="5B3C3361">
      <w:pPr>
        <w:pageBreakBefore w:val="0"/>
        <w:kinsoku/>
        <w:wordWrap w:val="0"/>
        <w:overflowPunct/>
        <w:topLinePunct w:val="0"/>
        <w:bidi w:val="0"/>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经营期限：</w:t>
      </w:r>
    </w:p>
    <w:p w14:paraId="7F268529">
      <w:pPr>
        <w:pageBreakBefore w:val="0"/>
        <w:kinsoku/>
        <w:wordWrap w:val="0"/>
        <w:overflowPunct/>
        <w:topLinePunct w:val="0"/>
        <w:bidi w:val="0"/>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姓    名：         性        别：</w:t>
      </w:r>
    </w:p>
    <w:p w14:paraId="38EF49F0">
      <w:pPr>
        <w:pageBreakBefore w:val="0"/>
        <w:kinsoku/>
        <w:wordWrap w:val="0"/>
        <w:overflowPunct/>
        <w:topLinePunct w:val="0"/>
        <w:bidi w:val="0"/>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    龄：         职        务：</w:t>
      </w:r>
    </w:p>
    <w:p w14:paraId="17CB5DE1">
      <w:pPr>
        <w:pageBreakBefore w:val="0"/>
        <w:kinsoku/>
        <w:wordWrap w:val="0"/>
        <w:overflowPunct/>
        <w:topLinePunct w:val="0"/>
        <w:bidi w:val="0"/>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系（响应人名称）的法定代表人。</w:t>
      </w:r>
    </w:p>
    <w:p w14:paraId="60372DEF">
      <w:pPr>
        <w:pageBreakBefore w:val="0"/>
        <w:kinsoku/>
        <w:wordWrap w:val="0"/>
        <w:overflowPunct/>
        <w:topLinePunct w:val="0"/>
        <w:bidi w:val="0"/>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14:paraId="6C91DE81">
      <w:pPr>
        <w:pageBreakBefore w:val="0"/>
        <w:kinsoku/>
        <w:wordWrap w:val="0"/>
        <w:overflowPunct/>
        <w:topLinePunct w:val="0"/>
        <w:bidi w:val="0"/>
        <w:spacing w:line="480" w:lineRule="exact"/>
        <w:textAlignment w:val="center"/>
        <w:rPr>
          <w:rFonts w:cs="宋体" w:asciiTheme="minorEastAsia" w:hAnsiTheme="minorEastAsia" w:eastAsiaTheme="minorEastAsia"/>
          <w:sz w:val="24"/>
        </w:rPr>
      </w:pPr>
    </w:p>
    <w:p w14:paraId="1651F317">
      <w:pPr>
        <w:pageBreakBefore w:val="0"/>
        <w:kinsoku/>
        <w:wordWrap w:val="0"/>
        <w:overflowPunct/>
        <w:topLinePunct w:val="0"/>
        <w:bidi w:val="0"/>
        <w:spacing w:line="480" w:lineRule="exact"/>
        <w:textAlignment w:val="center"/>
        <w:rPr>
          <w:rFonts w:cs="宋体" w:asciiTheme="minorEastAsia" w:hAnsiTheme="minorEastAsia" w:eastAsiaTheme="minorEastAsia"/>
          <w:sz w:val="24"/>
        </w:rPr>
      </w:pPr>
    </w:p>
    <w:p w14:paraId="70112C06">
      <w:pPr>
        <w:pageBreakBefore w:val="0"/>
        <w:kinsoku/>
        <w:wordWrap w:val="0"/>
        <w:overflowPunct/>
        <w:topLinePunct w:val="0"/>
        <w:bidi w:val="0"/>
        <w:spacing w:line="520" w:lineRule="exact"/>
        <w:jc w:val="right"/>
        <w:rPr>
          <w:rFonts w:cs="宋体" w:asciiTheme="minorEastAsia" w:hAnsiTheme="minorEastAsia" w:eastAsiaTheme="minorEastAsia"/>
          <w:sz w:val="24"/>
        </w:rPr>
      </w:pPr>
      <w:r>
        <w:rPr>
          <w:rFonts w:hint="eastAsia" w:cs="宋体" w:asciiTheme="minorEastAsia" w:hAnsiTheme="minorEastAsia" w:eastAsiaTheme="minorEastAsia"/>
          <w:sz w:val="24"/>
        </w:rPr>
        <w:t>响  应 人： （公章签章）</w:t>
      </w:r>
    </w:p>
    <w:p w14:paraId="0B81139A">
      <w:pPr>
        <w:pageBreakBefore w:val="0"/>
        <w:kinsoku/>
        <w:wordWrap w:val="0"/>
        <w:overflowPunct/>
        <w:topLinePunct w:val="0"/>
        <w:bidi w:val="0"/>
        <w:spacing w:line="480" w:lineRule="exact"/>
        <w:textAlignment w:val="center"/>
        <w:rPr>
          <w:rFonts w:cs="宋体" w:asciiTheme="minorEastAsia" w:hAnsiTheme="minorEastAsia" w:eastAsiaTheme="minorEastAsia"/>
          <w:sz w:val="24"/>
          <w:u w:val="single"/>
        </w:rPr>
      </w:pPr>
    </w:p>
    <w:p w14:paraId="74DB0214">
      <w:pPr>
        <w:pageBreakBefore w:val="0"/>
        <w:kinsoku/>
        <w:wordWrap w:val="0"/>
        <w:overflowPunct/>
        <w:topLinePunct w:val="0"/>
        <w:bidi w:val="0"/>
        <w:spacing w:line="480" w:lineRule="exact"/>
        <w:jc w:val="righ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年   月   日          </w:t>
      </w:r>
    </w:p>
    <w:p w14:paraId="3BCD4D39">
      <w:pPr>
        <w:pageBreakBefore w:val="0"/>
        <w:kinsoku/>
        <w:wordWrap w:val="0"/>
        <w:overflowPunct/>
        <w:topLinePunct w:val="0"/>
        <w:bidi w:val="0"/>
        <w:spacing w:beforeLines="100" w:afterLines="50" w:line="480" w:lineRule="exact"/>
        <w:textAlignment w:val="center"/>
        <w:rPr>
          <w:rFonts w:cs="宋体" w:asciiTheme="minorEastAsia" w:hAnsiTheme="minorEastAsia" w:eastAsiaTheme="minorEastAsia"/>
          <w:sz w:val="24"/>
        </w:rPr>
      </w:pPr>
    </w:p>
    <w:p w14:paraId="020C0A4D">
      <w:pPr>
        <w:pageBreakBefore w:val="0"/>
        <w:kinsoku/>
        <w:wordWrap w:val="0"/>
        <w:overflowPunct/>
        <w:topLinePunct w:val="0"/>
        <w:bidi w:val="0"/>
        <w:spacing w:line="114" w:lineRule="exact"/>
        <w:rPr>
          <w:rFonts w:cs="宋体" w:asciiTheme="minorEastAsia" w:hAnsiTheme="minorEastAsia" w:eastAsiaTheme="minorEastAsia"/>
          <w:sz w:val="24"/>
        </w:rPr>
      </w:pPr>
    </w:p>
    <w:p w14:paraId="2D8823B4">
      <w:pPr>
        <w:pageBreakBefore w:val="0"/>
        <w:kinsoku/>
        <w:wordWrap w:val="0"/>
        <w:overflowPunct/>
        <w:topLinePunct w:val="0"/>
        <w:bidi w:val="0"/>
        <w:spacing w:line="0" w:lineRule="atLeast"/>
        <w:ind w:left="3740"/>
        <w:rPr>
          <w:rFonts w:cs="宋体" w:asciiTheme="minorEastAsia" w:hAnsiTheme="minorEastAsia" w:eastAsiaTheme="minorEastAsia"/>
          <w:b/>
          <w:bCs/>
          <w:sz w:val="24"/>
        </w:rPr>
      </w:pPr>
    </w:p>
    <w:p w14:paraId="6C16A285">
      <w:pPr>
        <w:pageBreakBefore w:val="0"/>
        <w:kinsoku/>
        <w:wordWrap w:val="0"/>
        <w:overflowPunct/>
        <w:topLinePunct w:val="0"/>
        <w:bidi w:val="0"/>
        <w:spacing w:line="0" w:lineRule="atLeast"/>
        <w:ind w:left="3740"/>
        <w:rPr>
          <w:rFonts w:cs="宋体" w:asciiTheme="minorEastAsia" w:hAnsiTheme="minorEastAsia" w:eastAsiaTheme="minorEastAsia"/>
          <w:b/>
          <w:bCs/>
          <w:sz w:val="24"/>
        </w:rPr>
      </w:pPr>
    </w:p>
    <w:p w14:paraId="6B5BA6BD">
      <w:pPr>
        <w:pageBreakBefore w:val="0"/>
        <w:kinsoku/>
        <w:wordWrap w:val="0"/>
        <w:overflowPunct/>
        <w:topLinePunct w:val="0"/>
        <w:bidi w:val="0"/>
        <w:spacing w:line="0" w:lineRule="atLeast"/>
        <w:ind w:left="3740"/>
        <w:rPr>
          <w:rFonts w:cs="宋体" w:asciiTheme="minorEastAsia" w:hAnsiTheme="minorEastAsia" w:eastAsiaTheme="minorEastAsia"/>
          <w:b/>
          <w:bCs/>
          <w:sz w:val="24"/>
        </w:rPr>
      </w:pPr>
    </w:p>
    <w:p w14:paraId="495066D2">
      <w:pPr>
        <w:pageBreakBefore w:val="0"/>
        <w:kinsoku/>
        <w:wordWrap w:val="0"/>
        <w:overflowPunct/>
        <w:topLinePunct w:val="0"/>
        <w:bidi w:val="0"/>
        <w:spacing w:line="0" w:lineRule="atLeast"/>
        <w:ind w:left="3740"/>
        <w:rPr>
          <w:rFonts w:cs="宋体" w:asciiTheme="minorEastAsia" w:hAnsiTheme="minorEastAsia" w:eastAsiaTheme="minorEastAsia"/>
          <w:b/>
          <w:bCs/>
          <w:sz w:val="24"/>
        </w:rPr>
      </w:pPr>
    </w:p>
    <w:p w14:paraId="3DCDB1B1">
      <w:pPr>
        <w:pageBreakBefore w:val="0"/>
        <w:kinsoku/>
        <w:wordWrap w:val="0"/>
        <w:overflowPunct/>
        <w:topLinePunct w:val="0"/>
        <w:bidi w:val="0"/>
        <w:spacing w:line="0" w:lineRule="atLeast"/>
        <w:ind w:left="3740"/>
        <w:rPr>
          <w:rFonts w:cs="宋体" w:asciiTheme="minorEastAsia" w:hAnsiTheme="minorEastAsia" w:eastAsiaTheme="minorEastAsia"/>
          <w:b/>
          <w:bCs/>
          <w:sz w:val="24"/>
        </w:rPr>
      </w:pPr>
    </w:p>
    <w:p w14:paraId="56BC60C9">
      <w:pPr>
        <w:pageBreakBefore w:val="0"/>
        <w:kinsoku/>
        <w:wordWrap w:val="0"/>
        <w:overflowPunct/>
        <w:topLinePunct w:val="0"/>
        <w:bidi w:val="0"/>
        <w:spacing w:line="0" w:lineRule="atLeast"/>
        <w:ind w:left="3740"/>
        <w:rPr>
          <w:rFonts w:cs="宋体" w:asciiTheme="minorEastAsia" w:hAnsiTheme="minorEastAsia" w:eastAsiaTheme="minorEastAsia"/>
          <w:b/>
          <w:bCs/>
          <w:sz w:val="24"/>
        </w:rPr>
      </w:pPr>
    </w:p>
    <w:p w14:paraId="3C801449">
      <w:pPr>
        <w:pageBreakBefore w:val="0"/>
        <w:kinsoku/>
        <w:wordWrap w:val="0"/>
        <w:overflowPunct/>
        <w:topLinePunct w:val="0"/>
        <w:bidi w:val="0"/>
        <w:spacing w:line="0" w:lineRule="atLeast"/>
        <w:ind w:left="3740"/>
        <w:rPr>
          <w:rFonts w:cs="宋体" w:asciiTheme="minorEastAsia" w:hAnsiTheme="minorEastAsia" w:eastAsiaTheme="minorEastAsia"/>
          <w:b/>
          <w:bCs/>
          <w:sz w:val="24"/>
        </w:rPr>
      </w:pPr>
    </w:p>
    <w:p w14:paraId="782EDEA2">
      <w:pPr>
        <w:pageBreakBefore w:val="0"/>
        <w:kinsoku/>
        <w:wordWrap w:val="0"/>
        <w:overflowPunct/>
        <w:topLinePunct w:val="0"/>
        <w:bidi w:val="0"/>
        <w:spacing w:line="0" w:lineRule="atLeast"/>
        <w:ind w:left="3740"/>
        <w:rPr>
          <w:rFonts w:cs="宋体" w:asciiTheme="minorEastAsia" w:hAnsiTheme="minorEastAsia" w:eastAsiaTheme="minorEastAsia"/>
          <w:b/>
          <w:bCs/>
          <w:sz w:val="24"/>
        </w:rPr>
      </w:pPr>
    </w:p>
    <w:p w14:paraId="33139901">
      <w:pPr>
        <w:pageBreakBefore w:val="0"/>
        <w:kinsoku/>
        <w:wordWrap w:val="0"/>
        <w:overflowPunct/>
        <w:topLinePunct w:val="0"/>
        <w:bidi w:val="0"/>
        <w:spacing w:line="0" w:lineRule="atLeast"/>
        <w:ind w:left="3740"/>
        <w:rPr>
          <w:rFonts w:cs="宋体" w:asciiTheme="minorEastAsia" w:hAnsiTheme="minorEastAsia" w:eastAsiaTheme="minorEastAsia"/>
          <w:b/>
          <w:bCs/>
          <w:sz w:val="24"/>
        </w:rPr>
      </w:pPr>
    </w:p>
    <w:p w14:paraId="4FAA1B82">
      <w:pPr>
        <w:pageBreakBefore w:val="0"/>
        <w:kinsoku/>
        <w:wordWrap w:val="0"/>
        <w:overflowPunct/>
        <w:topLinePunct w:val="0"/>
        <w:bidi w:val="0"/>
        <w:spacing w:line="0" w:lineRule="atLeast"/>
        <w:rPr>
          <w:rFonts w:cs="宋体" w:asciiTheme="minorEastAsia" w:hAnsiTheme="minorEastAsia" w:eastAsiaTheme="minorEastAsia"/>
          <w:b/>
          <w:bCs/>
          <w:sz w:val="24"/>
        </w:rPr>
      </w:pPr>
    </w:p>
    <w:p w14:paraId="08998E49">
      <w:pPr>
        <w:pageBreakBefore w:val="0"/>
        <w:kinsoku/>
        <w:wordWrap w:val="0"/>
        <w:overflowPunct/>
        <w:topLinePunct w:val="0"/>
        <w:bidi w:val="0"/>
        <w:spacing w:beforeLines="100" w:afterLines="50" w:line="480" w:lineRule="exact"/>
        <w:jc w:val="center"/>
        <w:textAlignment w:val="center"/>
        <w:rPr>
          <w:rFonts w:cs="宋体" w:asciiTheme="minorEastAsia" w:hAnsiTheme="minorEastAsia" w:eastAsiaTheme="minorEastAsia"/>
          <w:b/>
          <w:bCs/>
          <w:sz w:val="24"/>
        </w:rPr>
      </w:pPr>
    </w:p>
    <w:p w14:paraId="5BCA813B">
      <w:pPr>
        <w:pageBreakBefore w:val="0"/>
        <w:kinsoku/>
        <w:wordWrap w:val="0"/>
        <w:overflowPunct/>
        <w:topLinePunct w:val="0"/>
        <w:bidi w:val="0"/>
        <w:spacing w:beforeLines="100" w:afterLines="50" w:line="480" w:lineRule="exact"/>
        <w:jc w:val="center"/>
        <w:textAlignment w:val="center"/>
        <w:outlineLvl w:val="0"/>
        <w:rPr>
          <w:rFonts w:cs="宋体" w:asciiTheme="minorEastAsia" w:hAnsiTheme="minorEastAsia" w:eastAsiaTheme="minorEastAsia"/>
          <w:sz w:val="24"/>
        </w:rPr>
      </w:pPr>
      <w:r>
        <w:rPr>
          <w:rFonts w:cs="宋体" w:asciiTheme="minorEastAsia" w:hAnsiTheme="minorEastAsia" w:eastAsiaTheme="minorEastAsia"/>
          <w:b/>
          <w:bCs/>
          <w:sz w:val="24"/>
        </w:rPr>
        <w:br w:type="page"/>
      </w:r>
      <w:bookmarkStart w:id="447" w:name="_Toc14818"/>
      <w:bookmarkStart w:id="448" w:name="_Toc28054"/>
      <w:bookmarkStart w:id="449" w:name="_Toc30202"/>
      <w:bookmarkStart w:id="450" w:name="_Toc14392"/>
      <w:bookmarkStart w:id="451" w:name="_Toc7629"/>
      <w:bookmarkStart w:id="452" w:name="_Toc31687"/>
      <w:r>
        <w:rPr>
          <w:rFonts w:hint="eastAsia" w:cs="宋体" w:asciiTheme="minorEastAsia" w:hAnsiTheme="minorEastAsia" w:eastAsiaTheme="minorEastAsia"/>
          <w:b/>
          <w:bCs/>
          <w:sz w:val="30"/>
          <w:szCs w:val="30"/>
        </w:rPr>
        <w:t>三、授权委托书</w:t>
      </w:r>
      <w:bookmarkEnd w:id="447"/>
      <w:bookmarkEnd w:id="448"/>
      <w:bookmarkEnd w:id="449"/>
      <w:bookmarkEnd w:id="450"/>
      <w:bookmarkEnd w:id="451"/>
      <w:bookmarkEnd w:id="452"/>
    </w:p>
    <w:p w14:paraId="3C28DF75">
      <w:pPr>
        <w:pageBreakBefore w:val="0"/>
        <w:kinsoku/>
        <w:wordWrap w:val="0"/>
        <w:overflowPunct/>
        <w:topLinePunct w:val="0"/>
        <w:bidi w:val="0"/>
        <w:spacing w:line="480" w:lineRule="exact"/>
        <w:ind w:firstLine="720" w:firstLineChars="3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本人</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系</w:t>
      </w:r>
      <w:r>
        <w:rPr>
          <w:rFonts w:hint="eastAsia" w:cs="宋体" w:asciiTheme="minorEastAsia" w:hAnsiTheme="minorEastAsia" w:eastAsiaTheme="minorEastAsia"/>
          <w:sz w:val="24"/>
          <w:szCs w:val="24"/>
          <w:u w:val="single"/>
        </w:rPr>
        <w:t>（响应人名称）</w:t>
      </w:r>
      <w:r>
        <w:rPr>
          <w:rFonts w:hint="eastAsia" w:cs="宋体" w:asciiTheme="minorEastAsia" w:hAnsiTheme="minorEastAsia" w:eastAsiaTheme="minorEastAsia"/>
          <w:sz w:val="24"/>
          <w:szCs w:val="24"/>
        </w:rPr>
        <w:t>的法定代表人，现委托</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为我方代理人。代理人根据授权，以我方名义签署、澄清、说明、补正、递交、撤回、修改（项目名称）响应文件、签订合同和处理有关事宜，其法律后果由我方承担。</w:t>
      </w:r>
    </w:p>
    <w:p w14:paraId="4E4C0F77">
      <w:pPr>
        <w:pageBreakBefore w:val="0"/>
        <w:kinsoku/>
        <w:wordWrap w:val="0"/>
        <w:overflowPunct/>
        <w:topLinePunct w:val="0"/>
        <w:bidi w:val="0"/>
        <w:spacing w:beforeLines="100"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代理人无转委托权。</w:t>
      </w:r>
    </w:p>
    <w:p w14:paraId="2A70325D">
      <w:pPr>
        <w:pageBreakBefore w:val="0"/>
        <w:kinsoku/>
        <w:wordWrap w:val="0"/>
        <w:overflowPunct/>
        <w:topLinePunct w:val="0"/>
        <w:bidi w:val="0"/>
        <w:spacing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附：法定代表人身份证及委托代理人身份证扫描件</w:t>
      </w:r>
    </w:p>
    <w:p w14:paraId="09AE9136">
      <w:pPr>
        <w:pageBreakBefore w:val="0"/>
        <w:kinsoku/>
        <w:wordWrap w:val="0"/>
        <w:overflowPunct/>
        <w:topLinePunct w:val="0"/>
        <w:bidi w:val="0"/>
        <w:spacing w:line="480" w:lineRule="exact"/>
        <w:textAlignment w:val="center"/>
        <w:rPr>
          <w:rFonts w:cs="宋体" w:asciiTheme="minorEastAsia" w:hAnsiTheme="minorEastAsia" w:eastAsiaTheme="minorEastAsia"/>
          <w:sz w:val="24"/>
          <w:szCs w:val="24"/>
        </w:rPr>
      </w:pPr>
    </w:p>
    <w:p w14:paraId="7190E881">
      <w:pPr>
        <w:pageBreakBefore w:val="0"/>
        <w:kinsoku/>
        <w:wordWrap w:val="0"/>
        <w:overflowPunct/>
        <w:topLinePunct w:val="0"/>
        <w:bidi w:val="0"/>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  应  人：（公章签章）</w:t>
      </w:r>
    </w:p>
    <w:p w14:paraId="164D0BA1">
      <w:pPr>
        <w:pageBreakBefore w:val="0"/>
        <w:kinsoku/>
        <w:wordWrap w:val="0"/>
        <w:overflowPunct/>
        <w:topLinePunct w:val="0"/>
        <w:bidi w:val="0"/>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w:t>
      </w:r>
      <w:r>
        <w:rPr>
          <w:rFonts w:hint="eastAsia" w:cs="宋体" w:asciiTheme="minorEastAsia" w:hAnsiTheme="minorEastAsia" w:eastAsiaTheme="minorEastAsia"/>
          <w:sz w:val="24"/>
        </w:rPr>
        <w:t>电子签章</w:t>
      </w:r>
      <w:r>
        <w:rPr>
          <w:rFonts w:hint="eastAsia" w:cs="宋体" w:asciiTheme="minorEastAsia" w:hAnsiTheme="minorEastAsia" w:eastAsiaTheme="minorEastAsia"/>
          <w:sz w:val="24"/>
          <w:szCs w:val="24"/>
        </w:rPr>
        <w:t>）</w:t>
      </w:r>
    </w:p>
    <w:p w14:paraId="56D1F970">
      <w:pPr>
        <w:pageBreakBefore w:val="0"/>
        <w:kinsoku/>
        <w:wordWrap w:val="0"/>
        <w:overflowPunct/>
        <w:topLinePunct w:val="0"/>
        <w:bidi w:val="0"/>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p>
    <w:p w14:paraId="1E26B3FC">
      <w:pPr>
        <w:pageBreakBefore w:val="0"/>
        <w:kinsoku/>
        <w:wordWrap w:val="0"/>
        <w:overflowPunct/>
        <w:topLinePunct w:val="0"/>
        <w:bidi w:val="0"/>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委托代理人身份证号码：</w:t>
      </w:r>
    </w:p>
    <w:p w14:paraId="504898C5">
      <w:pPr>
        <w:pageBreakBefore w:val="0"/>
        <w:kinsoku/>
        <w:wordWrap w:val="0"/>
        <w:overflowPunct/>
        <w:topLinePunct w:val="0"/>
        <w:bidi w:val="0"/>
        <w:spacing w:line="480" w:lineRule="exact"/>
        <w:ind w:firstLine="3840" w:firstLineChars="1600"/>
        <w:textAlignment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联系电话</w:t>
      </w:r>
      <w:r>
        <w:rPr>
          <w:rFonts w:hint="eastAsia" w:cs="宋体" w:asciiTheme="minorEastAsia" w:hAnsiTheme="minorEastAsia" w:eastAsiaTheme="minorEastAsia"/>
          <w:sz w:val="24"/>
          <w:szCs w:val="24"/>
        </w:rPr>
        <w:t>：</w:t>
      </w:r>
    </w:p>
    <w:p w14:paraId="4A65EF6E">
      <w:pPr>
        <w:pageBreakBefore w:val="0"/>
        <w:kinsoku/>
        <w:wordWrap w:val="0"/>
        <w:overflowPunct/>
        <w:topLinePunct w:val="0"/>
        <w:bidi w:val="0"/>
        <w:spacing w:line="480" w:lineRule="exact"/>
        <w:ind w:firstLine="4560" w:firstLineChars="19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年月日</w:t>
      </w:r>
    </w:p>
    <w:p w14:paraId="4FBF17AC">
      <w:pPr>
        <w:pageBreakBefore w:val="0"/>
        <w:kinsoku/>
        <w:wordWrap w:val="0"/>
        <w:overflowPunct/>
        <w:topLinePunct w:val="0"/>
        <w:bidi w:val="0"/>
        <w:spacing w:beforeLines="100" w:afterLines="50" w:line="480" w:lineRule="exact"/>
        <w:textAlignment w:val="center"/>
        <w:rPr>
          <w:rFonts w:cs="宋体" w:asciiTheme="minorEastAsia" w:hAnsiTheme="minorEastAsia" w:eastAsiaTheme="minorEastAsia"/>
          <w:b/>
          <w:bCs/>
          <w:sz w:val="24"/>
          <w:szCs w:val="24"/>
        </w:rPr>
      </w:pPr>
    </w:p>
    <w:p w14:paraId="28355E33">
      <w:pPr>
        <w:pageBreakBefore w:val="0"/>
        <w:kinsoku/>
        <w:wordWrap w:val="0"/>
        <w:overflowPunct/>
        <w:topLinePunct w:val="0"/>
        <w:bidi w:val="0"/>
        <w:spacing w:line="400" w:lineRule="exact"/>
        <w:rPr>
          <w:rFonts w:cs="宋体" w:asciiTheme="minorEastAsia" w:hAnsiTheme="minorEastAsia" w:eastAsiaTheme="minorEastAsia"/>
          <w:b/>
          <w:bCs/>
          <w:sz w:val="24"/>
        </w:rPr>
      </w:pPr>
      <w:bookmarkStart w:id="453" w:name="_Toc466566720"/>
      <w:bookmarkEnd w:id="453"/>
    </w:p>
    <w:p w14:paraId="61A6B211">
      <w:pPr>
        <w:pageBreakBefore w:val="0"/>
        <w:kinsoku/>
        <w:wordWrap w:val="0"/>
        <w:overflowPunct/>
        <w:topLinePunct w:val="0"/>
        <w:bidi w:val="0"/>
        <w:spacing w:line="400" w:lineRule="exact"/>
        <w:jc w:val="center"/>
        <w:outlineLvl w:val="0"/>
        <w:rPr>
          <w:rFonts w:cs="宋体" w:asciiTheme="minorEastAsia" w:hAnsiTheme="minorEastAsia" w:eastAsiaTheme="minorEastAsia"/>
          <w:b/>
          <w:sz w:val="30"/>
          <w:szCs w:val="30"/>
        </w:rPr>
      </w:pPr>
      <w:r>
        <w:rPr>
          <w:rFonts w:hint="eastAsia" w:cs="宋体" w:asciiTheme="minorEastAsia" w:hAnsiTheme="minorEastAsia" w:eastAsiaTheme="minorEastAsia"/>
          <w:b/>
          <w:bCs/>
          <w:sz w:val="24"/>
        </w:rPr>
        <w:br w:type="page"/>
      </w:r>
      <w:bookmarkStart w:id="454" w:name="_Toc11405"/>
      <w:bookmarkStart w:id="455" w:name="_Toc32717"/>
      <w:bookmarkStart w:id="456" w:name="_Toc4050"/>
      <w:bookmarkStart w:id="457" w:name="_Toc29411"/>
      <w:bookmarkStart w:id="458" w:name="_Toc7633"/>
      <w:bookmarkStart w:id="459" w:name="_Toc6506"/>
      <w:r>
        <w:rPr>
          <w:rFonts w:hint="eastAsia" w:cs="宋体" w:asciiTheme="minorEastAsia" w:hAnsiTheme="minorEastAsia" w:eastAsiaTheme="minorEastAsia"/>
          <w:b/>
          <w:bCs/>
          <w:sz w:val="30"/>
          <w:szCs w:val="30"/>
        </w:rPr>
        <w:t>四、磋商承诺函</w:t>
      </w:r>
      <w:bookmarkEnd w:id="454"/>
      <w:bookmarkEnd w:id="455"/>
      <w:bookmarkEnd w:id="456"/>
      <w:bookmarkEnd w:id="457"/>
      <w:bookmarkEnd w:id="458"/>
      <w:bookmarkEnd w:id="459"/>
    </w:p>
    <w:p w14:paraId="2EDA86D1">
      <w:pPr>
        <w:pageBreakBefore w:val="0"/>
        <w:kinsoku/>
        <w:wordWrap w:val="0"/>
        <w:overflowPunct/>
        <w:topLinePunct w:val="0"/>
        <w:bidi w:val="0"/>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致（采购人）：</w:t>
      </w:r>
    </w:p>
    <w:p w14:paraId="14167BA0">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我公司作为本次磋商项目的响应人，根据竞争性磋商文件要求，现郑重承诺如下：</w:t>
      </w:r>
    </w:p>
    <w:p w14:paraId="3A7F13B7">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一、完全接受和满足本项目竞争性磋商文件中规定的实质性要求，如对竞争性磋商文件有异议，不存在对竞争性磋商文件有异议的同时又参加磋商以求侥幸中标或者为实现其他非法目的的行为。</w:t>
      </w:r>
    </w:p>
    <w:p w14:paraId="060DFDE5">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二、参加本次磋商采购活动，不存在与单位负责人为同一人或者存在直接控股、管理关系的其他供应商参与同一合同项下的政府采购活动的行为。</w:t>
      </w:r>
    </w:p>
    <w:p w14:paraId="2BB49EAC">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三、参加本次磋商活动，不存在为磋商项目提供整体设计、规范编制或者项目管理、监理、检测等服务的行为。</w:t>
      </w:r>
    </w:p>
    <w:p w14:paraId="15664BA5">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四、参加本次磋商活动，不存在和其他供应商在同一合同项下的采购项目中，同时委托同一个自然人、同一家庭的人员、同一单位的人员作为代理人的行为。</w:t>
      </w:r>
    </w:p>
    <w:p w14:paraId="37708500">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五、响应人参加本次磋商活动要求在近三年内响应人和其法定代表人没有行贿犯罪行为。</w:t>
      </w:r>
    </w:p>
    <w:p w14:paraId="581C4BA4">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六、参加本次磋商活动，不存在联合体磋商。</w:t>
      </w:r>
    </w:p>
    <w:p w14:paraId="6D0E9EA5">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七、竞争性磋商文件中提供的能够给予我公司带来优惠、好处的任何材料资料和技术、服务、商务等响应承诺情况都是真实的、有效的、合法的。</w:t>
      </w:r>
    </w:p>
    <w:p w14:paraId="2B2FD308">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2B1856AC">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九、存在以下行为之一的愿意接受相关部门的处理：</w:t>
      </w:r>
    </w:p>
    <w:p w14:paraId="18B97B31">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（一）磋商有效期内撤销竞争性磋商文件的；</w:t>
      </w:r>
    </w:p>
    <w:p w14:paraId="64780920">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（二）在采购人确定中标人以前放弃中标候选资格的；</w:t>
      </w:r>
    </w:p>
    <w:p w14:paraId="02638AF5">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（三）由于中标人的原因未能按照竞争性磋商文件的规定与采购人签订合同；</w:t>
      </w:r>
    </w:p>
    <w:p w14:paraId="4CB72D38">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（四）在响应文件中提供虚假材料谋取中标；</w:t>
      </w:r>
    </w:p>
    <w:p w14:paraId="308C550F">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（五）与采购人、其他响应人或者招标代理机构恶意串通的；</w:t>
      </w:r>
    </w:p>
    <w:p w14:paraId="16988512">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（六）磋商有效期内，响应人在政府采购活动中有违法、违规、违纪行为。</w:t>
      </w:r>
    </w:p>
    <w:p w14:paraId="370811FD">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由此产生的一切法律后果和责任由我公司承担。我公司声明放弃对此提出任何异议和追索的权利。</w:t>
      </w:r>
    </w:p>
    <w:p w14:paraId="5698CF9A">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本公司对上述承诺的内容事项真实性负责。如经查实上述承诺的内容事项存在虚假，我公司愿意接受以提供虚假材料谋取中标追究法律责任。</w:t>
      </w:r>
    </w:p>
    <w:p w14:paraId="6AB8F3C7">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p>
    <w:p w14:paraId="7BA3C294">
      <w:pPr>
        <w:pageBreakBefore w:val="0"/>
        <w:kinsoku/>
        <w:wordWrap w:val="0"/>
        <w:overflowPunct/>
        <w:topLinePunct w:val="0"/>
        <w:bidi w:val="0"/>
        <w:snapToGrid w:val="0"/>
        <w:spacing w:line="360" w:lineRule="auto"/>
        <w:rPr>
          <w:rFonts w:asciiTheme="minorEastAsia" w:hAnsiTheme="minorEastAsia" w:eastAsiaTheme="minorEastAsia"/>
          <w:sz w:val="24"/>
          <w:szCs w:val="24"/>
        </w:rPr>
      </w:pPr>
    </w:p>
    <w:p w14:paraId="6643E582">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响应人名称：（公章签章）</w:t>
      </w:r>
    </w:p>
    <w:p w14:paraId="3157D012">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法定代表人或授权代表：（法人签章）</w:t>
      </w:r>
    </w:p>
    <w:p w14:paraId="43E84365">
      <w:pPr>
        <w:pageBreakBefore w:val="0"/>
        <w:kinsoku/>
        <w:wordWrap w:val="0"/>
        <w:overflowPunct/>
        <w:topLinePunct w:val="0"/>
        <w:bidi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14:paraId="3083D7A1">
      <w:pPr>
        <w:pageBreakBefore w:val="0"/>
        <w:kinsoku/>
        <w:wordWrap w:val="0"/>
        <w:overflowPunct/>
        <w:topLinePunct w:val="0"/>
        <w:bidi w:val="0"/>
        <w:spacing w:line="460" w:lineRule="exact"/>
        <w:ind w:firstLine="480" w:firstLineChars="200"/>
        <w:rPr>
          <w:rFonts w:cs="宋体" w:asciiTheme="minorEastAsia" w:hAnsiTheme="minorEastAsia" w:eastAsiaTheme="minorEastAsia"/>
          <w:sz w:val="24"/>
        </w:rPr>
      </w:pPr>
    </w:p>
    <w:p w14:paraId="1D701353">
      <w:pPr>
        <w:pageBreakBefore w:val="0"/>
        <w:kinsoku/>
        <w:wordWrap w:val="0"/>
        <w:overflowPunct/>
        <w:topLinePunct w:val="0"/>
        <w:bidi w:val="0"/>
        <w:spacing w:line="460" w:lineRule="exact"/>
        <w:ind w:firstLine="480" w:firstLineChars="200"/>
        <w:rPr>
          <w:rFonts w:cs="宋体" w:asciiTheme="minorEastAsia" w:hAnsiTheme="minorEastAsia" w:eastAsiaTheme="minorEastAsia"/>
          <w:sz w:val="24"/>
        </w:rPr>
      </w:pPr>
    </w:p>
    <w:p w14:paraId="0DFD035A">
      <w:pPr>
        <w:pageBreakBefore w:val="0"/>
        <w:kinsoku/>
        <w:wordWrap w:val="0"/>
        <w:overflowPunct/>
        <w:topLinePunct w:val="0"/>
        <w:bidi w:val="0"/>
        <w:spacing w:line="460" w:lineRule="exact"/>
        <w:ind w:firstLine="480" w:firstLineChars="200"/>
        <w:rPr>
          <w:rFonts w:cs="宋体" w:asciiTheme="minorEastAsia" w:hAnsiTheme="minorEastAsia" w:eastAsiaTheme="minorEastAsia"/>
          <w:sz w:val="24"/>
        </w:rPr>
      </w:pPr>
    </w:p>
    <w:p w14:paraId="1E73DFE4">
      <w:pPr>
        <w:pageBreakBefore w:val="0"/>
        <w:kinsoku/>
        <w:wordWrap w:val="0"/>
        <w:overflowPunct/>
        <w:topLinePunct w:val="0"/>
        <w:bidi w:val="0"/>
        <w:spacing w:line="460" w:lineRule="exact"/>
        <w:ind w:firstLine="480" w:firstLineChars="200"/>
        <w:rPr>
          <w:rFonts w:cs="宋体" w:asciiTheme="minorEastAsia" w:hAnsiTheme="minorEastAsia" w:eastAsiaTheme="minorEastAsia"/>
          <w:sz w:val="24"/>
        </w:rPr>
      </w:pPr>
    </w:p>
    <w:p w14:paraId="51F16914">
      <w:pPr>
        <w:pageBreakBefore w:val="0"/>
        <w:kinsoku/>
        <w:wordWrap w:val="0"/>
        <w:overflowPunct/>
        <w:topLinePunct w:val="0"/>
        <w:bidi w:val="0"/>
        <w:spacing w:line="460" w:lineRule="exact"/>
        <w:ind w:firstLine="480" w:firstLineChars="200"/>
        <w:rPr>
          <w:rFonts w:cs="宋体" w:asciiTheme="minorEastAsia" w:hAnsiTheme="minorEastAsia" w:eastAsiaTheme="minorEastAsia"/>
          <w:sz w:val="24"/>
        </w:rPr>
      </w:pPr>
    </w:p>
    <w:p w14:paraId="1CCD4070">
      <w:pPr>
        <w:pageBreakBefore w:val="0"/>
        <w:kinsoku/>
        <w:wordWrap w:val="0"/>
        <w:overflowPunct/>
        <w:topLinePunct w:val="0"/>
        <w:bidi w:val="0"/>
        <w:spacing w:line="460" w:lineRule="exact"/>
        <w:ind w:firstLine="480" w:firstLineChars="200"/>
        <w:rPr>
          <w:rFonts w:cs="宋体" w:asciiTheme="minorEastAsia" w:hAnsiTheme="minorEastAsia" w:eastAsiaTheme="minorEastAsia"/>
          <w:sz w:val="24"/>
        </w:rPr>
      </w:pPr>
    </w:p>
    <w:p w14:paraId="122AE0B4">
      <w:pPr>
        <w:pageBreakBefore w:val="0"/>
        <w:kinsoku/>
        <w:wordWrap w:val="0"/>
        <w:overflowPunct/>
        <w:topLinePunct w:val="0"/>
        <w:bidi w:val="0"/>
        <w:spacing w:beforeLines="100" w:afterLines="50" w:line="480" w:lineRule="exact"/>
        <w:jc w:val="center"/>
        <w:textAlignment w:val="center"/>
        <w:rPr>
          <w:rFonts w:cs="宋体" w:asciiTheme="minorEastAsia" w:hAnsiTheme="minorEastAsia" w:eastAsiaTheme="minorEastAsia"/>
          <w:b/>
          <w:bCs/>
          <w:sz w:val="24"/>
        </w:rPr>
      </w:pPr>
    </w:p>
    <w:p w14:paraId="7EBB724E">
      <w:pPr>
        <w:pageBreakBefore w:val="0"/>
        <w:kinsoku/>
        <w:wordWrap w:val="0"/>
        <w:overflowPunct/>
        <w:topLinePunct w:val="0"/>
        <w:bidi w:val="0"/>
        <w:spacing w:beforeLines="100" w:afterLines="50" w:line="480" w:lineRule="exact"/>
        <w:textAlignment w:val="center"/>
        <w:rPr>
          <w:rFonts w:cs="宋体" w:asciiTheme="minorEastAsia" w:hAnsiTheme="minorEastAsia" w:eastAsiaTheme="minorEastAsia"/>
          <w:b/>
          <w:bCs/>
          <w:sz w:val="24"/>
        </w:rPr>
      </w:pPr>
    </w:p>
    <w:p w14:paraId="7C3FF533">
      <w:pPr>
        <w:pageBreakBefore w:val="0"/>
        <w:kinsoku/>
        <w:wordWrap w:val="0"/>
        <w:overflowPunct/>
        <w:topLinePunct w:val="0"/>
        <w:bidi w:val="0"/>
        <w:spacing w:beforeLines="100" w:afterLines="50" w:line="480" w:lineRule="exact"/>
        <w:textAlignment w:val="center"/>
        <w:rPr>
          <w:rFonts w:cs="宋体" w:asciiTheme="minorEastAsia" w:hAnsiTheme="minorEastAsia" w:eastAsiaTheme="minorEastAsia"/>
          <w:b/>
          <w:bCs/>
          <w:sz w:val="24"/>
        </w:rPr>
      </w:pPr>
    </w:p>
    <w:p w14:paraId="5827FBB7">
      <w:pPr>
        <w:pageBreakBefore w:val="0"/>
        <w:kinsoku/>
        <w:wordWrap w:val="0"/>
        <w:overflowPunct/>
        <w:topLinePunct w:val="0"/>
        <w:bidi w:val="0"/>
        <w:spacing w:beforeLines="100" w:afterLines="50" w:line="480" w:lineRule="exact"/>
        <w:jc w:val="center"/>
        <w:textAlignment w:val="center"/>
        <w:rPr>
          <w:rFonts w:cs="宋体" w:asciiTheme="minorEastAsia" w:hAnsiTheme="minorEastAsia" w:eastAsiaTheme="minorEastAsia"/>
          <w:b/>
          <w:bCs/>
          <w:sz w:val="24"/>
        </w:rPr>
      </w:pPr>
    </w:p>
    <w:p w14:paraId="79B13811">
      <w:pPr>
        <w:pageBreakBefore w:val="0"/>
        <w:kinsoku/>
        <w:wordWrap w:val="0"/>
        <w:overflowPunct/>
        <w:topLinePunct w:val="0"/>
        <w:bidi w:val="0"/>
        <w:spacing w:beforeLines="100" w:afterLines="50" w:line="480" w:lineRule="exact"/>
        <w:jc w:val="center"/>
        <w:textAlignment w:val="center"/>
        <w:rPr>
          <w:rFonts w:cs="宋体" w:asciiTheme="minorEastAsia" w:hAnsiTheme="minorEastAsia" w:eastAsiaTheme="minorEastAsia"/>
          <w:b/>
          <w:bCs/>
          <w:sz w:val="24"/>
        </w:rPr>
      </w:pPr>
    </w:p>
    <w:p w14:paraId="720EE1CF">
      <w:pPr>
        <w:pageBreakBefore w:val="0"/>
        <w:kinsoku/>
        <w:wordWrap w:val="0"/>
        <w:overflowPunct/>
        <w:topLinePunct w:val="0"/>
        <w:bidi w:val="0"/>
        <w:spacing w:beforeLines="100" w:afterLines="50" w:line="480" w:lineRule="exact"/>
        <w:jc w:val="center"/>
        <w:textAlignment w:val="center"/>
        <w:rPr>
          <w:rFonts w:cs="宋体" w:asciiTheme="minorEastAsia" w:hAnsiTheme="minorEastAsia" w:eastAsiaTheme="minorEastAsia"/>
          <w:b/>
          <w:bCs/>
          <w:sz w:val="24"/>
        </w:rPr>
      </w:pPr>
    </w:p>
    <w:p w14:paraId="7DB80ED6">
      <w:pPr>
        <w:pageBreakBefore w:val="0"/>
        <w:kinsoku/>
        <w:wordWrap w:val="0"/>
        <w:overflowPunct/>
        <w:topLinePunct w:val="0"/>
        <w:bidi w:val="0"/>
        <w:spacing w:beforeLines="100" w:afterLines="50" w:line="480" w:lineRule="exact"/>
        <w:jc w:val="center"/>
        <w:textAlignment w:val="center"/>
        <w:rPr>
          <w:rFonts w:cs="宋体" w:asciiTheme="minorEastAsia" w:hAnsiTheme="minorEastAsia" w:eastAsiaTheme="minorEastAsia"/>
          <w:b/>
          <w:bCs/>
          <w:sz w:val="24"/>
        </w:rPr>
      </w:pPr>
    </w:p>
    <w:p w14:paraId="3BD1090C">
      <w:pPr>
        <w:pageBreakBefore w:val="0"/>
        <w:kinsoku/>
        <w:wordWrap w:val="0"/>
        <w:overflowPunct/>
        <w:topLinePunct w:val="0"/>
        <w:bidi w:val="0"/>
        <w:spacing w:beforeLines="100" w:afterLines="50" w:line="480" w:lineRule="exact"/>
        <w:jc w:val="center"/>
        <w:textAlignment w:val="center"/>
        <w:rPr>
          <w:rFonts w:cs="宋体" w:asciiTheme="minorEastAsia" w:hAnsiTheme="minorEastAsia" w:eastAsiaTheme="minorEastAsia"/>
          <w:b/>
          <w:bCs/>
          <w:sz w:val="24"/>
        </w:rPr>
      </w:pPr>
      <w:bookmarkStart w:id="460" w:name="_Toc2807"/>
      <w:bookmarkStart w:id="461" w:name="_Toc18966"/>
      <w:bookmarkStart w:id="462" w:name="_Toc20745"/>
      <w:bookmarkStart w:id="463" w:name="_Toc5084"/>
    </w:p>
    <w:p w14:paraId="36B9CB08">
      <w:pPr>
        <w:pageBreakBefore w:val="0"/>
        <w:kinsoku/>
        <w:wordWrap w:val="0"/>
        <w:overflowPunct/>
        <w:topLinePunct w:val="0"/>
        <w:bidi w:val="0"/>
        <w:rPr>
          <w:rFonts w:cs="宋体" w:asciiTheme="minorEastAsia" w:hAnsiTheme="minorEastAsia" w:eastAsiaTheme="minorEastAsia"/>
          <w:b/>
          <w:bCs/>
          <w:sz w:val="24"/>
        </w:rPr>
      </w:pPr>
      <w:r>
        <w:rPr>
          <w:rFonts w:hint="eastAsia" w:cs="宋体" w:asciiTheme="minorEastAsia" w:hAnsiTheme="minorEastAsia" w:eastAsiaTheme="minorEastAsia"/>
          <w:b/>
          <w:bCs/>
          <w:sz w:val="24"/>
        </w:rPr>
        <w:br w:type="page"/>
      </w:r>
    </w:p>
    <w:p w14:paraId="2CB8BE76">
      <w:pPr>
        <w:pageBreakBefore w:val="0"/>
        <w:kinsoku/>
        <w:wordWrap w:val="0"/>
        <w:overflowPunct/>
        <w:topLinePunct w:val="0"/>
        <w:bidi w:val="0"/>
        <w:spacing w:beforeLines="100" w:afterLines="50" w:line="480" w:lineRule="exact"/>
        <w:jc w:val="center"/>
        <w:textAlignment w:val="center"/>
        <w:outlineLvl w:val="0"/>
        <w:rPr>
          <w:rFonts w:cs="宋体" w:asciiTheme="minorEastAsia" w:hAnsiTheme="minorEastAsia" w:eastAsiaTheme="minorEastAsia"/>
          <w:b/>
          <w:bCs/>
          <w:sz w:val="30"/>
          <w:szCs w:val="30"/>
        </w:rPr>
      </w:pPr>
      <w:bookmarkStart w:id="464" w:name="_Toc13160"/>
      <w:r>
        <w:rPr>
          <w:rFonts w:hint="eastAsia" w:cs="宋体" w:asciiTheme="minorEastAsia" w:hAnsiTheme="minorEastAsia" w:eastAsiaTheme="minorEastAsia"/>
          <w:b/>
          <w:bCs/>
          <w:sz w:val="30"/>
          <w:szCs w:val="30"/>
        </w:rPr>
        <w:t>五、已标价工程量清单</w:t>
      </w:r>
      <w:bookmarkEnd w:id="460"/>
      <w:bookmarkEnd w:id="461"/>
      <w:bookmarkEnd w:id="462"/>
      <w:bookmarkEnd w:id="463"/>
      <w:bookmarkEnd w:id="464"/>
    </w:p>
    <w:p w14:paraId="29AB893D">
      <w:pPr>
        <w:pageBreakBefore w:val="0"/>
        <w:kinsoku/>
        <w:wordWrap w:val="0"/>
        <w:overflowPunct/>
        <w:topLinePunct w:val="0"/>
        <w:bidi w:val="0"/>
        <w:spacing w:line="480" w:lineRule="exact"/>
        <w:ind w:firstLine="420" w:firstLineChars="175"/>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说明：已标价工程量清单按第五章“工程量清单”中的相关清单表格式填写。构成合同文件的已标价工程量清单包括第五章“工程量清单”有关工程量清单、磋商报价以及其他说明的内容。</w:t>
      </w:r>
    </w:p>
    <w:p w14:paraId="23D549F0">
      <w:pPr>
        <w:pageBreakBefore w:val="0"/>
        <w:kinsoku/>
        <w:wordWrap w:val="0"/>
        <w:overflowPunct/>
        <w:topLinePunct w:val="0"/>
        <w:bidi w:val="0"/>
        <w:spacing w:beforeLines="100" w:afterLines="50" w:line="480" w:lineRule="exact"/>
        <w:textAlignment w:val="center"/>
        <w:rPr>
          <w:rFonts w:cs="宋体" w:asciiTheme="minorEastAsia" w:hAnsiTheme="minorEastAsia" w:eastAsiaTheme="minorEastAsia"/>
          <w:sz w:val="24"/>
        </w:rPr>
      </w:pPr>
    </w:p>
    <w:p w14:paraId="22FB5EEB">
      <w:pPr>
        <w:pageBreakBefore w:val="0"/>
        <w:kinsoku/>
        <w:wordWrap w:val="0"/>
        <w:overflowPunct/>
        <w:topLinePunct w:val="0"/>
        <w:bidi w:val="0"/>
        <w:spacing w:beforeLines="100" w:afterLines="50" w:line="480" w:lineRule="exact"/>
        <w:textAlignment w:val="center"/>
        <w:rPr>
          <w:rFonts w:cs="宋体" w:asciiTheme="minorEastAsia" w:hAnsiTheme="minorEastAsia" w:eastAsiaTheme="minorEastAsia"/>
          <w:sz w:val="24"/>
        </w:rPr>
      </w:pPr>
    </w:p>
    <w:p w14:paraId="74E84AF6">
      <w:pPr>
        <w:pageBreakBefore w:val="0"/>
        <w:kinsoku/>
        <w:wordWrap w:val="0"/>
        <w:overflowPunct/>
        <w:topLinePunct w:val="0"/>
        <w:bidi w:val="0"/>
        <w:spacing w:beforeLines="100" w:afterLines="50" w:line="480" w:lineRule="exact"/>
        <w:textAlignment w:val="center"/>
        <w:rPr>
          <w:rFonts w:cs="宋体" w:asciiTheme="minorEastAsia" w:hAnsiTheme="minorEastAsia" w:eastAsiaTheme="minorEastAsia"/>
          <w:sz w:val="24"/>
        </w:rPr>
      </w:pPr>
    </w:p>
    <w:p w14:paraId="304CEA2D">
      <w:pPr>
        <w:pageBreakBefore w:val="0"/>
        <w:kinsoku/>
        <w:wordWrap w:val="0"/>
        <w:overflowPunct/>
        <w:topLinePunct w:val="0"/>
        <w:bidi w:val="0"/>
        <w:spacing w:beforeLines="100" w:afterLines="50" w:line="480" w:lineRule="exact"/>
        <w:textAlignment w:val="center"/>
        <w:rPr>
          <w:rFonts w:cs="宋体" w:asciiTheme="minorEastAsia" w:hAnsiTheme="minorEastAsia" w:eastAsiaTheme="minorEastAsia"/>
          <w:sz w:val="24"/>
        </w:rPr>
      </w:pPr>
    </w:p>
    <w:p w14:paraId="50090F79">
      <w:pPr>
        <w:pageBreakBefore w:val="0"/>
        <w:kinsoku/>
        <w:wordWrap w:val="0"/>
        <w:overflowPunct/>
        <w:topLinePunct w:val="0"/>
        <w:bidi w:val="0"/>
        <w:spacing w:beforeLines="100" w:afterLines="50" w:line="480" w:lineRule="exact"/>
        <w:textAlignment w:val="center"/>
        <w:rPr>
          <w:rFonts w:cs="宋体" w:asciiTheme="minorEastAsia" w:hAnsiTheme="minorEastAsia" w:eastAsiaTheme="minorEastAsia"/>
          <w:sz w:val="24"/>
        </w:rPr>
      </w:pPr>
    </w:p>
    <w:p w14:paraId="5F9DA3D8">
      <w:pPr>
        <w:pageBreakBefore w:val="0"/>
        <w:kinsoku/>
        <w:wordWrap w:val="0"/>
        <w:overflowPunct/>
        <w:topLinePunct w:val="0"/>
        <w:bidi w:val="0"/>
        <w:spacing w:beforeLines="100" w:afterLines="50" w:line="480" w:lineRule="exact"/>
        <w:textAlignment w:val="center"/>
        <w:rPr>
          <w:rFonts w:cs="宋体" w:asciiTheme="minorEastAsia" w:hAnsiTheme="minorEastAsia" w:eastAsiaTheme="minorEastAsia"/>
          <w:sz w:val="24"/>
        </w:rPr>
      </w:pPr>
    </w:p>
    <w:p w14:paraId="4FEF6BB5">
      <w:pPr>
        <w:pageBreakBefore w:val="0"/>
        <w:kinsoku/>
        <w:wordWrap w:val="0"/>
        <w:overflowPunct/>
        <w:topLinePunct w:val="0"/>
        <w:bidi w:val="0"/>
        <w:spacing w:beforeLines="100" w:afterLines="50" w:line="480" w:lineRule="exact"/>
        <w:textAlignment w:val="center"/>
        <w:rPr>
          <w:rFonts w:cs="宋体" w:asciiTheme="minorEastAsia" w:hAnsiTheme="minorEastAsia" w:eastAsiaTheme="minorEastAsia"/>
          <w:sz w:val="24"/>
        </w:rPr>
      </w:pPr>
    </w:p>
    <w:p w14:paraId="35B0CCD1">
      <w:pPr>
        <w:pageBreakBefore w:val="0"/>
        <w:kinsoku/>
        <w:wordWrap w:val="0"/>
        <w:overflowPunct/>
        <w:topLinePunct w:val="0"/>
        <w:bidi w:val="0"/>
        <w:spacing w:beforeLines="100" w:afterLines="50" w:line="480" w:lineRule="exact"/>
        <w:textAlignment w:val="center"/>
        <w:rPr>
          <w:rFonts w:cs="宋体" w:asciiTheme="minorEastAsia" w:hAnsiTheme="minorEastAsia" w:eastAsiaTheme="minorEastAsia"/>
          <w:sz w:val="24"/>
        </w:rPr>
      </w:pPr>
    </w:p>
    <w:p w14:paraId="53862B2F">
      <w:pPr>
        <w:pageBreakBefore w:val="0"/>
        <w:kinsoku/>
        <w:wordWrap w:val="0"/>
        <w:overflowPunct/>
        <w:topLinePunct w:val="0"/>
        <w:bidi w:val="0"/>
        <w:spacing w:beforeLines="100" w:afterLines="50" w:line="480" w:lineRule="exact"/>
        <w:textAlignment w:val="center"/>
        <w:rPr>
          <w:rFonts w:cs="宋体" w:asciiTheme="minorEastAsia" w:hAnsiTheme="minorEastAsia" w:eastAsiaTheme="minorEastAsia"/>
          <w:sz w:val="24"/>
        </w:rPr>
      </w:pPr>
    </w:p>
    <w:p w14:paraId="1AD7BF80">
      <w:pPr>
        <w:pageBreakBefore w:val="0"/>
        <w:kinsoku/>
        <w:wordWrap w:val="0"/>
        <w:overflowPunct/>
        <w:topLinePunct w:val="0"/>
        <w:bidi w:val="0"/>
        <w:spacing w:beforeLines="100" w:afterLines="50" w:line="480" w:lineRule="exact"/>
        <w:textAlignment w:val="center"/>
        <w:rPr>
          <w:rFonts w:cs="宋体" w:asciiTheme="minorEastAsia" w:hAnsiTheme="minorEastAsia" w:eastAsiaTheme="minorEastAsia"/>
          <w:b/>
          <w:bCs/>
          <w:sz w:val="24"/>
        </w:rPr>
      </w:pPr>
    </w:p>
    <w:p w14:paraId="77C6A692">
      <w:pPr>
        <w:pageBreakBefore w:val="0"/>
        <w:kinsoku/>
        <w:wordWrap w:val="0"/>
        <w:overflowPunct/>
        <w:topLinePunct w:val="0"/>
        <w:bidi w:val="0"/>
        <w:spacing w:beforeLines="100" w:afterLines="50" w:line="480" w:lineRule="exact"/>
        <w:textAlignment w:val="center"/>
        <w:rPr>
          <w:rFonts w:cs="宋体" w:asciiTheme="minorEastAsia" w:hAnsiTheme="minorEastAsia" w:eastAsiaTheme="minorEastAsia"/>
          <w:b/>
          <w:bCs/>
          <w:sz w:val="24"/>
        </w:rPr>
      </w:pPr>
    </w:p>
    <w:p w14:paraId="49DDCE95">
      <w:pPr>
        <w:pageBreakBefore w:val="0"/>
        <w:kinsoku/>
        <w:wordWrap w:val="0"/>
        <w:overflowPunct/>
        <w:topLinePunct w:val="0"/>
        <w:bidi w:val="0"/>
        <w:spacing w:beforeLines="100" w:afterLines="50" w:line="480" w:lineRule="exact"/>
        <w:textAlignment w:val="center"/>
        <w:rPr>
          <w:rFonts w:cs="宋体" w:asciiTheme="minorEastAsia" w:hAnsiTheme="minorEastAsia" w:eastAsiaTheme="minorEastAsia"/>
          <w:b/>
          <w:bCs/>
          <w:sz w:val="24"/>
        </w:rPr>
      </w:pPr>
    </w:p>
    <w:p w14:paraId="33A29F96">
      <w:pPr>
        <w:pageBreakBefore w:val="0"/>
        <w:kinsoku/>
        <w:wordWrap w:val="0"/>
        <w:overflowPunct/>
        <w:topLinePunct w:val="0"/>
        <w:bidi w:val="0"/>
        <w:spacing w:beforeLines="100" w:afterLines="50" w:line="480" w:lineRule="exact"/>
        <w:textAlignment w:val="center"/>
        <w:rPr>
          <w:rFonts w:cs="宋体" w:asciiTheme="minorEastAsia" w:hAnsiTheme="minorEastAsia" w:eastAsiaTheme="minorEastAsia"/>
          <w:b/>
          <w:bCs/>
          <w:sz w:val="24"/>
        </w:rPr>
      </w:pPr>
    </w:p>
    <w:p w14:paraId="732C12F4">
      <w:pPr>
        <w:pageBreakBefore w:val="0"/>
        <w:kinsoku/>
        <w:wordWrap w:val="0"/>
        <w:overflowPunct/>
        <w:topLinePunct w:val="0"/>
        <w:bidi w:val="0"/>
        <w:spacing w:beforeLines="100" w:afterLines="50" w:line="480" w:lineRule="exact"/>
        <w:textAlignment w:val="center"/>
        <w:rPr>
          <w:rFonts w:cs="宋体" w:asciiTheme="minorEastAsia" w:hAnsiTheme="minorEastAsia" w:eastAsiaTheme="minorEastAsia"/>
          <w:b/>
          <w:bCs/>
          <w:sz w:val="30"/>
          <w:szCs w:val="30"/>
        </w:rPr>
      </w:pPr>
    </w:p>
    <w:p w14:paraId="649315FF">
      <w:pPr>
        <w:pageBreakBefore w:val="0"/>
        <w:kinsoku/>
        <w:wordWrap w:val="0"/>
        <w:overflowPunct/>
        <w:topLinePunct w:val="0"/>
        <w:bidi w:val="0"/>
        <w:spacing w:beforeLines="100" w:afterLines="50" w:line="480" w:lineRule="exact"/>
        <w:jc w:val="center"/>
        <w:textAlignment w:val="center"/>
        <w:outlineLvl w:val="0"/>
        <w:rPr>
          <w:rFonts w:cs="宋体" w:asciiTheme="minorEastAsia" w:hAnsiTheme="minorEastAsia" w:eastAsiaTheme="minorEastAsia"/>
          <w:b/>
          <w:bCs/>
          <w:sz w:val="24"/>
        </w:rPr>
      </w:pPr>
      <w:bookmarkStart w:id="465" w:name="_Toc1933"/>
      <w:bookmarkStart w:id="466" w:name="_Toc12493"/>
      <w:bookmarkStart w:id="467" w:name="_Toc3097"/>
      <w:bookmarkStart w:id="468" w:name="_Toc30855"/>
      <w:r>
        <w:rPr>
          <w:rFonts w:hint="eastAsia" w:cs="宋体" w:asciiTheme="minorEastAsia" w:hAnsiTheme="minorEastAsia" w:eastAsiaTheme="minorEastAsia"/>
          <w:b/>
          <w:bCs/>
          <w:sz w:val="30"/>
          <w:szCs w:val="30"/>
        </w:rPr>
        <w:br w:type="page"/>
      </w:r>
      <w:bookmarkStart w:id="469" w:name="_Toc24304"/>
      <w:bookmarkStart w:id="470" w:name="_Toc8985"/>
      <w:r>
        <w:rPr>
          <w:rFonts w:hint="eastAsia" w:cs="宋体" w:asciiTheme="minorEastAsia" w:hAnsiTheme="minorEastAsia" w:eastAsiaTheme="minorEastAsia"/>
          <w:b/>
          <w:bCs/>
          <w:sz w:val="30"/>
          <w:szCs w:val="30"/>
        </w:rPr>
        <w:t>六、施工组织设计</w:t>
      </w:r>
      <w:bookmarkEnd w:id="465"/>
      <w:bookmarkEnd w:id="466"/>
      <w:bookmarkEnd w:id="467"/>
      <w:bookmarkEnd w:id="468"/>
      <w:bookmarkEnd w:id="469"/>
      <w:bookmarkEnd w:id="470"/>
    </w:p>
    <w:p w14:paraId="60CFB713">
      <w:pPr>
        <w:pageBreakBefore w:val="0"/>
        <w:kinsoku/>
        <w:wordWrap w:val="0"/>
        <w:overflowPunct/>
        <w:topLinePunct w:val="0"/>
        <w:bidi w:val="0"/>
        <w:spacing w:line="420" w:lineRule="exact"/>
        <w:ind w:firstLine="480" w:firstLineChars="200"/>
        <w:rPr>
          <w:rFonts w:hint="eastAsia"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供应商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r>
        <w:rPr>
          <w:rFonts w:hint="eastAsia" w:cs="宋体" w:asciiTheme="minorEastAsia" w:hAnsiTheme="minorEastAsia" w:eastAsiaTheme="minorEastAsia"/>
          <w:sz w:val="24"/>
          <w:szCs w:val="24"/>
          <w:lang w:eastAsia="zh-CN"/>
        </w:rPr>
        <w:t>；</w:t>
      </w:r>
    </w:p>
    <w:p w14:paraId="0CD8AD79">
      <w:pPr>
        <w:pageBreakBefore w:val="0"/>
        <w:kinsoku/>
        <w:wordWrap w:val="0"/>
        <w:overflowPunct/>
        <w:topLinePunct w:val="0"/>
        <w:bidi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2．施工组织设计除采用文字表述外可附下列图表，图表及格式要求附后</w:t>
      </w:r>
    </w:p>
    <w:p w14:paraId="4C434DCE">
      <w:pPr>
        <w:pageBreakBefore w:val="0"/>
        <w:kinsoku/>
        <w:wordWrap w:val="0"/>
        <w:overflowPunct/>
        <w:topLinePunct w:val="0"/>
        <w:bidi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附表一  拟投入本工程的主要施工设备表</w:t>
      </w:r>
    </w:p>
    <w:p w14:paraId="1549324D">
      <w:pPr>
        <w:pageBreakBefore w:val="0"/>
        <w:kinsoku/>
        <w:wordWrap w:val="0"/>
        <w:overflowPunct/>
        <w:topLinePunct w:val="0"/>
        <w:bidi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附表二  拟配备本工程的试验和检测仪器设备表</w:t>
      </w:r>
    </w:p>
    <w:p w14:paraId="34427D40">
      <w:pPr>
        <w:pageBreakBefore w:val="0"/>
        <w:kinsoku/>
        <w:wordWrap w:val="0"/>
        <w:overflowPunct/>
        <w:topLinePunct w:val="0"/>
        <w:bidi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附表三  劳动力计划表</w:t>
      </w:r>
    </w:p>
    <w:p w14:paraId="197B162B">
      <w:pPr>
        <w:pageBreakBefore w:val="0"/>
        <w:kinsoku/>
        <w:wordWrap w:val="0"/>
        <w:overflowPunct/>
        <w:topLinePunct w:val="0"/>
        <w:bidi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附表四  计划开、竣工日期和施工进度网络图</w:t>
      </w:r>
    </w:p>
    <w:p w14:paraId="2720030C">
      <w:pPr>
        <w:pageBreakBefore w:val="0"/>
        <w:kinsoku/>
        <w:wordWrap w:val="0"/>
        <w:overflowPunct/>
        <w:topLinePunct w:val="0"/>
        <w:bidi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附表五  施工总平面图</w:t>
      </w:r>
    </w:p>
    <w:p w14:paraId="4C75AFD2">
      <w:pPr>
        <w:pageBreakBefore w:val="0"/>
        <w:kinsoku/>
        <w:wordWrap w:val="0"/>
        <w:overflowPunct/>
        <w:topLinePunct w:val="0"/>
        <w:bidi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附表六  临时用地表</w:t>
      </w:r>
    </w:p>
    <w:p w14:paraId="1AC6EACF">
      <w:pPr>
        <w:pageBreakBefore w:val="0"/>
        <w:kinsoku/>
        <w:wordWrap w:val="0"/>
        <w:overflowPunct/>
        <w:topLinePunct w:val="0"/>
        <w:bidi w:val="0"/>
        <w:spacing w:line="480" w:lineRule="exact"/>
        <w:ind w:firstLine="422" w:firstLineChars="175"/>
        <w:textAlignment w:val="center"/>
        <w:rPr>
          <w:rFonts w:cs="宋体" w:asciiTheme="minorEastAsia" w:hAnsiTheme="minorEastAsia" w:eastAsiaTheme="minorEastAsia"/>
          <w:b/>
          <w:bCs/>
          <w:sz w:val="24"/>
        </w:rPr>
      </w:pPr>
    </w:p>
    <w:p w14:paraId="42D1D676">
      <w:pPr>
        <w:pageBreakBefore w:val="0"/>
        <w:kinsoku/>
        <w:wordWrap w:val="0"/>
        <w:overflowPunct/>
        <w:topLinePunct w:val="0"/>
        <w:bidi w:val="0"/>
        <w:spacing w:beforeLines="50" w:afterLines="100" w:line="480" w:lineRule="exact"/>
        <w:jc w:val="center"/>
        <w:textAlignment w:val="center"/>
        <w:rPr>
          <w:rFonts w:cs="宋体" w:asciiTheme="minorEastAsia" w:hAnsiTheme="minorEastAsia" w:eastAsiaTheme="minorEastAsia"/>
          <w:b/>
          <w:bCs/>
          <w:sz w:val="24"/>
        </w:rPr>
      </w:pPr>
    </w:p>
    <w:p w14:paraId="60A234FF">
      <w:pPr>
        <w:pageBreakBefore w:val="0"/>
        <w:kinsoku/>
        <w:wordWrap w:val="0"/>
        <w:overflowPunct/>
        <w:topLinePunct w:val="0"/>
        <w:bidi w:val="0"/>
        <w:spacing w:beforeLines="50" w:afterLines="100" w:line="480" w:lineRule="exact"/>
        <w:jc w:val="center"/>
        <w:textAlignment w:val="center"/>
        <w:rPr>
          <w:rFonts w:cs="宋体" w:asciiTheme="minorEastAsia" w:hAnsiTheme="minorEastAsia" w:eastAsiaTheme="minorEastAsia"/>
          <w:b/>
          <w:bCs/>
          <w:sz w:val="24"/>
        </w:rPr>
      </w:pPr>
      <w:r>
        <w:rPr>
          <w:rFonts w:cs="宋体" w:asciiTheme="minorEastAsia" w:hAnsiTheme="minorEastAsia" w:eastAsiaTheme="minorEastAsia"/>
          <w:b/>
          <w:bCs/>
          <w:sz w:val="24"/>
        </w:rPr>
        <w:br w:type="page"/>
      </w:r>
      <w:r>
        <w:rPr>
          <w:rFonts w:hint="eastAsia" w:cs="宋体" w:asciiTheme="minorEastAsia" w:hAnsiTheme="minorEastAsia" w:eastAsiaTheme="minorEastAsia"/>
          <w:b/>
          <w:bCs/>
          <w:sz w:val="24"/>
        </w:rPr>
        <w:t>附表一：拟投入本工程的主要施工设备表</w:t>
      </w:r>
    </w:p>
    <w:tbl>
      <w:tblPr>
        <w:tblStyle w:val="17"/>
        <w:tblW w:w="8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7666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vAlign w:val="center"/>
          </w:tcPr>
          <w:p w14:paraId="6CCD875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序号</w:t>
            </w:r>
          </w:p>
        </w:tc>
        <w:tc>
          <w:tcPr>
            <w:tcW w:w="1002" w:type="dxa"/>
            <w:tcBorders>
              <w:top w:val="single" w:color="auto" w:sz="4" w:space="0"/>
              <w:left w:val="nil"/>
              <w:bottom w:val="single" w:color="auto" w:sz="4" w:space="0"/>
              <w:right w:val="single" w:color="auto" w:sz="4" w:space="0"/>
            </w:tcBorders>
            <w:vAlign w:val="center"/>
          </w:tcPr>
          <w:p w14:paraId="578A77F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设备</w:t>
            </w:r>
          </w:p>
          <w:p w14:paraId="4DCDC2E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名称</w:t>
            </w:r>
          </w:p>
        </w:tc>
        <w:tc>
          <w:tcPr>
            <w:tcW w:w="841" w:type="dxa"/>
            <w:tcBorders>
              <w:top w:val="single" w:color="auto" w:sz="4" w:space="0"/>
              <w:left w:val="nil"/>
              <w:bottom w:val="single" w:color="auto" w:sz="4" w:space="0"/>
              <w:right w:val="single" w:color="auto" w:sz="4" w:space="0"/>
            </w:tcBorders>
            <w:vAlign w:val="center"/>
          </w:tcPr>
          <w:p w14:paraId="7B3B756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型号</w:t>
            </w:r>
          </w:p>
          <w:p w14:paraId="3958B3E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规格</w:t>
            </w:r>
          </w:p>
        </w:tc>
        <w:tc>
          <w:tcPr>
            <w:tcW w:w="856" w:type="dxa"/>
            <w:tcBorders>
              <w:top w:val="single" w:color="auto" w:sz="4" w:space="0"/>
              <w:left w:val="nil"/>
              <w:bottom w:val="single" w:color="auto" w:sz="4" w:space="0"/>
              <w:right w:val="single" w:color="auto" w:sz="4" w:space="0"/>
            </w:tcBorders>
            <w:vAlign w:val="center"/>
          </w:tcPr>
          <w:p w14:paraId="3AFCC6B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数量</w:t>
            </w:r>
          </w:p>
        </w:tc>
        <w:tc>
          <w:tcPr>
            <w:tcW w:w="710" w:type="dxa"/>
            <w:tcBorders>
              <w:top w:val="single" w:color="auto" w:sz="4" w:space="0"/>
              <w:left w:val="nil"/>
              <w:bottom w:val="single" w:color="auto" w:sz="4" w:space="0"/>
              <w:right w:val="single" w:color="auto" w:sz="4" w:space="0"/>
            </w:tcBorders>
            <w:vAlign w:val="center"/>
          </w:tcPr>
          <w:p w14:paraId="56DFD24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国别</w:t>
            </w:r>
          </w:p>
          <w:p w14:paraId="4CB8931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产地</w:t>
            </w:r>
          </w:p>
        </w:tc>
        <w:tc>
          <w:tcPr>
            <w:tcW w:w="711" w:type="dxa"/>
            <w:tcBorders>
              <w:top w:val="single" w:color="auto" w:sz="4" w:space="0"/>
              <w:left w:val="nil"/>
              <w:bottom w:val="single" w:color="auto" w:sz="4" w:space="0"/>
              <w:right w:val="single" w:color="auto" w:sz="4" w:space="0"/>
            </w:tcBorders>
            <w:vAlign w:val="center"/>
          </w:tcPr>
          <w:p w14:paraId="00606C8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制造</w:t>
            </w:r>
          </w:p>
          <w:p w14:paraId="51C7F9D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年份</w:t>
            </w:r>
          </w:p>
        </w:tc>
        <w:tc>
          <w:tcPr>
            <w:tcW w:w="1178" w:type="dxa"/>
            <w:tcBorders>
              <w:top w:val="single" w:color="auto" w:sz="4" w:space="0"/>
              <w:left w:val="nil"/>
              <w:bottom w:val="single" w:color="auto" w:sz="4" w:space="0"/>
              <w:right w:val="single" w:color="auto" w:sz="4" w:space="0"/>
            </w:tcBorders>
            <w:vAlign w:val="center"/>
          </w:tcPr>
          <w:p w14:paraId="0F6AF4D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额定功率</w:t>
            </w:r>
          </w:p>
          <w:p w14:paraId="71E2477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（KW）</w:t>
            </w:r>
          </w:p>
        </w:tc>
        <w:tc>
          <w:tcPr>
            <w:tcW w:w="797" w:type="dxa"/>
            <w:tcBorders>
              <w:top w:val="single" w:color="auto" w:sz="4" w:space="0"/>
              <w:left w:val="nil"/>
              <w:bottom w:val="single" w:color="auto" w:sz="4" w:space="0"/>
              <w:right w:val="single" w:color="auto" w:sz="4" w:space="0"/>
            </w:tcBorders>
            <w:vAlign w:val="center"/>
          </w:tcPr>
          <w:p w14:paraId="417E35A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生产</w:t>
            </w:r>
          </w:p>
          <w:p w14:paraId="620F74D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能力</w:t>
            </w:r>
          </w:p>
        </w:tc>
        <w:tc>
          <w:tcPr>
            <w:tcW w:w="950" w:type="dxa"/>
            <w:tcBorders>
              <w:top w:val="single" w:color="auto" w:sz="4" w:space="0"/>
              <w:left w:val="nil"/>
              <w:bottom w:val="single" w:color="auto" w:sz="4" w:space="0"/>
              <w:right w:val="single" w:color="auto" w:sz="4" w:space="0"/>
            </w:tcBorders>
            <w:vAlign w:val="center"/>
          </w:tcPr>
          <w:p w14:paraId="3B53C64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用于施</w:t>
            </w:r>
          </w:p>
          <w:p w14:paraId="592C574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工部位</w:t>
            </w:r>
          </w:p>
        </w:tc>
        <w:tc>
          <w:tcPr>
            <w:tcW w:w="766" w:type="dxa"/>
            <w:tcBorders>
              <w:top w:val="single" w:color="auto" w:sz="4" w:space="0"/>
              <w:left w:val="nil"/>
              <w:bottom w:val="single" w:color="auto" w:sz="4" w:space="0"/>
              <w:right w:val="single" w:color="auto" w:sz="4" w:space="0"/>
            </w:tcBorders>
            <w:vAlign w:val="center"/>
          </w:tcPr>
          <w:p w14:paraId="165D9AB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备注</w:t>
            </w:r>
          </w:p>
        </w:tc>
      </w:tr>
      <w:tr w14:paraId="5F2C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653347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6F94C3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206A9EB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5D9A683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626AA17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03790F6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777D57B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1A0FC7C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228B808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48675CC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3ABA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EF0C83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0D9DC6D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6FBBADB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0D64F1A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7DC525B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4B72302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2E7A407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6FDFEC0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2C0E2B1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1E1FEBA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31A3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990E22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6B948C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47E8553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1A83CD5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77DA6B2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5616157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6D9D723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4E50E29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06B4013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463AF51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5A8A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A96BC4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6F69342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0E0704E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1BF9667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3672F1A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7C44721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4B9C161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16EFE2D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6404C3F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6C66D0F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4D80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0582E4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4470BFB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279CD7B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57F7E18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74AE781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4322589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36BC5CD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6D6DCAA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05E15FF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2022041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32D9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E43678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214BB6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1527040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196F46A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38EDA95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2A1B5AD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23F642B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4DE982F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3F3E319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487D856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1C13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086E7E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6DD9834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0C87AD2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512731C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7561F78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7D65F57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1AB4A00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27ABD82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7F45D33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2052175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32B9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7E9846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7F5E689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573F941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0EA036D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0B8F5B9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3E04C3B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3366A87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7A0E535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2028FE9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401E91F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2271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F634FD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1E29518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3A3CDC2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20C1C98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446C6C3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5826484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6DF1FFC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30DCD8C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69C604A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0A9C546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71A0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A7B1E2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73B411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7230441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1CAC18D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096A22C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45E0FA4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0BC23A7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6B1B81F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7FB9D70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73952D7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3813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441990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5039C8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7E3BDDB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42AD3C4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4A02266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583DDF7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6DE380C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0D1606E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109C6F5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4D8D9CE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05ED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F93D26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84A731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0D76C19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5B6C545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5788490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72A27BC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097D4E3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682B552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076ED5E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567D92B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5A53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DC1BB2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2C94969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20931C2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507DD4F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4625131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6D52D1B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4CC6205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7AFA5BD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77D68F3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6ED1571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2828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AB0559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3351A50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4B580EF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2ED685B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54385F7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2EDC758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3AB43E2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109C572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78D76B5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42C065E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7787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2EEAF0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6D6F276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771C426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12D2E7D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5E8DFEF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63045C6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3472AF6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29FE0C0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0C88E4C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5138905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1D57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07D16E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861AE0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5178020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0284816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51B981C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216FCBF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0C9B8A4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05CC1F2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4969548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16319F5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6CB6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7CD722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783AA10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58C569F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1B66065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019F221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2DB57F7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6EAFC93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3146DB1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692E9A5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3FAD84D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0249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vAlign w:val="center"/>
          </w:tcPr>
          <w:p w14:paraId="632293A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079F7F0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7873CEE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700B989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6EF9869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0EBB223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62E285C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4531DAD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28CCC0E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2D5D188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bl>
    <w:p w14:paraId="6CEAE4A7">
      <w:pPr>
        <w:pageBreakBefore w:val="0"/>
        <w:kinsoku/>
        <w:wordWrap w:val="0"/>
        <w:overflowPunct/>
        <w:topLinePunct w:val="0"/>
        <w:bidi w:val="0"/>
        <w:spacing w:beforeLines="50" w:afterLines="100" w:line="480" w:lineRule="exact"/>
        <w:jc w:val="center"/>
        <w:textAlignment w:val="center"/>
        <w:rPr>
          <w:rFonts w:cs="宋体" w:asciiTheme="minorEastAsia" w:hAnsiTheme="minorEastAsia" w:eastAsiaTheme="minorEastAsia"/>
          <w:b/>
          <w:bCs/>
          <w:sz w:val="24"/>
        </w:rPr>
      </w:pPr>
    </w:p>
    <w:p w14:paraId="5D509B6E">
      <w:pPr>
        <w:pageBreakBefore w:val="0"/>
        <w:kinsoku/>
        <w:wordWrap w:val="0"/>
        <w:overflowPunct/>
        <w:topLinePunct w:val="0"/>
        <w:bidi w:val="0"/>
        <w:spacing w:beforeLines="50" w:afterLines="100" w:line="480" w:lineRule="exact"/>
        <w:jc w:val="center"/>
        <w:textAlignment w:val="center"/>
        <w:rPr>
          <w:rFonts w:cs="宋体" w:asciiTheme="minorEastAsia" w:hAnsiTheme="minorEastAsia" w:eastAsiaTheme="minorEastAsia"/>
          <w:b/>
          <w:bCs/>
          <w:sz w:val="24"/>
        </w:rPr>
      </w:pPr>
    </w:p>
    <w:p w14:paraId="3844BA21">
      <w:pPr>
        <w:pageBreakBefore w:val="0"/>
        <w:kinsoku/>
        <w:wordWrap w:val="0"/>
        <w:overflowPunct/>
        <w:topLinePunct w:val="0"/>
        <w:bidi w:val="0"/>
        <w:spacing w:beforeLines="50" w:afterLines="100" w:line="480" w:lineRule="exact"/>
        <w:jc w:val="center"/>
        <w:textAlignment w:val="center"/>
        <w:rPr>
          <w:rFonts w:cs="宋体" w:asciiTheme="minorEastAsia" w:hAnsiTheme="minorEastAsia" w:eastAsiaTheme="minorEastAsia"/>
          <w:b/>
          <w:bCs/>
          <w:sz w:val="24"/>
        </w:rPr>
      </w:pPr>
    </w:p>
    <w:p w14:paraId="5B343A31">
      <w:pPr>
        <w:pageBreakBefore w:val="0"/>
        <w:kinsoku/>
        <w:wordWrap w:val="0"/>
        <w:overflowPunct/>
        <w:topLinePunct w:val="0"/>
        <w:bidi w:val="0"/>
        <w:spacing w:beforeLines="50"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附表二：拟配备本工程的试验和检测仪器设备表</w:t>
      </w:r>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3EDC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0D2AFBA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序号</w:t>
            </w:r>
          </w:p>
        </w:tc>
        <w:tc>
          <w:tcPr>
            <w:tcW w:w="1134" w:type="dxa"/>
            <w:tcBorders>
              <w:top w:val="single" w:color="auto" w:sz="4" w:space="0"/>
              <w:left w:val="nil"/>
              <w:bottom w:val="single" w:color="auto" w:sz="4" w:space="0"/>
              <w:right w:val="single" w:color="auto" w:sz="4" w:space="0"/>
            </w:tcBorders>
            <w:vAlign w:val="center"/>
          </w:tcPr>
          <w:p w14:paraId="1FAFB20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仪器设备</w:t>
            </w:r>
          </w:p>
          <w:p w14:paraId="26FDFC1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名称</w:t>
            </w:r>
          </w:p>
        </w:tc>
        <w:tc>
          <w:tcPr>
            <w:tcW w:w="851" w:type="dxa"/>
            <w:tcBorders>
              <w:top w:val="single" w:color="auto" w:sz="4" w:space="0"/>
              <w:left w:val="nil"/>
              <w:bottom w:val="single" w:color="auto" w:sz="4" w:space="0"/>
              <w:right w:val="single" w:color="auto" w:sz="4" w:space="0"/>
            </w:tcBorders>
            <w:vAlign w:val="center"/>
          </w:tcPr>
          <w:p w14:paraId="6110E5C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型号</w:t>
            </w:r>
          </w:p>
          <w:p w14:paraId="1B4DC75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规格</w:t>
            </w:r>
          </w:p>
        </w:tc>
        <w:tc>
          <w:tcPr>
            <w:tcW w:w="992" w:type="dxa"/>
            <w:tcBorders>
              <w:top w:val="single" w:color="auto" w:sz="4" w:space="0"/>
              <w:left w:val="nil"/>
              <w:bottom w:val="single" w:color="auto" w:sz="4" w:space="0"/>
              <w:right w:val="single" w:color="auto" w:sz="4" w:space="0"/>
            </w:tcBorders>
            <w:vAlign w:val="center"/>
          </w:tcPr>
          <w:p w14:paraId="7947A78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数量</w:t>
            </w:r>
          </w:p>
        </w:tc>
        <w:tc>
          <w:tcPr>
            <w:tcW w:w="709" w:type="dxa"/>
            <w:tcBorders>
              <w:top w:val="single" w:color="auto" w:sz="4" w:space="0"/>
              <w:left w:val="nil"/>
              <w:bottom w:val="single" w:color="auto" w:sz="4" w:space="0"/>
              <w:right w:val="single" w:color="auto" w:sz="4" w:space="0"/>
            </w:tcBorders>
            <w:vAlign w:val="center"/>
          </w:tcPr>
          <w:p w14:paraId="768C267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国别</w:t>
            </w:r>
          </w:p>
          <w:p w14:paraId="1A63CFF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产地</w:t>
            </w:r>
          </w:p>
        </w:tc>
        <w:tc>
          <w:tcPr>
            <w:tcW w:w="850" w:type="dxa"/>
            <w:tcBorders>
              <w:top w:val="single" w:color="auto" w:sz="4" w:space="0"/>
              <w:left w:val="nil"/>
              <w:bottom w:val="single" w:color="auto" w:sz="4" w:space="0"/>
              <w:right w:val="single" w:color="auto" w:sz="4" w:space="0"/>
            </w:tcBorders>
            <w:vAlign w:val="center"/>
          </w:tcPr>
          <w:p w14:paraId="2B8E207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制造</w:t>
            </w:r>
          </w:p>
          <w:p w14:paraId="01738FF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年份</w:t>
            </w:r>
          </w:p>
        </w:tc>
        <w:tc>
          <w:tcPr>
            <w:tcW w:w="992" w:type="dxa"/>
            <w:tcBorders>
              <w:top w:val="single" w:color="auto" w:sz="4" w:space="0"/>
              <w:left w:val="nil"/>
              <w:bottom w:val="single" w:color="auto" w:sz="4" w:space="0"/>
              <w:right w:val="single" w:color="auto" w:sz="4" w:space="0"/>
            </w:tcBorders>
            <w:vAlign w:val="center"/>
          </w:tcPr>
          <w:p w14:paraId="2F004D1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已使用</w:t>
            </w:r>
          </w:p>
          <w:p w14:paraId="07C72AE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台时数</w:t>
            </w:r>
          </w:p>
        </w:tc>
        <w:tc>
          <w:tcPr>
            <w:tcW w:w="1418" w:type="dxa"/>
            <w:tcBorders>
              <w:top w:val="single" w:color="auto" w:sz="4" w:space="0"/>
              <w:left w:val="nil"/>
              <w:bottom w:val="single" w:color="auto" w:sz="4" w:space="0"/>
              <w:right w:val="single" w:color="auto" w:sz="4" w:space="0"/>
            </w:tcBorders>
            <w:vAlign w:val="center"/>
          </w:tcPr>
          <w:p w14:paraId="509D5DD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用  途</w:t>
            </w:r>
          </w:p>
        </w:tc>
        <w:tc>
          <w:tcPr>
            <w:tcW w:w="850" w:type="dxa"/>
            <w:tcBorders>
              <w:top w:val="single" w:color="auto" w:sz="4" w:space="0"/>
              <w:left w:val="nil"/>
              <w:bottom w:val="single" w:color="auto" w:sz="4" w:space="0"/>
              <w:right w:val="single" w:color="auto" w:sz="4" w:space="0"/>
            </w:tcBorders>
            <w:vAlign w:val="center"/>
          </w:tcPr>
          <w:p w14:paraId="70A2305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备注</w:t>
            </w:r>
          </w:p>
        </w:tc>
      </w:tr>
      <w:tr w14:paraId="48AC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5C4D6C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53233DD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5CA2CEB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C314BD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C3F4FA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6A262EB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2B7E95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7CE7CC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6A36E6A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1A89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CCA4B2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0FDF803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27474CC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E4CB2F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68C8112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5D8EC5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B4AC14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40E44E9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5C92555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1F9D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A192F9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211189C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224C91F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AC97E7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DD1D07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7AA78D9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03F21F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49C61BF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CAC541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4BA8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A9BD7B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5B68F89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00E21AF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BC886A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ED53F6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1EC33B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EABCF2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E7E203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685FE6A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7170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EEB00D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72DC4E0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6E37EAF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3A5FC4A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2F07DD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223EE46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07931D5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86167A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2C7A5DF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6415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B19978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1079027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2794658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B2E713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E30227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42F4E08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04715F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28314F1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4F6B9BF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573E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028B49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209EF0D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6143DBA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313A58D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ECCF3C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56D3F20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5ECDA3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3B20665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55743D5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05EE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88A625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7C80D43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1F44A84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8FD767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1691DA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D5418D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AFF821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67FCEF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7E888F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7731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95E00B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7A09BF8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5DF905F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887091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08C17B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0BA21D6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11A971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2ECCC47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5615C8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7995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329B9F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6BC57B7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3D31071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041F20B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1C3DC6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4923B39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A9B74C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6C0FCC4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776B4BD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73D5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EC4E92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65D3D9A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21C03D6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4E01ED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F2BBD5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6E46CEE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D61D41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58D45B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4EE99BA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13C9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43F33A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3D4D6C4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6B6D089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9D2085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EF9684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544F611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DF970E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D19A5B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698BB5A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2DAE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F27CAD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0A7290B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0138555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43ADFA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6D19590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39C3029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A4A502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6BAD5A5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3C34377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5888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98C760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53F772B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391D41E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DA9737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2EB5F8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69B0715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EC4468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61A9740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254941A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3CDD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682660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3345002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06223DC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D5C687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6C40C2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050E772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D7BED5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2FA4934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7F6B787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3775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A7B9BC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31BBBA5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22163F1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8B4BA1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9456DE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78ECDBC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A1A9C4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12361BA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08523AF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1070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B73AB5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74E518C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6E304DB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3879EF9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01C921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3A99786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DEBCA3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6F03B59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2C803A8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16DC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C12193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0688C09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0E95590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64449F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98FFB5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0585E80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FF1CFD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4071080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50845F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73C3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02B4D4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73A9A83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2731709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0A428CA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8CD224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00CB383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9287D5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46749C7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3641ED7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18F0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6988F1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75CD265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49D8F75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DD17DC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4FEBEC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57D1203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BFE1F9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3ADE845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0033A70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bl>
    <w:p w14:paraId="54C6F38B">
      <w:pPr>
        <w:pageBreakBefore w:val="0"/>
        <w:kinsoku/>
        <w:wordWrap w:val="0"/>
        <w:overflowPunct/>
        <w:topLinePunct w:val="0"/>
        <w:bidi w:val="0"/>
        <w:spacing w:beforeLines="50" w:afterLines="50" w:line="480" w:lineRule="exact"/>
        <w:jc w:val="center"/>
        <w:textAlignment w:val="center"/>
        <w:rPr>
          <w:rFonts w:cs="宋体" w:asciiTheme="minorEastAsia" w:hAnsiTheme="minorEastAsia" w:eastAsiaTheme="minorEastAsia"/>
          <w:sz w:val="24"/>
        </w:rPr>
      </w:pPr>
    </w:p>
    <w:p w14:paraId="47C7774A">
      <w:pPr>
        <w:pageBreakBefore w:val="0"/>
        <w:kinsoku/>
        <w:wordWrap w:val="0"/>
        <w:overflowPunct/>
        <w:topLinePunct w:val="0"/>
        <w:bidi w:val="0"/>
        <w:spacing w:beforeLines="50" w:afterLines="50" w:line="480" w:lineRule="exact"/>
        <w:jc w:val="center"/>
        <w:textAlignment w:val="center"/>
        <w:rPr>
          <w:rFonts w:cs="宋体" w:asciiTheme="minorEastAsia" w:hAnsiTheme="minorEastAsia" w:eastAsiaTheme="minorEastAsia"/>
          <w:sz w:val="24"/>
        </w:rPr>
      </w:pPr>
    </w:p>
    <w:p w14:paraId="0166D792">
      <w:pPr>
        <w:pageBreakBefore w:val="0"/>
        <w:kinsoku/>
        <w:wordWrap w:val="0"/>
        <w:overflowPunct/>
        <w:topLinePunct w:val="0"/>
        <w:bidi w:val="0"/>
        <w:spacing w:beforeLines="50" w:afterLines="50" w:line="480" w:lineRule="exact"/>
        <w:jc w:val="center"/>
        <w:textAlignment w:val="center"/>
        <w:rPr>
          <w:rFonts w:cs="宋体" w:asciiTheme="minorEastAsia" w:hAnsiTheme="minorEastAsia" w:eastAsiaTheme="minorEastAsia"/>
          <w:b/>
          <w:bCs/>
          <w:sz w:val="24"/>
        </w:rPr>
      </w:pPr>
    </w:p>
    <w:p w14:paraId="6BD83323">
      <w:pPr>
        <w:pageBreakBefore w:val="0"/>
        <w:kinsoku/>
        <w:wordWrap w:val="0"/>
        <w:overflowPunct/>
        <w:topLinePunct w:val="0"/>
        <w:bidi w:val="0"/>
        <w:spacing w:beforeLines="50" w:afterLines="50" w:line="480" w:lineRule="exact"/>
        <w:jc w:val="center"/>
        <w:textAlignment w:val="center"/>
        <w:rPr>
          <w:rFonts w:cs="宋体" w:asciiTheme="minorEastAsia" w:hAnsiTheme="minorEastAsia" w:eastAsiaTheme="minorEastAsia"/>
          <w:b/>
          <w:bCs/>
          <w:sz w:val="24"/>
        </w:rPr>
      </w:pPr>
    </w:p>
    <w:p w14:paraId="1CFF9EE9">
      <w:pPr>
        <w:pageBreakBefore w:val="0"/>
        <w:kinsoku/>
        <w:wordWrap w:val="0"/>
        <w:overflowPunct/>
        <w:topLinePunct w:val="0"/>
        <w:bidi w:val="0"/>
        <w:spacing w:beforeLines="50"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附表三：劳动力计划表</w:t>
      </w:r>
    </w:p>
    <w:p w14:paraId="5EBD93A3">
      <w:pPr>
        <w:pageBreakBefore w:val="0"/>
        <w:kinsoku/>
        <w:wordWrap w:val="0"/>
        <w:overflowPunct/>
        <w:topLinePunct w:val="0"/>
        <w:bidi w:val="0"/>
        <w:spacing w:line="480" w:lineRule="exact"/>
        <w:ind w:right="360"/>
        <w:jc w:val="righ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单位：人   </w:t>
      </w:r>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7F5C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0C277CC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工种</w:t>
            </w:r>
          </w:p>
        </w:tc>
        <w:tc>
          <w:tcPr>
            <w:tcW w:w="7796" w:type="dxa"/>
            <w:gridSpan w:val="7"/>
            <w:tcBorders>
              <w:top w:val="single" w:color="auto" w:sz="4" w:space="0"/>
              <w:left w:val="nil"/>
              <w:bottom w:val="single" w:color="auto" w:sz="4" w:space="0"/>
              <w:right w:val="single" w:color="auto" w:sz="4" w:space="0"/>
            </w:tcBorders>
            <w:vAlign w:val="center"/>
          </w:tcPr>
          <w:p w14:paraId="19A43FF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按工程施工阶段投入劳动力情况</w:t>
            </w:r>
          </w:p>
        </w:tc>
      </w:tr>
      <w:tr w14:paraId="4A14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3D7DA2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2F8D963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6C8DD6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57B2B3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498A11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D7D360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31A116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B97EA7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1180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DF15B3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EF2A37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A4FBCA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119795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8F3FCD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9CFDAA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369E9E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09C7D6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026F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955480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54F689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D75816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D185D2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F54307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8AC05A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2CAE00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5F340F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6B9D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865A80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821091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D84426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56EA94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A89A76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213D09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2F57BB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540927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19C4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CA4A2D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3A0A9CF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1A32B1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4F2CCB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D17666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B884B0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222F67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49475A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1FAD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F2CEC1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534D97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E5302C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21595D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070DA1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D4D0DE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060E86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A673A5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3F2A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928315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0396BF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648A63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94887C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C2DCE9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FE5380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AC2C09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421217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02B0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7DB5BF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0437E6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6E4F2F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1E72E9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BE501B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8A2C28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C2DC1B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051598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4715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8ABABB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6ADE7B2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994500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58F6E4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D1126B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93485A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AA731A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4E43E9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1701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BD630D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01994C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212E6B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272709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BD9558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5E3BCF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22B002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24AF77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34AE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260922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39A7D12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37F584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0008A1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639BD0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BC924E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FC32B9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9D9F8B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09A6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CA49CD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C67B3B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910BCB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FF83CD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7B15D7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51B673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0010E0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ED8686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1347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1F4362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3E18CAA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9B3417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99886D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A80586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BDD723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6668B8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5D1EB4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40EE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1D5EC5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7C7463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AF0030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CA5BD7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94A324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90BEB7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353D80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111124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0F35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8BFA28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9187A7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966FC6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921EAC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C620C5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A0C799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B47741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94731F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0DA4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C248CA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5921175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9A377B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EF7E6C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C3131B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40DE33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B0255A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16EE83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4490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378956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F8BF16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D76EA6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E87847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6FFF89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2A4DA9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3CAA13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E414D0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3F10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5A5E74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2AEC454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76D49C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E4D74E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FE9430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85F836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1B7B60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F6090B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42F5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156899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49AE326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9891AF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A99643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65EB28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8C079F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445260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782F2C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5EA1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02BBB9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8E0168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7AF152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87F3E1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4C1380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5E27E6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61653C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F43373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1B3E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C6AD44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5982C5D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5B4772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ABA9E2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8FFCD6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304D0F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1AD26D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4F192A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bl>
    <w:p w14:paraId="52F19958">
      <w:pPr>
        <w:pageBreakBefore w:val="0"/>
        <w:kinsoku/>
        <w:wordWrap w:val="0"/>
        <w:overflowPunct/>
        <w:topLinePunct w:val="0"/>
        <w:bidi w:val="0"/>
        <w:spacing w:beforeLines="50" w:afterLines="100"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14:paraId="46A33A62">
      <w:pPr>
        <w:pageBreakBefore w:val="0"/>
        <w:kinsoku/>
        <w:wordWrap w:val="0"/>
        <w:overflowPunct/>
        <w:topLinePunct w:val="0"/>
        <w:bidi w:val="0"/>
        <w:spacing w:beforeLines="50"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附表四：计划开、竣工日期和施工进度网络图</w:t>
      </w:r>
    </w:p>
    <w:p w14:paraId="7A69B459">
      <w:pPr>
        <w:pageBreakBefore w:val="0"/>
        <w:kinsoku/>
        <w:wordWrap w:val="0"/>
        <w:overflowPunct/>
        <w:topLinePunct w:val="0"/>
        <w:bidi w:val="0"/>
        <w:spacing w:line="48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1．响应人应递交施工进度网络图或施工进度表，说明按磋商文件要求的计划工期进行施工的各个关键日期。</w:t>
      </w:r>
    </w:p>
    <w:p w14:paraId="552E51C1">
      <w:pPr>
        <w:pageBreakBefore w:val="0"/>
        <w:kinsoku/>
        <w:wordWrap w:val="0"/>
        <w:overflowPunct/>
        <w:topLinePunct w:val="0"/>
        <w:bidi w:val="0"/>
        <w:spacing w:line="48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2．施工进度表可采用网络图和（或）横道图表示。</w:t>
      </w:r>
    </w:p>
    <w:p w14:paraId="61607517">
      <w:pPr>
        <w:pageBreakBefore w:val="0"/>
        <w:kinsoku/>
        <w:wordWrap w:val="0"/>
        <w:overflowPunct/>
        <w:topLinePunct w:val="0"/>
        <w:bidi w:val="0"/>
        <w:spacing w:beforeLines="50"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sz w:val="24"/>
        </w:rPr>
        <w:br w:type="page"/>
      </w:r>
      <w:r>
        <w:rPr>
          <w:rFonts w:hint="eastAsia" w:cs="宋体" w:asciiTheme="minorEastAsia" w:hAnsiTheme="minorEastAsia" w:eastAsiaTheme="minorEastAsia"/>
          <w:b/>
          <w:bCs/>
          <w:sz w:val="24"/>
        </w:rPr>
        <w:t>附表五：施工总平面图</w:t>
      </w:r>
    </w:p>
    <w:p w14:paraId="4AD12BE7">
      <w:pPr>
        <w:pageBreakBefore w:val="0"/>
        <w:kinsoku/>
        <w:wordWrap w:val="0"/>
        <w:overflowPunct/>
        <w:topLinePunct w:val="0"/>
        <w:bidi w:val="0"/>
        <w:spacing w:line="480" w:lineRule="exact"/>
        <w:ind w:firstLine="480" w:firstLineChars="200"/>
        <w:textAlignment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供应商应递交一份施工总平面图，绘出现场临时设施布置图表并附文字说明，说明临时设施、加工车间、现场办公、设备及仓储、供电、供水、卫生、生活、道路、消防等设施的情况和布置。</w:t>
      </w:r>
    </w:p>
    <w:p w14:paraId="4BFF103F">
      <w:pPr>
        <w:pageBreakBefore w:val="0"/>
        <w:kinsoku/>
        <w:wordWrap w:val="0"/>
        <w:overflowPunct/>
        <w:topLinePunct w:val="0"/>
        <w:bidi w:val="0"/>
        <w:spacing w:beforeLines="50" w:afterLines="100"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br w:type="page"/>
      </w:r>
      <w:r>
        <w:rPr>
          <w:rFonts w:hint="eastAsia" w:cs="宋体" w:asciiTheme="minorEastAsia" w:hAnsiTheme="minorEastAsia" w:eastAsiaTheme="minorEastAsia"/>
          <w:b/>
          <w:bCs/>
          <w:sz w:val="24"/>
        </w:rPr>
        <w:t>附表六：临时用地表</w:t>
      </w:r>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0FA0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vAlign w:val="center"/>
          </w:tcPr>
          <w:p w14:paraId="7FED01A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用  途</w:t>
            </w:r>
          </w:p>
        </w:tc>
        <w:tc>
          <w:tcPr>
            <w:tcW w:w="2079" w:type="dxa"/>
            <w:tcBorders>
              <w:top w:val="single" w:color="auto" w:sz="4" w:space="0"/>
              <w:left w:val="nil"/>
              <w:bottom w:val="single" w:color="auto" w:sz="4" w:space="0"/>
              <w:right w:val="single" w:color="auto" w:sz="4" w:space="0"/>
            </w:tcBorders>
            <w:vAlign w:val="center"/>
          </w:tcPr>
          <w:p w14:paraId="0DD30EE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面 积（平方米）</w:t>
            </w:r>
          </w:p>
        </w:tc>
        <w:tc>
          <w:tcPr>
            <w:tcW w:w="2079" w:type="dxa"/>
            <w:tcBorders>
              <w:top w:val="single" w:color="auto" w:sz="4" w:space="0"/>
              <w:left w:val="nil"/>
              <w:bottom w:val="single" w:color="auto" w:sz="4" w:space="0"/>
              <w:right w:val="single" w:color="auto" w:sz="4" w:space="0"/>
            </w:tcBorders>
            <w:vAlign w:val="center"/>
          </w:tcPr>
          <w:p w14:paraId="4B88901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位  置</w:t>
            </w:r>
          </w:p>
        </w:tc>
        <w:tc>
          <w:tcPr>
            <w:tcW w:w="2079" w:type="dxa"/>
            <w:tcBorders>
              <w:top w:val="single" w:color="auto" w:sz="4" w:space="0"/>
              <w:left w:val="nil"/>
              <w:bottom w:val="single" w:color="auto" w:sz="4" w:space="0"/>
              <w:right w:val="single" w:color="auto" w:sz="4" w:space="0"/>
            </w:tcBorders>
            <w:vAlign w:val="center"/>
          </w:tcPr>
          <w:p w14:paraId="0D2B9BD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需用时间</w:t>
            </w:r>
          </w:p>
        </w:tc>
      </w:tr>
      <w:tr w14:paraId="658A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4825FE2">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096DD24">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7951019">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BB666DA">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63A3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66004B6">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520935A">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A94E32B">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A57822D">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330A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6644071">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B6E28E4">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A8ED343">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485B271">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4E93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1DFD768">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434EA02">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0A810B43">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8986940">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2C28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61598A0">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51D3EC68">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7CFFAE5">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BAE0CBD">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7F8B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44B8F2F">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5197F44">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664CC4C">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D2C0B0D">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6E49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6BD2B5C">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97170D6">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53B8F88">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0CFFFED">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78B1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842A35C">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D2FB6F9">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4837DCE">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67D8A8A5">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4F9F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D8259EA">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5BD2EF8C">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13518CB">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EA0B121">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2200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E2BBED5">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8345CC6">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1817666">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E864D95">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0F8B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394DAC0">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86AC372">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64E99E28">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6706444B">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5459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CBCFD6E">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4576FAF">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588C000F">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6083863">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6335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255117C">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002C1C4">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6B8E83BD">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733E22E">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7688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C204FD3">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5A2D547">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59A8FAC">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00D46809">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2BF7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74C64FC">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2619993">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622A3C6">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0E912DA">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77DA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7A6FFFB">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6DEACCA3">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FA3B485">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594439E1">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1FA0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E78D8FE">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F851C8D">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5489D49A">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F73B4DC">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1D34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7B6975B">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A990308">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9CAC3AD">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3E7D6E1">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6E00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6986C3D">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E995C92">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61F92D7">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9D87CD2">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18C1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CC87ED7">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008B1B21">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6C308CB1">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634FDAE">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22C2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DDA94B6">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ADB81EB">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C9C126F">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E1C54F9">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r w14:paraId="5924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2085B67">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37E00F1">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C28A627">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EC4B5AC">
            <w:pPr>
              <w:pageBreakBefore w:val="0"/>
              <w:kinsoku/>
              <w:wordWrap w:val="0"/>
              <w:overflowPunct/>
              <w:topLinePunct w:val="0"/>
              <w:bidi w:val="0"/>
              <w:spacing w:line="480" w:lineRule="exact"/>
              <w:textAlignment w:val="center"/>
              <w:rPr>
                <w:rFonts w:cs="宋体" w:asciiTheme="minorEastAsia" w:hAnsiTheme="minorEastAsia" w:eastAsiaTheme="minorEastAsia"/>
                <w:kern w:val="2"/>
                <w:sz w:val="24"/>
                <w:szCs w:val="22"/>
              </w:rPr>
            </w:pPr>
          </w:p>
        </w:tc>
      </w:tr>
    </w:tbl>
    <w:p w14:paraId="03AC585B">
      <w:pPr>
        <w:pageBreakBefore w:val="0"/>
        <w:kinsoku/>
        <w:wordWrap w:val="0"/>
        <w:overflowPunct/>
        <w:topLinePunct w:val="0"/>
        <w:bidi w:val="0"/>
        <w:spacing w:beforeLines="50" w:afterLines="50" w:line="480" w:lineRule="exact"/>
        <w:textAlignment w:val="center"/>
        <w:rPr>
          <w:rFonts w:cs="宋体" w:asciiTheme="minorEastAsia" w:hAnsiTheme="minorEastAsia" w:eastAsiaTheme="minorEastAsia"/>
          <w:sz w:val="24"/>
        </w:rPr>
      </w:pPr>
    </w:p>
    <w:p w14:paraId="301203FB">
      <w:pPr>
        <w:pageBreakBefore w:val="0"/>
        <w:kinsoku/>
        <w:wordWrap w:val="0"/>
        <w:overflowPunct/>
        <w:topLinePunct w:val="0"/>
        <w:bidi w:val="0"/>
        <w:spacing w:beforeLines="50" w:afterLines="50" w:line="480" w:lineRule="exact"/>
        <w:textAlignment w:val="center"/>
        <w:rPr>
          <w:rFonts w:cs="宋体" w:asciiTheme="minorEastAsia" w:hAnsiTheme="minorEastAsia" w:eastAsiaTheme="minorEastAsia"/>
          <w:sz w:val="24"/>
        </w:rPr>
      </w:pPr>
    </w:p>
    <w:p w14:paraId="478A49AA">
      <w:pPr>
        <w:pageBreakBefore w:val="0"/>
        <w:kinsoku/>
        <w:wordWrap w:val="0"/>
        <w:overflowPunct/>
        <w:topLinePunct w:val="0"/>
        <w:bidi w:val="0"/>
        <w:spacing w:line="480" w:lineRule="exact"/>
        <w:jc w:val="center"/>
        <w:textAlignment w:val="center"/>
        <w:outlineLvl w:val="0"/>
        <w:rPr>
          <w:rFonts w:cs="宋体" w:asciiTheme="minorEastAsia" w:hAnsiTheme="minorEastAsia" w:eastAsiaTheme="minorEastAsia"/>
          <w:b/>
          <w:bCs/>
          <w:sz w:val="30"/>
          <w:szCs w:val="30"/>
        </w:rPr>
      </w:pPr>
      <w:bookmarkStart w:id="471" w:name="_Toc3987"/>
      <w:bookmarkStart w:id="472" w:name="_Toc28802"/>
      <w:bookmarkStart w:id="473" w:name="_Toc13347"/>
      <w:bookmarkStart w:id="474" w:name="_Toc14989"/>
      <w:bookmarkStart w:id="475" w:name="_Toc17921"/>
      <w:bookmarkStart w:id="476" w:name="_Toc6339"/>
      <w:r>
        <w:rPr>
          <w:rFonts w:hint="eastAsia" w:cs="宋体" w:asciiTheme="minorEastAsia" w:hAnsiTheme="minorEastAsia" w:eastAsiaTheme="minorEastAsia"/>
          <w:b/>
          <w:bCs/>
          <w:sz w:val="30"/>
          <w:szCs w:val="30"/>
          <w:lang w:eastAsia="zh-CN"/>
        </w:rPr>
        <w:t>七</w:t>
      </w:r>
      <w:r>
        <w:rPr>
          <w:rFonts w:hint="eastAsia" w:cs="宋体" w:asciiTheme="minorEastAsia" w:hAnsiTheme="minorEastAsia" w:eastAsiaTheme="minorEastAsia"/>
          <w:b/>
          <w:bCs/>
          <w:sz w:val="30"/>
          <w:szCs w:val="30"/>
        </w:rPr>
        <w:t>、资格审查资料</w:t>
      </w:r>
    </w:p>
    <w:p w14:paraId="29056423">
      <w:pPr>
        <w:keepNext/>
        <w:keepLines/>
        <w:pageBreakBefore w:val="0"/>
        <w:kinsoku/>
        <w:wordWrap w:val="0"/>
        <w:overflowPunct/>
        <w:topLinePunct w:val="0"/>
        <w:bidi w:val="0"/>
        <w:spacing w:before="280" w:after="290" w:line="420" w:lineRule="exact"/>
        <w:ind w:firstLine="482" w:firstLineChars="200"/>
        <w:jc w:val="center"/>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（一）响应人基本情况表</w:t>
      </w:r>
    </w:p>
    <w:tbl>
      <w:tblPr>
        <w:tblStyle w:val="1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1205"/>
        <w:gridCol w:w="921"/>
        <w:gridCol w:w="195"/>
        <w:gridCol w:w="1246"/>
        <w:gridCol w:w="260"/>
        <w:gridCol w:w="709"/>
        <w:gridCol w:w="1416"/>
      </w:tblGrid>
      <w:tr w14:paraId="6D6E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28415A1">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响应人名称</w:t>
            </w:r>
          </w:p>
        </w:tc>
        <w:tc>
          <w:tcPr>
            <w:tcW w:w="7020" w:type="dxa"/>
            <w:gridSpan w:val="8"/>
            <w:tcBorders>
              <w:top w:val="single" w:color="auto" w:sz="4" w:space="0"/>
              <w:left w:val="nil"/>
              <w:bottom w:val="single" w:color="auto" w:sz="4" w:space="0"/>
              <w:right w:val="single" w:color="auto" w:sz="4" w:space="0"/>
            </w:tcBorders>
            <w:vAlign w:val="center"/>
          </w:tcPr>
          <w:p w14:paraId="4DDACD9B">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6A10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1044587">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注册地址</w:t>
            </w:r>
          </w:p>
        </w:tc>
        <w:tc>
          <w:tcPr>
            <w:tcW w:w="3389" w:type="dxa"/>
            <w:gridSpan w:val="4"/>
            <w:tcBorders>
              <w:top w:val="single" w:color="auto" w:sz="4" w:space="0"/>
              <w:left w:val="nil"/>
              <w:bottom w:val="single" w:color="auto" w:sz="4" w:space="0"/>
              <w:right w:val="single" w:color="auto" w:sz="4" w:space="0"/>
            </w:tcBorders>
            <w:vAlign w:val="center"/>
          </w:tcPr>
          <w:p w14:paraId="172456F5">
            <w:pPr>
              <w:pageBreakBefore w:val="0"/>
              <w:kinsoku/>
              <w:wordWrap w:val="0"/>
              <w:overflowPunct/>
              <w:topLinePunct w:val="0"/>
              <w:bidi w:val="0"/>
              <w:jc w:val="center"/>
              <w:rPr>
                <w:rFonts w:cs="宋体" w:asciiTheme="minorEastAsia" w:hAnsiTheme="minorEastAsia" w:eastAsiaTheme="minorEastAsia"/>
                <w:kern w:val="2"/>
                <w:sz w:val="24"/>
                <w:szCs w:val="22"/>
              </w:rPr>
            </w:pPr>
          </w:p>
        </w:tc>
        <w:tc>
          <w:tcPr>
            <w:tcW w:w="1246" w:type="dxa"/>
            <w:tcBorders>
              <w:top w:val="single" w:color="auto" w:sz="4" w:space="0"/>
              <w:left w:val="nil"/>
              <w:bottom w:val="single" w:color="auto" w:sz="4" w:space="0"/>
              <w:right w:val="single" w:color="auto" w:sz="4" w:space="0"/>
            </w:tcBorders>
            <w:vAlign w:val="center"/>
          </w:tcPr>
          <w:p w14:paraId="15017241">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邮政编码</w:t>
            </w:r>
          </w:p>
        </w:tc>
        <w:tc>
          <w:tcPr>
            <w:tcW w:w="2385" w:type="dxa"/>
            <w:gridSpan w:val="3"/>
            <w:tcBorders>
              <w:top w:val="single" w:color="auto" w:sz="4" w:space="0"/>
              <w:left w:val="nil"/>
              <w:bottom w:val="single" w:color="auto" w:sz="4" w:space="0"/>
              <w:right w:val="single" w:color="auto" w:sz="4" w:space="0"/>
            </w:tcBorders>
            <w:vAlign w:val="center"/>
          </w:tcPr>
          <w:p w14:paraId="5195A0BE">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79E9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2AA9CA48">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联系方式</w:t>
            </w:r>
          </w:p>
        </w:tc>
        <w:tc>
          <w:tcPr>
            <w:tcW w:w="1068" w:type="dxa"/>
            <w:tcBorders>
              <w:top w:val="single" w:color="auto" w:sz="4" w:space="0"/>
              <w:left w:val="nil"/>
              <w:bottom w:val="single" w:color="auto" w:sz="4" w:space="0"/>
              <w:right w:val="single" w:color="auto" w:sz="4" w:space="0"/>
            </w:tcBorders>
            <w:vAlign w:val="center"/>
          </w:tcPr>
          <w:p w14:paraId="79F1688F">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联系人</w:t>
            </w:r>
          </w:p>
        </w:tc>
        <w:tc>
          <w:tcPr>
            <w:tcW w:w="2321" w:type="dxa"/>
            <w:gridSpan w:val="3"/>
            <w:tcBorders>
              <w:top w:val="single" w:color="auto" w:sz="4" w:space="0"/>
              <w:left w:val="nil"/>
              <w:bottom w:val="single" w:color="auto" w:sz="4" w:space="0"/>
              <w:right w:val="single" w:color="auto" w:sz="4" w:space="0"/>
            </w:tcBorders>
            <w:vAlign w:val="center"/>
          </w:tcPr>
          <w:p w14:paraId="5AD2396F">
            <w:pPr>
              <w:pageBreakBefore w:val="0"/>
              <w:kinsoku/>
              <w:wordWrap w:val="0"/>
              <w:overflowPunct/>
              <w:topLinePunct w:val="0"/>
              <w:bidi w:val="0"/>
              <w:jc w:val="center"/>
              <w:rPr>
                <w:rFonts w:cs="宋体" w:asciiTheme="minorEastAsia" w:hAnsiTheme="minorEastAsia" w:eastAsiaTheme="minorEastAsia"/>
                <w:kern w:val="2"/>
                <w:sz w:val="24"/>
                <w:szCs w:val="22"/>
              </w:rPr>
            </w:pPr>
          </w:p>
        </w:tc>
        <w:tc>
          <w:tcPr>
            <w:tcW w:w="1246" w:type="dxa"/>
            <w:tcBorders>
              <w:top w:val="single" w:color="auto" w:sz="4" w:space="0"/>
              <w:left w:val="nil"/>
              <w:bottom w:val="single" w:color="auto" w:sz="4" w:space="0"/>
              <w:right w:val="single" w:color="auto" w:sz="4" w:space="0"/>
            </w:tcBorders>
            <w:vAlign w:val="center"/>
          </w:tcPr>
          <w:p w14:paraId="7AE6D403">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电  话</w:t>
            </w:r>
          </w:p>
        </w:tc>
        <w:tc>
          <w:tcPr>
            <w:tcW w:w="2385" w:type="dxa"/>
            <w:gridSpan w:val="3"/>
            <w:tcBorders>
              <w:top w:val="single" w:color="auto" w:sz="4" w:space="0"/>
              <w:left w:val="nil"/>
              <w:bottom w:val="single" w:color="auto" w:sz="4" w:space="0"/>
              <w:right w:val="single" w:color="auto" w:sz="4" w:space="0"/>
            </w:tcBorders>
            <w:vAlign w:val="center"/>
          </w:tcPr>
          <w:p w14:paraId="0027E7DB">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7032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6B87F9DE">
            <w:pPr>
              <w:pageBreakBefore w:val="0"/>
              <w:kinsoku/>
              <w:wordWrap w:val="0"/>
              <w:overflowPunct/>
              <w:topLinePunct w:val="0"/>
              <w:bidi w:val="0"/>
              <w:rPr>
                <w:rFonts w:cs="宋体" w:asciiTheme="minorEastAsia" w:hAnsiTheme="minorEastAsia" w:eastAsiaTheme="minorEastAsia"/>
                <w:kern w:val="2"/>
                <w:sz w:val="24"/>
                <w:szCs w:val="22"/>
              </w:rPr>
            </w:pPr>
          </w:p>
        </w:tc>
        <w:tc>
          <w:tcPr>
            <w:tcW w:w="1068" w:type="dxa"/>
            <w:tcBorders>
              <w:top w:val="single" w:color="auto" w:sz="4" w:space="0"/>
              <w:left w:val="nil"/>
              <w:bottom w:val="single" w:color="auto" w:sz="4" w:space="0"/>
              <w:right w:val="single" w:color="auto" w:sz="4" w:space="0"/>
            </w:tcBorders>
            <w:vAlign w:val="center"/>
          </w:tcPr>
          <w:p w14:paraId="460457A5">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传真</w:t>
            </w:r>
          </w:p>
        </w:tc>
        <w:tc>
          <w:tcPr>
            <w:tcW w:w="2321" w:type="dxa"/>
            <w:gridSpan w:val="3"/>
            <w:tcBorders>
              <w:top w:val="single" w:color="auto" w:sz="4" w:space="0"/>
              <w:left w:val="nil"/>
              <w:bottom w:val="single" w:color="auto" w:sz="4" w:space="0"/>
              <w:right w:val="single" w:color="auto" w:sz="4" w:space="0"/>
            </w:tcBorders>
            <w:vAlign w:val="center"/>
          </w:tcPr>
          <w:p w14:paraId="5BCB6D50">
            <w:pPr>
              <w:pageBreakBefore w:val="0"/>
              <w:kinsoku/>
              <w:wordWrap w:val="0"/>
              <w:overflowPunct/>
              <w:topLinePunct w:val="0"/>
              <w:bidi w:val="0"/>
              <w:jc w:val="center"/>
              <w:rPr>
                <w:rFonts w:cs="宋体" w:asciiTheme="minorEastAsia" w:hAnsiTheme="minorEastAsia" w:eastAsiaTheme="minorEastAsia"/>
                <w:kern w:val="2"/>
                <w:sz w:val="24"/>
                <w:szCs w:val="22"/>
              </w:rPr>
            </w:pPr>
          </w:p>
        </w:tc>
        <w:tc>
          <w:tcPr>
            <w:tcW w:w="1246" w:type="dxa"/>
            <w:tcBorders>
              <w:top w:val="single" w:color="auto" w:sz="4" w:space="0"/>
              <w:left w:val="nil"/>
              <w:bottom w:val="single" w:color="auto" w:sz="4" w:space="0"/>
              <w:right w:val="single" w:color="auto" w:sz="4" w:space="0"/>
            </w:tcBorders>
            <w:vAlign w:val="center"/>
          </w:tcPr>
          <w:p w14:paraId="53F8DA69">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网  址</w:t>
            </w:r>
          </w:p>
        </w:tc>
        <w:tc>
          <w:tcPr>
            <w:tcW w:w="2385" w:type="dxa"/>
            <w:gridSpan w:val="3"/>
            <w:tcBorders>
              <w:top w:val="single" w:color="auto" w:sz="4" w:space="0"/>
              <w:left w:val="nil"/>
              <w:bottom w:val="single" w:color="auto" w:sz="4" w:space="0"/>
              <w:right w:val="single" w:color="auto" w:sz="4" w:space="0"/>
            </w:tcBorders>
            <w:vAlign w:val="center"/>
          </w:tcPr>
          <w:p w14:paraId="5E8C8BB8">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7566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1D6AE86">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组织结构</w:t>
            </w:r>
          </w:p>
        </w:tc>
        <w:tc>
          <w:tcPr>
            <w:tcW w:w="7020" w:type="dxa"/>
            <w:gridSpan w:val="8"/>
            <w:tcBorders>
              <w:top w:val="single" w:color="auto" w:sz="4" w:space="0"/>
              <w:left w:val="nil"/>
              <w:bottom w:val="single" w:color="auto" w:sz="4" w:space="0"/>
              <w:right w:val="single" w:color="auto" w:sz="4" w:space="0"/>
            </w:tcBorders>
            <w:vAlign w:val="center"/>
          </w:tcPr>
          <w:p w14:paraId="04A5ED3A">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40EA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83519FB">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法定代表人</w:t>
            </w:r>
          </w:p>
        </w:tc>
        <w:tc>
          <w:tcPr>
            <w:tcW w:w="1068" w:type="dxa"/>
            <w:tcBorders>
              <w:top w:val="single" w:color="auto" w:sz="4" w:space="0"/>
              <w:left w:val="nil"/>
              <w:bottom w:val="single" w:color="auto" w:sz="4" w:space="0"/>
              <w:right w:val="single" w:color="auto" w:sz="4" w:space="0"/>
            </w:tcBorders>
            <w:vAlign w:val="center"/>
          </w:tcPr>
          <w:p w14:paraId="7322E630">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姓名</w:t>
            </w:r>
          </w:p>
        </w:tc>
        <w:tc>
          <w:tcPr>
            <w:tcW w:w="1205" w:type="dxa"/>
            <w:tcBorders>
              <w:top w:val="single" w:color="auto" w:sz="4" w:space="0"/>
              <w:left w:val="nil"/>
              <w:bottom w:val="single" w:color="auto" w:sz="4" w:space="0"/>
              <w:right w:val="single" w:color="auto" w:sz="4" w:space="0"/>
            </w:tcBorders>
            <w:vAlign w:val="center"/>
          </w:tcPr>
          <w:p w14:paraId="10E05534">
            <w:pPr>
              <w:pageBreakBefore w:val="0"/>
              <w:kinsoku/>
              <w:wordWrap w:val="0"/>
              <w:overflowPunct/>
              <w:topLinePunct w:val="0"/>
              <w:bidi w:val="0"/>
              <w:jc w:val="center"/>
              <w:rPr>
                <w:rFonts w:cs="宋体" w:asciiTheme="minorEastAsia" w:hAnsiTheme="minorEastAsia" w:eastAsiaTheme="minorEastAsia"/>
                <w:kern w:val="2"/>
                <w:sz w:val="24"/>
                <w:szCs w:val="22"/>
              </w:rPr>
            </w:pPr>
          </w:p>
        </w:tc>
        <w:tc>
          <w:tcPr>
            <w:tcW w:w="921" w:type="dxa"/>
            <w:tcBorders>
              <w:top w:val="single" w:color="auto" w:sz="4" w:space="0"/>
              <w:left w:val="nil"/>
              <w:bottom w:val="single" w:color="auto" w:sz="4" w:space="0"/>
              <w:right w:val="single" w:color="auto" w:sz="4" w:space="0"/>
            </w:tcBorders>
            <w:vAlign w:val="center"/>
          </w:tcPr>
          <w:p w14:paraId="6162A355">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技术职称</w:t>
            </w:r>
          </w:p>
        </w:tc>
        <w:tc>
          <w:tcPr>
            <w:tcW w:w="1701" w:type="dxa"/>
            <w:gridSpan w:val="3"/>
            <w:tcBorders>
              <w:top w:val="single" w:color="auto" w:sz="4" w:space="0"/>
              <w:left w:val="nil"/>
              <w:bottom w:val="single" w:color="auto" w:sz="4" w:space="0"/>
              <w:right w:val="single" w:color="auto" w:sz="4" w:space="0"/>
            </w:tcBorders>
            <w:vAlign w:val="center"/>
          </w:tcPr>
          <w:p w14:paraId="5289E66D">
            <w:pPr>
              <w:pageBreakBefore w:val="0"/>
              <w:kinsoku/>
              <w:wordWrap w:val="0"/>
              <w:overflowPunct/>
              <w:topLinePunct w:val="0"/>
              <w:bidi w:val="0"/>
              <w:jc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7657FB9">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电话</w:t>
            </w:r>
          </w:p>
        </w:tc>
        <w:tc>
          <w:tcPr>
            <w:tcW w:w="1416" w:type="dxa"/>
            <w:tcBorders>
              <w:top w:val="single" w:color="auto" w:sz="4" w:space="0"/>
              <w:left w:val="nil"/>
              <w:bottom w:val="single" w:color="auto" w:sz="4" w:space="0"/>
              <w:right w:val="single" w:color="auto" w:sz="4" w:space="0"/>
            </w:tcBorders>
            <w:vAlign w:val="center"/>
          </w:tcPr>
          <w:p w14:paraId="6351ED92">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4F0E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EA973F0">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技术负责人</w:t>
            </w:r>
          </w:p>
        </w:tc>
        <w:tc>
          <w:tcPr>
            <w:tcW w:w="1068" w:type="dxa"/>
            <w:tcBorders>
              <w:top w:val="single" w:color="auto" w:sz="4" w:space="0"/>
              <w:left w:val="nil"/>
              <w:bottom w:val="single" w:color="auto" w:sz="4" w:space="0"/>
              <w:right w:val="single" w:color="auto" w:sz="4" w:space="0"/>
            </w:tcBorders>
            <w:vAlign w:val="center"/>
          </w:tcPr>
          <w:p w14:paraId="14A0E9AF">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姓名</w:t>
            </w:r>
          </w:p>
        </w:tc>
        <w:tc>
          <w:tcPr>
            <w:tcW w:w="1205" w:type="dxa"/>
            <w:tcBorders>
              <w:top w:val="single" w:color="auto" w:sz="4" w:space="0"/>
              <w:left w:val="nil"/>
              <w:bottom w:val="single" w:color="auto" w:sz="4" w:space="0"/>
              <w:right w:val="single" w:color="auto" w:sz="4" w:space="0"/>
            </w:tcBorders>
            <w:vAlign w:val="center"/>
          </w:tcPr>
          <w:p w14:paraId="49B7D207">
            <w:pPr>
              <w:pageBreakBefore w:val="0"/>
              <w:kinsoku/>
              <w:wordWrap w:val="0"/>
              <w:overflowPunct/>
              <w:topLinePunct w:val="0"/>
              <w:bidi w:val="0"/>
              <w:jc w:val="center"/>
              <w:rPr>
                <w:rFonts w:cs="宋体" w:asciiTheme="minorEastAsia" w:hAnsiTheme="minorEastAsia" w:eastAsiaTheme="minorEastAsia"/>
                <w:kern w:val="2"/>
                <w:sz w:val="24"/>
                <w:szCs w:val="22"/>
              </w:rPr>
            </w:pPr>
          </w:p>
        </w:tc>
        <w:tc>
          <w:tcPr>
            <w:tcW w:w="921" w:type="dxa"/>
            <w:tcBorders>
              <w:top w:val="single" w:color="auto" w:sz="4" w:space="0"/>
              <w:left w:val="nil"/>
              <w:bottom w:val="single" w:color="auto" w:sz="4" w:space="0"/>
              <w:right w:val="single" w:color="auto" w:sz="4" w:space="0"/>
            </w:tcBorders>
            <w:vAlign w:val="center"/>
          </w:tcPr>
          <w:p w14:paraId="0060364F">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技术职称</w:t>
            </w:r>
          </w:p>
        </w:tc>
        <w:tc>
          <w:tcPr>
            <w:tcW w:w="1701" w:type="dxa"/>
            <w:gridSpan w:val="3"/>
            <w:tcBorders>
              <w:top w:val="single" w:color="auto" w:sz="4" w:space="0"/>
              <w:left w:val="nil"/>
              <w:bottom w:val="single" w:color="auto" w:sz="4" w:space="0"/>
              <w:right w:val="single" w:color="auto" w:sz="4" w:space="0"/>
            </w:tcBorders>
            <w:vAlign w:val="center"/>
          </w:tcPr>
          <w:p w14:paraId="7AFA26D4">
            <w:pPr>
              <w:pageBreakBefore w:val="0"/>
              <w:kinsoku/>
              <w:wordWrap w:val="0"/>
              <w:overflowPunct/>
              <w:topLinePunct w:val="0"/>
              <w:bidi w:val="0"/>
              <w:jc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D51D079">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电话</w:t>
            </w:r>
          </w:p>
        </w:tc>
        <w:tc>
          <w:tcPr>
            <w:tcW w:w="1416" w:type="dxa"/>
            <w:tcBorders>
              <w:top w:val="single" w:color="auto" w:sz="4" w:space="0"/>
              <w:left w:val="nil"/>
              <w:bottom w:val="single" w:color="auto" w:sz="4" w:space="0"/>
              <w:right w:val="single" w:color="auto" w:sz="4" w:space="0"/>
            </w:tcBorders>
            <w:vAlign w:val="center"/>
          </w:tcPr>
          <w:p w14:paraId="3F2D58E0">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4682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E1DAF31">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成立时间</w:t>
            </w:r>
          </w:p>
        </w:tc>
        <w:tc>
          <w:tcPr>
            <w:tcW w:w="2273" w:type="dxa"/>
            <w:gridSpan w:val="2"/>
            <w:tcBorders>
              <w:top w:val="single" w:color="auto" w:sz="4" w:space="0"/>
              <w:left w:val="nil"/>
              <w:bottom w:val="single" w:color="auto" w:sz="4" w:space="0"/>
              <w:right w:val="single" w:color="auto" w:sz="4" w:space="0"/>
            </w:tcBorders>
            <w:vAlign w:val="center"/>
          </w:tcPr>
          <w:p w14:paraId="7DB88C72">
            <w:pPr>
              <w:pageBreakBefore w:val="0"/>
              <w:kinsoku/>
              <w:wordWrap w:val="0"/>
              <w:overflowPunct/>
              <w:topLinePunct w:val="0"/>
              <w:bidi w:val="0"/>
              <w:jc w:val="center"/>
              <w:rPr>
                <w:rFonts w:cs="宋体" w:asciiTheme="minorEastAsia" w:hAnsiTheme="minorEastAsia" w:eastAsiaTheme="minorEastAsia"/>
                <w:kern w:val="2"/>
                <w:sz w:val="24"/>
                <w:szCs w:val="22"/>
              </w:rPr>
            </w:pPr>
          </w:p>
        </w:tc>
        <w:tc>
          <w:tcPr>
            <w:tcW w:w="4747" w:type="dxa"/>
            <w:gridSpan w:val="6"/>
            <w:tcBorders>
              <w:top w:val="single" w:color="auto" w:sz="4" w:space="0"/>
              <w:left w:val="nil"/>
              <w:bottom w:val="single" w:color="auto" w:sz="4" w:space="0"/>
              <w:right w:val="single" w:color="auto" w:sz="4" w:space="0"/>
            </w:tcBorders>
            <w:vAlign w:val="center"/>
          </w:tcPr>
          <w:p w14:paraId="6A8A49D5">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员工总人数：</w:t>
            </w:r>
          </w:p>
        </w:tc>
      </w:tr>
      <w:tr w14:paraId="3E28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CB673DD">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企业资质</w:t>
            </w:r>
          </w:p>
          <w:p w14:paraId="5BBEC824">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等级</w:t>
            </w:r>
          </w:p>
        </w:tc>
        <w:tc>
          <w:tcPr>
            <w:tcW w:w="2273" w:type="dxa"/>
            <w:gridSpan w:val="2"/>
            <w:tcBorders>
              <w:top w:val="single" w:color="auto" w:sz="4" w:space="0"/>
              <w:left w:val="nil"/>
              <w:bottom w:val="single" w:color="auto" w:sz="4" w:space="0"/>
              <w:right w:val="single" w:color="auto" w:sz="4" w:space="0"/>
            </w:tcBorders>
            <w:vAlign w:val="center"/>
          </w:tcPr>
          <w:p w14:paraId="1C1A5C97">
            <w:pPr>
              <w:pageBreakBefore w:val="0"/>
              <w:kinsoku/>
              <w:wordWrap w:val="0"/>
              <w:overflowPunct/>
              <w:topLinePunct w:val="0"/>
              <w:bidi w:val="0"/>
              <w:jc w:val="center"/>
              <w:rPr>
                <w:rFonts w:cs="宋体" w:asciiTheme="minorEastAsia" w:hAnsiTheme="minorEastAsia" w:eastAsiaTheme="minorEastAsia"/>
                <w:kern w:val="2"/>
                <w:sz w:val="24"/>
                <w:szCs w:val="22"/>
              </w:rPr>
            </w:pPr>
          </w:p>
        </w:tc>
        <w:tc>
          <w:tcPr>
            <w:tcW w:w="921" w:type="dxa"/>
            <w:vMerge w:val="restart"/>
            <w:tcBorders>
              <w:top w:val="single" w:color="auto" w:sz="4" w:space="0"/>
              <w:left w:val="nil"/>
              <w:bottom w:val="single" w:color="auto" w:sz="4" w:space="0"/>
              <w:right w:val="single" w:color="auto" w:sz="4" w:space="0"/>
            </w:tcBorders>
            <w:vAlign w:val="center"/>
          </w:tcPr>
          <w:p w14:paraId="4737D424">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其中</w:t>
            </w:r>
          </w:p>
        </w:tc>
        <w:tc>
          <w:tcPr>
            <w:tcW w:w="1701" w:type="dxa"/>
            <w:gridSpan w:val="3"/>
            <w:tcBorders>
              <w:top w:val="single" w:color="auto" w:sz="4" w:space="0"/>
              <w:left w:val="nil"/>
              <w:bottom w:val="single" w:color="auto" w:sz="4" w:space="0"/>
              <w:right w:val="single" w:color="auto" w:sz="4" w:space="0"/>
            </w:tcBorders>
            <w:vAlign w:val="center"/>
          </w:tcPr>
          <w:p w14:paraId="32A3E76C">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项目经理</w:t>
            </w:r>
          </w:p>
        </w:tc>
        <w:tc>
          <w:tcPr>
            <w:tcW w:w="2125" w:type="dxa"/>
            <w:gridSpan w:val="2"/>
            <w:tcBorders>
              <w:top w:val="single" w:color="auto" w:sz="4" w:space="0"/>
              <w:left w:val="nil"/>
              <w:bottom w:val="single" w:color="auto" w:sz="4" w:space="0"/>
              <w:right w:val="single" w:color="auto" w:sz="4" w:space="0"/>
            </w:tcBorders>
            <w:vAlign w:val="center"/>
          </w:tcPr>
          <w:p w14:paraId="6B5E1CE1">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5CB2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44488D1">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营业执照号</w:t>
            </w:r>
          </w:p>
        </w:tc>
        <w:tc>
          <w:tcPr>
            <w:tcW w:w="2273" w:type="dxa"/>
            <w:gridSpan w:val="2"/>
            <w:tcBorders>
              <w:top w:val="single" w:color="auto" w:sz="4" w:space="0"/>
              <w:left w:val="nil"/>
              <w:bottom w:val="single" w:color="auto" w:sz="4" w:space="0"/>
              <w:right w:val="single" w:color="auto" w:sz="4" w:space="0"/>
            </w:tcBorders>
            <w:vAlign w:val="center"/>
          </w:tcPr>
          <w:p w14:paraId="41DEB623">
            <w:pPr>
              <w:pageBreakBefore w:val="0"/>
              <w:kinsoku/>
              <w:wordWrap w:val="0"/>
              <w:overflowPunct/>
              <w:topLinePunct w:val="0"/>
              <w:bidi w:val="0"/>
              <w:jc w:val="center"/>
              <w:rPr>
                <w:rFonts w:cs="宋体" w:asciiTheme="minorEastAsia" w:hAnsiTheme="minorEastAsia" w:eastAsiaTheme="minorEastAsia"/>
                <w:kern w:val="2"/>
                <w:sz w:val="24"/>
                <w:szCs w:val="22"/>
              </w:rPr>
            </w:pPr>
          </w:p>
        </w:tc>
        <w:tc>
          <w:tcPr>
            <w:tcW w:w="921" w:type="dxa"/>
            <w:vMerge w:val="continue"/>
            <w:tcBorders>
              <w:top w:val="single" w:color="auto" w:sz="4" w:space="0"/>
              <w:left w:val="nil"/>
              <w:bottom w:val="single" w:color="auto" w:sz="4" w:space="0"/>
              <w:right w:val="single" w:color="auto" w:sz="4" w:space="0"/>
            </w:tcBorders>
            <w:vAlign w:val="center"/>
          </w:tcPr>
          <w:p w14:paraId="3B25CB24">
            <w:pPr>
              <w:pageBreakBefore w:val="0"/>
              <w:kinsoku/>
              <w:wordWrap w:val="0"/>
              <w:overflowPunct/>
              <w:topLinePunct w:val="0"/>
              <w:bidi w:val="0"/>
              <w:rPr>
                <w:rFonts w:cs="宋体" w:asciiTheme="minorEastAsia" w:hAnsiTheme="minorEastAsia" w:eastAsiaTheme="minorEastAsia"/>
                <w:kern w:val="2"/>
                <w:sz w:val="24"/>
                <w:szCs w:val="22"/>
              </w:rPr>
            </w:pPr>
          </w:p>
        </w:tc>
        <w:tc>
          <w:tcPr>
            <w:tcW w:w="1701" w:type="dxa"/>
            <w:gridSpan w:val="3"/>
            <w:tcBorders>
              <w:top w:val="single" w:color="auto" w:sz="4" w:space="0"/>
              <w:left w:val="nil"/>
              <w:bottom w:val="single" w:color="auto" w:sz="4" w:space="0"/>
              <w:right w:val="single" w:color="auto" w:sz="4" w:space="0"/>
            </w:tcBorders>
            <w:vAlign w:val="center"/>
          </w:tcPr>
          <w:p w14:paraId="0BEDB9CD">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高级职称人员</w:t>
            </w:r>
          </w:p>
        </w:tc>
        <w:tc>
          <w:tcPr>
            <w:tcW w:w="2125" w:type="dxa"/>
            <w:gridSpan w:val="2"/>
            <w:tcBorders>
              <w:top w:val="single" w:color="auto" w:sz="4" w:space="0"/>
              <w:left w:val="nil"/>
              <w:bottom w:val="single" w:color="auto" w:sz="4" w:space="0"/>
              <w:right w:val="single" w:color="auto" w:sz="4" w:space="0"/>
            </w:tcBorders>
            <w:vAlign w:val="center"/>
          </w:tcPr>
          <w:p w14:paraId="2811FEBD">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49E9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6F28456">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注册资金</w:t>
            </w:r>
          </w:p>
        </w:tc>
        <w:tc>
          <w:tcPr>
            <w:tcW w:w="2273" w:type="dxa"/>
            <w:gridSpan w:val="2"/>
            <w:tcBorders>
              <w:top w:val="single" w:color="auto" w:sz="4" w:space="0"/>
              <w:left w:val="nil"/>
              <w:bottom w:val="single" w:color="auto" w:sz="4" w:space="0"/>
              <w:right w:val="single" w:color="auto" w:sz="4" w:space="0"/>
            </w:tcBorders>
            <w:vAlign w:val="center"/>
          </w:tcPr>
          <w:p w14:paraId="429D0972">
            <w:pPr>
              <w:pageBreakBefore w:val="0"/>
              <w:kinsoku/>
              <w:wordWrap w:val="0"/>
              <w:overflowPunct/>
              <w:topLinePunct w:val="0"/>
              <w:bidi w:val="0"/>
              <w:jc w:val="center"/>
              <w:rPr>
                <w:rFonts w:cs="宋体" w:asciiTheme="minorEastAsia" w:hAnsiTheme="minorEastAsia" w:eastAsiaTheme="minorEastAsia"/>
                <w:kern w:val="2"/>
                <w:sz w:val="24"/>
                <w:szCs w:val="22"/>
              </w:rPr>
            </w:pPr>
          </w:p>
        </w:tc>
        <w:tc>
          <w:tcPr>
            <w:tcW w:w="921" w:type="dxa"/>
            <w:vMerge w:val="continue"/>
            <w:tcBorders>
              <w:top w:val="single" w:color="auto" w:sz="4" w:space="0"/>
              <w:left w:val="nil"/>
              <w:bottom w:val="single" w:color="auto" w:sz="4" w:space="0"/>
              <w:right w:val="single" w:color="auto" w:sz="4" w:space="0"/>
            </w:tcBorders>
            <w:vAlign w:val="center"/>
          </w:tcPr>
          <w:p w14:paraId="42195AC2">
            <w:pPr>
              <w:pageBreakBefore w:val="0"/>
              <w:kinsoku/>
              <w:wordWrap w:val="0"/>
              <w:overflowPunct/>
              <w:topLinePunct w:val="0"/>
              <w:bidi w:val="0"/>
              <w:rPr>
                <w:rFonts w:cs="宋体" w:asciiTheme="minorEastAsia" w:hAnsiTheme="minorEastAsia" w:eastAsiaTheme="minorEastAsia"/>
                <w:kern w:val="2"/>
                <w:sz w:val="24"/>
                <w:szCs w:val="22"/>
              </w:rPr>
            </w:pPr>
          </w:p>
        </w:tc>
        <w:tc>
          <w:tcPr>
            <w:tcW w:w="1701" w:type="dxa"/>
            <w:gridSpan w:val="3"/>
            <w:tcBorders>
              <w:top w:val="single" w:color="auto" w:sz="4" w:space="0"/>
              <w:left w:val="nil"/>
              <w:bottom w:val="single" w:color="auto" w:sz="4" w:space="0"/>
              <w:right w:val="single" w:color="auto" w:sz="4" w:space="0"/>
            </w:tcBorders>
            <w:vAlign w:val="center"/>
          </w:tcPr>
          <w:p w14:paraId="77E8537E">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4C74AA8F">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67D0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8097964">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开户银行</w:t>
            </w:r>
          </w:p>
        </w:tc>
        <w:tc>
          <w:tcPr>
            <w:tcW w:w="2273" w:type="dxa"/>
            <w:gridSpan w:val="2"/>
            <w:tcBorders>
              <w:top w:val="single" w:color="auto" w:sz="4" w:space="0"/>
              <w:left w:val="nil"/>
              <w:bottom w:val="single" w:color="auto" w:sz="4" w:space="0"/>
              <w:right w:val="single" w:color="auto" w:sz="4" w:space="0"/>
            </w:tcBorders>
            <w:vAlign w:val="center"/>
          </w:tcPr>
          <w:p w14:paraId="0F47DE44">
            <w:pPr>
              <w:pageBreakBefore w:val="0"/>
              <w:kinsoku/>
              <w:wordWrap w:val="0"/>
              <w:overflowPunct/>
              <w:topLinePunct w:val="0"/>
              <w:bidi w:val="0"/>
              <w:jc w:val="center"/>
              <w:rPr>
                <w:rFonts w:cs="宋体" w:asciiTheme="minorEastAsia" w:hAnsiTheme="minorEastAsia" w:eastAsiaTheme="minorEastAsia"/>
                <w:kern w:val="2"/>
                <w:sz w:val="24"/>
                <w:szCs w:val="22"/>
              </w:rPr>
            </w:pPr>
          </w:p>
        </w:tc>
        <w:tc>
          <w:tcPr>
            <w:tcW w:w="921" w:type="dxa"/>
            <w:vMerge w:val="continue"/>
            <w:tcBorders>
              <w:top w:val="single" w:color="auto" w:sz="4" w:space="0"/>
              <w:left w:val="nil"/>
              <w:bottom w:val="single" w:color="auto" w:sz="4" w:space="0"/>
              <w:right w:val="single" w:color="auto" w:sz="4" w:space="0"/>
            </w:tcBorders>
            <w:vAlign w:val="center"/>
          </w:tcPr>
          <w:p w14:paraId="03414003">
            <w:pPr>
              <w:pageBreakBefore w:val="0"/>
              <w:kinsoku/>
              <w:wordWrap w:val="0"/>
              <w:overflowPunct/>
              <w:topLinePunct w:val="0"/>
              <w:bidi w:val="0"/>
              <w:rPr>
                <w:rFonts w:cs="宋体" w:asciiTheme="minorEastAsia" w:hAnsiTheme="minorEastAsia" w:eastAsiaTheme="minorEastAsia"/>
                <w:kern w:val="2"/>
                <w:sz w:val="24"/>
                <w:szCs w:val="22"/>
              </w:rPr>
            </w:pPr>
          </w:p>
        </w:tc>
        <w:tc>
          <w:tcPr>
            <w:tcW w:w="1701" w:type="dxa"/>
            <w:gridSpan w:val="3"/>
            <w:tcBorders>
              <w:top w:val="single" w:color="auto" w:sz="4" w:space="0"/>
              <w:left w:val="nil"/>
              <w:bottom w:val="single" w:color="auto" w:sz="4" w:space="0"/>
              <w:right w:val="single" w:color="auto" w:sz="4" w:space="0"/>
            </w:tcBorders>
            <w:vAlign w:val="center"/>
          </w:tcPr>
          <w:p w14:paraId="6D486218">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初级职称人员</w:t>
            </w:r>
          </w:p>
        </w:tc>
        <w:tc>
          <w:tcPr>
            <w:tcW w:w="2125" w:type="dxa"/>
            <w:gridSpan w:val="2"/>
            <w:tcBorders>
              <w:top w:val="single" w:color="auto" w:sz="4" w:space="0"/>
              <w:left w:val="nil"/>
              <w:bottom w:val="single" w:color="auto" w:sz="4" w:space="0"/>
              <w:right w:val="single" w:color="auto" w:sz="4" w:space="0"/>
            </w:tcBorders>
            <w:vAlign w:val="center"/>
          </w:tcPr>
          <w:p w14:paraId="6CA11285">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2091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1CC87A1">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账号</w:t>
            </w:r>
          </w:p>
        </w:tc>
        <w:tc>
          <w:tcPr>
            <w:tcW w:w="2273" w:type="dxa"/>
            <w:gridSpan w:val="2"/>
            <w:tcBorders>
              <w:top w:val="single" w:color="auto" w:sz="4" w:space="0"/>
              <w:left w:val="nil"/>
              <w:bottom w:val="single" w:color="auto" w:sz="4" w:space="0"/>
              <w:right w:val="single" w:color="auto" w:sz="4" w:space="0"/>
            </w:tcBorders>
            <w:vAlign w:val="center"/>
          </w:tcPr>
          <w:p w14:paraId="540E4434">
            <w:pPr>
              <w:pageBreakBefore w:val="0"/>
              <w:kinsoku/>
              <w:wordWrap w:val="0"/>
              <w:overflowPunct/>
              <w:topLinePunct w:val="0"/>
              <w:bidi w:val="0"/>
              <w:jc w:val="center"/>
              <w:rPr>
                <w:rFonts w:cs="宋体" w:asciiTheme="minorEastAsia" w:hAnsiTheme="minorEastAsia" w:eastAsiaTheme="minorEastAsia"/>
                <w:kern w:val="2"/>
                <w:sz w:val="24"/>
                <w:szCs w:val="22"/>
              </w:rPr>
            </w:pPr>
          </w:p>
        </w:tc>
        <w:tc>
          <w:tcPr>
            <w:tcW w:w="921" w:type="dxa"/>
            <w:vMerge w:val="continue"/>
            <w:tcBorders>
              <w:top w:val="single" w:color="auto" w:sz="4" w:space="0"/>
              <w:left w:val="nil"/>
              <w:bottom w:val="single" w:color="auto" w:sz="4" w:space="0"/>
              <w:right w:val="single" w:color="auto" w:sz="4" w:space="0"/>
            </w:tcBorders>
            <w:vAlign w:val="center"/>
          </w:tcPr>
          <w:p w14:paraId="08CC735F">
            <w:pPr>
              <w:pageBreakBefore w:val="0"/>
              <w:kinsoku/>
              <w:wordWrap w:val="0"/>
              <w:overflowPunct/>
              <w:topLinePunct w:val="0"/>
              <w:bidi w:val="0"/>
              <w:rPr>
                <w:rFonts w:cs="宋体" w:asciiTheme="minorEastAsia" w:hAnsiTheme="minorEastAsia" w:eastAsiaTheme="minorEastAsia"/>
                <w:kern w:val="2"/>
                <w:sz w:val="24"/>
                <w:szCs w:val="22"/>
              </w:rPr>
            </w:pPr>
          </w:p>
        </w:tc>
        <w:tc>
          <w:tcPr>
            <w:tcW w:w="1701" w:type="dxa"/>
            <w:gridSpan w:val="3"/>
            <w:tcBorders>
              <w:top w:val="single" w:color="auto" w:sz="4" w:space="0"/>
              <w:left w:val="nil"/>
              <w:bottom w:val="single" w:color="auto" w:sz="4" w:space="0"/>
              <w:right w:val="single" w:color="auto" w:sz="4" w:space="0"/>
            </w:tcBorders>
            <w:vAlign w:val="center"/>
          </w:tcPr>
          <w:p w14:paraId="7DD5F13E">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技  工</w:t>
            </w:r>
          </w:p>
        </w:tc>
        <w:tc>
          <w:tcPr>
            <w:tcW w:w="2125" w:type="dxa"/>
            <w:gridSpan w:val="2"/>
            <w:tcBorders>
              <w:top w:val="single" w:color="auto" w:sz="4" w:space="0"/>
              <w:left w:val="nil"/>
              <w:bottom w:val="single" w:color="auto" w:sz="4" w:space="0"/>
              <w:right w:val="single" w:color="auto" w:sz="4" w:space="0"/>
            </w:tcBorders>
            <w:vAlign w:val="center"/>
          </w:tcPr>
          <w:p w14:paraId="6AF6C1E5">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1324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93EB1A0">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经营范围</w:t>
            </w:r>
          </w:p>
        </w:tc>
        <w:tc>
          <w:tcPr>
            <w:tcW w:w="7020" w:type="dxa"/>
            <w:gridSpan w:val="8"/>
            <w:tcBorders>
              <w:top w:val="single" w:color="auto" w:sz="4" w:space="0"/>
              <w:left w:val="nil"/>
              <w:bottom w:val="single" w:color="auto" w:sz="4" w:space="0"/>
              <w:right w:val="single" w:color="auto" w:sz="4" w:space="0"/>
            </w:tcBorders>
            <w:vAlign w:val="center"/>
          </w:tcPr>
          <w:p w14:paraId="691BB928">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730C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1022127">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备注</w:t>
            </w:r>
          </w:p>
        </w:tc>
        <w:tc>
          <w:tcPr>
            <w:tcW w:w="7020" w:type="dxa"/>
            <w:gridSpan w:val="8"/>
            <w:tcBorders>
              <w:top w:val="single" w:color="auto" w:sz="4" w:space="0"/>
              <w:left w:val="nil"/>
              <w:bottom w:val="single" w:color="auto" w:sz="4" w:space="0"/>
              <w:right w:val="single" w:color="auto" w:sz="4" w:space="0"/>
            </w:tcBorders>
            <w:vAlign w:val="center"/>
          </w:tcPr>
          <w:p w14:paraId="5A716671">
            <w:pPr>
              <w:pageBreakBefore w:val="0"/>
              <w:kinsoku/>
              <w:wordWrap w:val="0"/>
              <w:overflowPunct/>
              <w:topLinePunct w:val="0"/>
              <w:bidi w:val="0"/>
              <w:jc w:val="center"/>
              <w:rPr>
                <w:rFonts w:cs="宋体" w:asciiTheme="minorEastAsia" w:hAnsiTheme="minorEastAsia" w:eastAsiaTheme="minorEastAsia"/>
                <w:kern w:val="2"/>
                <w:sz w:val="24"/>
                <w:szCs w:val="22"/>
              </w:rPr>
            </w:pPr>
          </w:p>
        </w:tc>
      </w:tr>
    </w:tbl>
    <w:p w14:paraId="09CF8753">
      <w:pPr>
        <w:pageBreakBefore w:val="0"/>
        <w:kinsoku/>
        <w:wordWrap w:val="0"/>
        <w:overflowPunct/>
        <w:topLinePunct w:val="0"/>
        <w:bidi w:val="0"/>
        <w:spacing w:line="380" w:lineRule="exact"/>
        <w:rPr>
          <w:rFonts w:cs="宋体" w:asciiTheme="minorEastAsia" w:hAnsiTheme="minorEastAsia" w:eastAsiaTheme="minorEastAsia"/>
          <w:sz w:val="24"/>
        </w:rPr>
      </w:pPr>
      <w:r>
        <w:rPr>
          <w:rFonts w:hint="eastAsia" w:cs="宋体" w:asciiTheme="minorEastAsia" w:hAnsiTheme="minorEastAsia" w:eastAsiaTheme="minorEastAsia"/>
          <w:sz w:val="24"/>
        </w:rPr>
        <w:t>备注：本表后应附企业法人营业执照、资质证书、安全生产许可证等材料的扫描件。</w:t>
      </w:r>
    </w:p>
    <w:p w14:paraId="69C01112">
      <w:pPr>
        <w:pageBreakBefore w:val="0"/>
        <w:kinsoku/>
        <w:wordWrap w:val="0"/>
        <w:overflowPunct/>
        <w:topLinePunct w:val="0"/>
        <w:bidi w:val="0"/>
        <w:spacing w:line="600" w:lineRule="exact"/>
        <w:jc w:val="center"/>
        <w:outlineLvl w:val="0"/>
        <w:rPr>
          <w:rFonts w:hint="eastAsia" w:ascii="宋体" w:hAnsi="宋体" w:cs="宋体"/>
          <w:bCs/>
          <w:kern w:val="2"/>
          <w:sz w:val="30"/>
          <w:szCs w:val="30"/>
          <w:lang w:eastAsia="zh-CN"/>
        </w:rPr>
      </w:pPr>
    </w:p>
    <w:p w14:paraId="45C38ACD">
      <w:pPr>
        <w:pageBreakBefore w:val="0"/>
        <w:kinsoku/>
        <w:wordWrap w:val="0"/>
        <w:overflowPunct/>
        <w:topLinePunct w:val="0"/>
        <w:bidi w:val="0"/>
        <w:spacing w:line="440" w:lineRule="exact"/>
        <w:jc w:val="center"/>
        <w:rPr>
          <w:rFonts w:ascii="宋体" w:hAnsi="宋体"/>
          <w:sz w:val="24"/>
          <w:szCs w:val="22"/>
        </w:rPr>
      </w:pPr>
      <w:r>
        <w:rPr>
          <w:rFonts w:hint="eastAsia" w:cs="宋体" w:asciiTheme="minorEastAsia" w:hAnsiTheme="minorEastAsia" w:eastAsiaTheme="minorEastAsia"/>
          <w:b/>
          <w:bCs/>
          <w:sz w:val="24"/>
          <w:szCs w:val="24"/>
          <w:lang w:val="en-US" w:eastAsia="zh-CN" w:bidi="ar-SA"/>
        </w:rPr>
        <w:t>（二）</w:t>
      </w:r>
      <w:r>
        <w:rPr>
          <w:rFonts w:hint="eastAsia" w:ascii="宋体" w:hAnsi="宋体" w:cs="宋体"/>
          <w:b/>
          <w:sz w:val="24"/>
          <w:szCs w:val="21"/>
        </w:rPr>
        <w:t>投标供应商资格审查资料</w:t>
      </w:r>
    </w:p>
    <w:p w14:paraId="142AAB00">
      <w:pPr>
        <w:pageBreakBefore w:val="0"/>
        <w:numPr>
          <w:ilvl w:val="0"/>
          <w:numId w:val="0"/>
        </w:numPr>
        <w:kinsoku/>
        <w:wordWrap w:val="0"/>
        <w:overflowPunct/>
        <w:topLinePunct w:val="0"/>
        <w:bidi w:val="0"/>
        <w:spacing w:line="600" w:lineRule="exact"/>
        <w:ind w:left="0" w:leftChars="0" w:firstLine="0" w:firstLineChars="0"/>
        <w:jc w:val="center"/>
        <w:outlineLvl w:val="0"/>
        <w:rPr>
          <w:rFonts w:hint="eastAsia" w:cs="宋体" w:asciiTheme="minorEastAsia" w:hAnsiTheme="minorEastAsia" w:eastAsiaTheme="minorEastAsia"/>
          <w:b/>
          <w:bCs/>
          <w:sz w:val="24"/>
          <w:szCs w:val="24"/>
        </w:rPr>
      </w:pPr>
      <w:r>
        <w:rPr>
          <w:rFonts w:hint="eastAsia" w:ascii="宋体" w:hAnsi="宋体"/>
          <w:sz w:val="24"/>
          <w:szCs w:val="22"/>
        </w:rPr>
        <w:t>（格式自拟，应逐页加盖企业及法人电子签章；）</w:t>
      </w:r>
    </w:p>
    <w:p w14:paraId="1DA06D83">
      <w:pPr>
        <w:pageBreakBefore w:val="0"/>
        <w:numPr>
          <w:ilvl w:val="0"/>
          <w:numId w:val="0"/>
        </w:numPr>
        <w:kinsoku/>
        <w:wordWrap w:val="0"/>
        <w:overflowPunct/>
        <w:topLinePunct w:val="0"/>
        <w:bidi w:val="0"/>
        <w:spacing w:line="600" w:lineRule="exact"/>
        <w:ind w:leftChars="0"/>
        <w:jc w:val="both"/>
        <w:outlineLvl w:val="0"/>
        <w:rPr>
          <w:rFonts w:hint="eastAsia" w:cs="宋体" w:asciiTheme="minorEastAsia" w:hAnsiTheme="minorEastAsia" w:eastAsiaTheme="minorEastAsia"/>
          <w:b/>
          <w:bCs/>
          <w:sz w:val="24"/>
          <w:szCs w:val="24"/>
        </w:rPr>
      </w:pPr>
      <w:r>
        <w:rPr>
          <w:rFonts w:hint="eastAsia" w:cs="宋体" w:asciiTheme="minorEastAsia" w:hAnsiTheme="minorEastAsia" w:eastAsiaTheme="minorEastAsia"/>
          <w:sz w:val="24"/>
        </w:rPr>
        <w:br w:type="page"/>
      </w:r>
    </w:p>
    <w:p w14:paraId="20A9043D">
      <w:pPr>
        <w:pageBreakBefore w:val="0"/>
        <w:kinsoku/>
        <w:wordWrap w:val="0"/>
        <w:overflowPunct/>
        <w:topLinePunct w:val="0"/>
        <w:bidi w:val="0"/>
        <w:spacing w:line="480" w:lineRule="exact"/>
        <w:jc w:val="center"/>
        <w:textAlignment w:val="center"/>
        <w:outlineLvl w:val="0"/>
        <w:rPr>
          <w:rFonts w:hint="eastAsia"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lang w:eastAsia="zh-CN"/>
        </w:rPr>
        <w:t>八</w:t>
      </w:r>
      <w:r>
        <w:rPr>
          <w:rFonts w:hint="eastAsia" w:cs="宋体" w:asciiTheme="minorEastAsia" w:hAnsiTheme="minorEastAsia" w:eastAsiaTheme="minorEastAsia"/>
          <w:b/>
          <w:bCs/>
          <w:sz w:val="30"/>
          <w:szCs w:val="30"/>
        </w:rPr>
        <w:t>、项目管理机构</w:t>
      </w:r>
      <w:bookmarkEnd w:id="471"/>
      <w:bookmarkEnd w:id="472"/>
      <w:bookmarkEnd w:id="473"/>
      <w:bookmarkEnd w:id="474"/>
      <w:bookmarkEnd w:id="475"/>
      <w:bookmarkEnd w:id="476"/>
    </w:p>
    <w:p w14:paraId="1012C361">
      <w:pPr>
        <w:pageBreakBefore w:val="0"/>
        <w:kinsoku/>
        <w:wordWrap w:val="0"/>
        <w:overflowPunct/>
        <w:topLinePunct w:val="0"/>
        <w:bidi w:val="0"/>
        <w:spacing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（一）项目管理机构组成表</w:t>
      </w:r>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60"/>
        <w:gridCol w:w="1250"/>
        <w:gridCol w:w="708"/>
      </w:tblGrid>
      <w:tr w14:paraId="6201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5467928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职务</w:t>
            </w:r>
          </w:p>
        </w:tc>
        <w:tc>
          <w:tcPr>
            <w:tcW w:w="709" w:type="dxa"/>
            <w:vMerge w:val="restart"/>
            <w:tcBorders>
              <w:top w:val="single" w:color="auto" w:sz="4" w:space="0"/>
              <w:left w:val="nil"/>
              <w:bottom w:val="single" w:color="auto" w:sz="4" w:space="0"/>
              <w:right w:val="single" w:color="auto" w:sz="4" w:space="0"/>
            </w:tcBorders>
            <w:vAlign w:val="center"/>
          </w:tcPr>
          <w:p w14:paraId="7A42299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姓名</w:t>
            </w:r>
          </w:p>
        </w:tc>
        <w:tc>
          <w:tcPr>
            <w:tcW w:w="709" w:type="dxa"/>
            <w:vMerge w:val="restart"/>
            <w:tcBorders>
              <w:top w:val="single" w:color="auto" w:sz="4" w:space="0"/>
              <w:left w:val="nil"/>
              <w:bottom w:val="single" w:color="auto" w:sz="4" w:space="0"/>
              <w:right w:val="single" w:color="auto" w:sz="4" w:space="0"/>
            </w:tcBorders>
            <w:vAlign w:val="center"/>
          </w:tcPr>
          <w:p w14:paraId="542866E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职称</w:t>
            </w:r>
          </w:p>
        </w:tc>
        <w:tc>
          <w:tcPr>
            <w:tcW w:w="5670" w:type="dxa"/>
            <w:gridSpan w:val="5"/>
            <w:tcBorders>
              <w:top w:val="single" w:color="auto" w:sz="4" w:space="0"/>
              <w:left w:val="nil"/>
              <w:bottom w:val="single" w:color="auto" w:sz="4" w:space="0"/>
              <w:right w:val="single" w:color="auto" w:sz="4" w:space="0"/>
            </w:tcBorders>
            <w:vAlign w:val="center"/>
          </w:tcPr>
          <w:p w14:paraId="49C75A5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14:paraId="5B4D733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备注</w:t>
            </w:r>
          </w:p>
        </w:tc>
      </w:tr>
      <w:tr w14:paraId="7E18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2D51F0BC">
            <w:pPr>
              <w:pageBreakBefore w:val="0"/>
              <w:kinsoku/>
              <w:wordWrap w:val="0"/>
              <w:overflowPunct/>
              <w:topLinePunct w:val="0"/>
              <w:bidi w:val="0"/>
              <w:rPr>
                <w:rFonts w:cs="宋体" w:asciiTheme="minorEastAsia" w:hAnsiTheme="minorEastAsia" w:eastAsiaTheme="minorEastAsia"/>
                <w:kern w:val="2"/>
                <w:sz w:val="21"/>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2966F7F3">
            <w:pPr>
              <w:pageBreakBefore w:val="0"/>
              <w:kinsoku/>
              <w:wordWrap w:val="0"/>
              <w:overflowPunct/>
              <w:topLinePunct w:val="0"/>
              <w:bidi w:val="0"/>
              <w:rPr>
                <w:rFonts w:cs="宋体" w:asciiTheme="minorEastAsia" w:hAnsiTheme="minorEastAsia" w:eastAsiaTheme="minorEastAsia"/>
                <w:kern w:val="2"/>
                <w:sz w:val="21"/>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6C8B8D9A">
            <w:pPr>
              <w:pageBreakBefore w:val="0"/>
              <w:kinsoku/>
              <w:wordWrap w:val="0"/>
              <w:overflowPunct/>
              <w:topLinePunct w:val="0"/>
              <w:bidi w:val="0"/>
              <w:rPr>
                <w:rFonts w:cs="宋体" w:asciiTheme="minorEastAsia" w:hAnsiTheme="minorEastAsia" w:eastAsiaTheme="minorEastAsia"/>
                <w:kern w:val="2"/>
                <w:sz w:val="21"/>
                <w:szCs w:val="21"/>
              </w:rPr>
            </w:pPr>
          </w:p>
        </w:tc>
        <w:tc>
          <w:tcPr>
            <w:tcW w:w="1275" w:type="dxa"/>
            <w:tcBorders>
              <w:top w:val="single" w:color="auto" w:sz="4" w:space="0"/>
              <w:left w:val="nil"/>
              <w:bottom w:val="single" w:color="auto" w:sz="4" w:space="0"/>
              <w:right w:val="single" w:color="auto" w:sz="4" w:space="0"/>
            </w:tcBorders>
            <w:vAlign w:val="center"/>
          </w:tcPr>
          <w:p w14:paraId="5BC4B80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证书名称</w:t>
            </w:r>
          </w:p>
        </w:tc>
        <w:tc>
          <w:tcPr>
            <w:tcW w:w="993" w:type="dxa"/>
            <w:tcBorders>
              <w:top w:val="single" w:color="auto" w:sz="4" w:space="0"/>
              <w:left w:val="nil"/>
              <w:bottom w:val="single" w:color="auto" w:sz="4" w:space="0"/>
              <w:right w:val="single" w:color="auto" w:sz="4" w:space="0"/>
            </w:tcBorders>
            <w:vAlign w:val="center"/>
          </w:tcPr>
          <w:p w14:paraId="2172BF8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级别</w:t>
            </w:r>
          </w:p>
        </w:tc>
        <w:tc>
          <w:tcPr>
            <w:tcW w:w="992" w:type="dxa"/>
            <w:tcBorders>
              <w:top w:val="single" w:color="auto" w:sz="4" w:space="0"/>
              <w:left w:val="nil"/>
              <w:bottom w:val="single" w:color="auto" w:sz="4" w:space="0"/>
              <w:right w:val="single" w:color="auto" w:sz="4" w:space="0"/>
            </w:tcBorders>
            <w:vAlign w:val="center"/>
          </w:tcPr>
          <w:p w14:paraId="79A1F30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证号</w:t>
            </w:r>
          </w:p>
        </w:tc>
        <w:tc>
          <w:tcPr>
            <w:tcW w:w="1160" w:type="dxa"/>
            <w:tcBorders>
              <w:top w:val="single" w:color="auto" w:sz="4" w:space="0"/>
              <w:left w:val="nil"/>
              <w:bottom w:val="single" w:color="auto" w:sz="4" w:space="0"/>
              <w:right w:val="single" w:color="auto" w:sz="4" w:space="0"/>
            </w:tcBorders>
            <w:vAlign w:val="center"/>
          </w:tcPr>
          <w:p w14:paraId="770DAD0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专业</w:t>
            </w:r>
          </w:p>
        </w:tc>
        <w:tc>
          <w:tcPr>
            <w:tcW w:w="1250" w:type="dxa"/>
            <w:tcBorders>
              <w:top w:val="single" w:color="auto" w:sz="4" w:space="0"/>
              <w:left w:val="nil"/>
              <w:bottom w:val="single" w:color="auto" w:sz="4" w:space="0"/>
              <w:right w:val="single" w:color="auto" w:sz="4" w:space="0"/>
            </w:tcBorders>
            <w:vAlign w:val="center"/>
          </w:tcPr>
          <w:p w14:paraId="4973BAE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养老保险</w:t>
            </w:r>
          </w:p>
        </w:tc>
        <w:tc>
          <w:tcPr>
            <w:tcW w:w="708" w:type="dxa"/>
            <w:vMerge w:val="continue"/>
            <w:tcBorders>
              <w:top w:val="single" w:color="auto" w:sz="4" w:space="0"/>
              <w:left w:val="nil"/>
              <w:bottom w:val="single" w:color="auto" w:sz="4" w:space="0"/>
              <w:right w:val="single" w:color="auto" w:sz="4" w:space="0"/>
            </w:tcBorders>
            <w:vAlign w:val="center"/>
          </w:tcPr>
          <w:p w14:paraId="6ADA2521">
            <w:pPr>
              <w:pageBreakBefore w:val="0"/>
              <w:kinsoku/>
              <w:wordWrap w:val="0"/>
              <w:overflowPunct/>
              <w:topLinePunct w:val="0"/>
              <w:bidi w:val="0"/>
              <w:rPr>
                <w:rFonts w:cs="宋体" w:asciiTheme="minorEastAsia" w:hAnsiTheme="minorEastAsia" w:eastAsiaTheme="minorEastAsia"/>
                <w:kern w:val="2"/>
                <w:sz w:val="21"/>
                <w:szCs w:val="21"/>
              </w:rPr>
            </w:pPr>
          </w:p>
        </w:tc>
      </w:tr>
      <w:tr w14:paraId="184C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76F3C3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p>
        </w:tc>
        <w:tc>
          <w:tcPr>
            <w:tcW w:w="709" w:type="dxa"/>
            <w:tcBorders>
              <w:top w:val="single" w:color="auto" w:sz="4" w:space="0"/>
              <w:left w:val="nil"/>
              <w:bottom w:val="single" w:color="auto" w:sz="4" w:space="0"/>
              <w:right w:val="single" w:color="auto" w:sz="4" w:space="0"/>
            </w:tcBorders>
            <w:vAlign w:val="center"/>
          </w:tcPr>
          <w:p w14:paraId="3FBE2E9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p>
        </w:tc>
        <w:tc>
          <w:tcPr>
            <w:tcW w:w="709" w:type="dxa"/>
            <w:tcBorders>
              <w:top w:val="single" w:color="auto" w:sz="4" w:space="0"/>
              <w:left w:val="nil"/>
              <w:bottom w:val="single" w:color="auto" w:sz="4" w:space="0"/>
              <w:right w:val="single" w:color="auto" w:sz="4" w:space="0"/>
            </w:tcBorders>
            <w:vAlign w:val="center"/>
          </w:tcPr>
          <w:p w14:paraId="68CAA63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p>
        </w:tc>
        <w:tc>
          <w:tcPr>
            <w:tcW w:w="1275" w:type="dxa"/>
            <w:tcBorders>
              <w:top w:val="single" w:color="auto" w:sz="4" w:space="0"/>
              <w:left w:val="nil"/>
              <w:bottom w:val="single" w:color="auto" w:sz="4" w:space="0"/>
              <w:right w:val="single" w:color="auto" w:sz="4" w:space="0"/>
            </w:tcBorders>
            <w:vAlign w:val="center"/>
          </w:tcPr>
          <w:p w14:paraId="2261E3B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p>
        </w:tc>
        <w:tc>
          <w:tcPr>
            <w:tcW w:w="993" w:type="dxa"/>
            <w:tcBorders>
              <w:top w:val="single" w:color="auto" w:sz="4" w:space="0"/>
              <w:left w:val="nil"/>
              <w:bottom w:val="single" w:color="auto" w:sz="4" w:space="0"/>
              <w:right w:val="single" w:color="auto" w:sz="4" w:space="0"/>
            </w:tcBorders>
            <w:vAlign w:val="center"/>
          </w:tcPr>
          <w:p w14:paraId="11028BF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p>
        </w:tc>
        <w:tc>
          <w:tcPr>
            <w:tcW w:w="992" w:type="dxa"/>
            <w:tcBorders>
              <w:top w:val="single" w:color="auto" w:sz="4" w:space="0"/>
              <w:left w:val="nil"/>
              <w:bottom w:val="single" w:color="auto" w:sz="4" w:space="0"/>
              <w:right w:val="single" w:color="auto" w:sz="4" w:space="0"/>
            </w:tcBorders>
            <w:vAlign w:val="center"/>
          </w:tcPr>
          <w:p w14:paraId="123372E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p>
        </w:tc>
        <w:tc>
          <w:tcPr>
            <w:tcW w:w="1160" w:type="dxa"/>
            <w:tcBorders>
              <w:top w:val="single" w:color="auto" w:sz="4" w:space="0"/>
              <w:left w:val="nil"/>
              <w:bottom w:val="single" w:color="auto" w:sz="4" w:space="0"/>
              <w:right w:val="single" w:color="auto" w:sz="4" w:space="0"/>
            </w:tcBorders>
            <w:vAlign w:val="center"/>
          </w:tcPr>
          <w:p w14:paraId="2C18C3A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p>
        </w:tc>
        <w:tc>
          <w:tcPr>
            <w:tcW w:w="1250" w:type="dxa"/>
            <w:tcBorders>
              <w:top w:val="single" w:color="auto" w:sz="4" w:space="0"/>
              <w:left w:val="nil"/>
              <w:bottom w:val="single" w:color="auto" w:sz="4" w:space="0"/>
              <w:right w:val="single" w:color="auto" w:sz="4" w:space="0"/>
            </w:tcBorders>
            <w:vAlign w:val="center"/>
          </w:tcPr>
          <w:p w14:paraId="2D2B3E1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p>
        </w:tc>
        <w:tc>
          <w:tcPr>
            <w:tcW w:w="708" w:type="dxa"/>
            <w:tcBorders>
              <w:top w:val="single" w:color="auto" w:sz="4" w:space="0"/>
              <w:left w:val="nil"/>
              <w:bottom w:val="single" w:color="auto" w:sz="4" w:space="0"/>
              <w:right w:val="single" w:color="auto" w:sz="4" w:space="0"/>
            </w:tcBorders>
            <w:vAlign w:val="center"/>
          </w:tcPr>
          <w:p w14:paraId="461DFD1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1"/>
                <w:szCs w:val="21"/>
              </w:rPr>
            </w:pPr>
          </w:p>
        </w:tc>
      </w:tr>
      <w:tr w14:paraId="56A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924904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ACD579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694C56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31E2FBD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71C0FA3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31389C2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53A5CAC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BA36C4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41D79B2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3DA5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35E41C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9E7E11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424F38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2E22A31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E57205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3573AAA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028A0BD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4147427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109EEBE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7D57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CF323A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6779E1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A22175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6A19C98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0946C2B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9F73C3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2A91DDF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72EB563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593ECEB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33F4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F42747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6B60B1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B1E55F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765C30A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7920CF2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E80739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1184A2D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3938D1E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69A2459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7465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06CC98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1027E0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D7258C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6500E05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6E6EE6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6D9C13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62D4D04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33CEE6C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09CCF37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6EE3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AAADA9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9C4BB2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579CC4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4D3F8AD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540FEBF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8D87BC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76027C2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354684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7E9CEC0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765A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083D69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0EE1F8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FFA3A0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38EC431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5AB05B7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985F8A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75174FF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34F185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3B569C9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0890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DC158A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3F76A3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A76DF6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02F6B5A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763182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2D81DD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2B67FDE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0FD0ADD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421A0AE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3B57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9D507F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4AC6AE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3A045E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1351744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144B5E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6BDD2E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340CB18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3146ACB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6A397A4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5226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41FFE5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DA4DDA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1CF7A2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143BA6B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A5D045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6DF9E1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70E31D0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5B63CF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5054341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3C4D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442985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1BA7AF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60BB8D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110C9EC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5462446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0E6C517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5586C1A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490C645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29C1FD4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2629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31C8FD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C8A853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74D784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2C54BC7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C4E725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A0ECCE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266134F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7032356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447DF2D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318D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F91974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00FF0C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0A29D5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6DCF8E8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2C77684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D7DB86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628DC13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3DF9D91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3C4DD54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47ED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1AF02F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6EC95F9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6C8516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46E89F47">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52DE0D5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4063F5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4ECB1D6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2E3689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3D8226B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569E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B328CC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08CFC6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EB2937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414A6AD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001C5B29">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234691B">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3274237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F75516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031489B5">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182B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08FD4C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166BA6A">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DFBBF8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57D09684">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44AE371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EAF047D">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65A0EDF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4A9A9B6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223B163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0C57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498D4E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5C3DFD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62EC523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2EB1392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0835C4A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0C2F475C">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4F420C3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7051B4F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53D1B92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r w14:paraId="410A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D7EC113">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9069F66">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A36150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3BCE8B21">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1DA02768">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F5E0AB2">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12220770">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D7B3ECE">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3263D38F">
            <w:pPr>
              <w:pageBreakBefore w:val="0"/>
              <w:kinsoku/>
              <w:wordWrap w:val="0"/>
              <w:overflowPunct/>
              <w:topLinePunct w:val="0"/>
              <w:bidi w:val="0"/>
              <w:spacing w:line="480" w:lineRule="exact"/>
              <w:jc w:val="center"/>
              <w:textAlignment w:val="center"/>
              <w:rPr>
                <w:rFonts w:cs="宋体" w:asciiTheme="minorEastAsia" w:hAnsiTheme="minorEastAsia" w:eastAsiaTheme="minorEastAsia"/>
                <w:kern w:val="2"/>
                <w:sz w:val="24"/>
                <w:szCs w:val="22"/>
              </w:rPr>
            </w:pPr>
          </w:p>
        </w:tc>
      </w:tr>
    </w:tbl>
    <w:p w14:paraId="14F3B4A5">
      <w:pPr>
        <w:pageBreakBefore w:val="0"/>
        <w:kinsoku/>
        <w:wordWrap w:val="0"/>
        <w:overflowPunct/>
        <w:topLinePunct w:val="0"/>
        <w:bidi w:val="0"/>
        <w:spacing w:beforeLines="50" w:afterLines="100" w:line="400" w:lineRule="exact"/>
        <w:textAlignment w:val="center"/>
        <w:rPr>
          <w:rFonts w:cs="宋体" w:asciiTheme="minorEastAsia" w:hAnsiTheme="minorEastAsia" w:eastAsiaTheme="minorEastAsia"/>
          <w:sz w:val="24"/>
        </w:rPr>
      </w:pPr>
    </w:p>
    <w:p w14:paraId="13C04A1F">
      <w:pPr>
        <w:pageBreakBefore w:val="0"/>
        <w:kinsoku/>
        <w:wordWrap w:val="0"/>
        <w:overflowPunct/>
        <w:topLinePunct w:val="0"/>
        <w:bidi w:val="0"/>
        <w:spacing w:beforeLines="50" w:afterLines="100" w:line="400" w:lineRule="exact"/>
        <w:jc w:val="center"/>
        <w:textAlignment w:val="center"/>
        <w:rPr>
          <w:rFonts w:cs="宋体" w:asciiTheme="minorEastAsia" w:hAnsiTheme="minorEastAsia" w:eastAsiaTheme="minorEastAsia"/>
          <w:b/>
          <w:bCs/>
          <w:sz w:val="24"/>
        </w:rPr>
      </w:pPr>
    </w:p>
    <w:p w14:paraId="65AD12D8">
      <w:pPr>
        <w:pageBreakBefore w:val="0"/>
        <w:kinsoku/>
        <w:wordWrap w:val="0"/>
        <w:overflowPunct/>
        <w:topLinePunct w:val="0"/>
        <w:bidi w:val="0"/>
        <w:rPr>
          <w:rFonts w:cs="宋体" w:asciiTheme="minorEastAsia" w:hAnsiTheme="minorEastAsia" w:eastAsiaTheme="minorEastAsia"/>
          <w:b/>
          <w:bCs/>
          <w:sz w:val="24"/>
        </w:rPr>
      </w:pPr>
      <w:r>
        <w:rPr>
          <w:rFonts w:hint="eastAsia" w:cs="宋体" w:asciiTheme="minorEastAsia" w:hAnsiTheme="minorEastAsia" w:eastAsiaTheme="minorEastAsia"/>
          <w:b/>
          <w:bCs/>
          <w:sz w:val="24"/>
        </w:rPr>
        <w:br w:type="page"/>
      </w:r>
    </w:p>
    <w:p w14:paraId="115D50BF">
      <w:pPr>
        <w:pageBreakBefore w:val="0"/>
        <w:numPr>
          <w:ilvl w:val="0"/>
          <w:numId w:val="0"/>
        </w:numPr>
        <w:kinsoku/>
        <w:wordWrap w:val="0"/>
        <w:overflowPunct/>
        <w:topLinePunct w:val="0"/>
        <w:bidi w:val="0"/>
        <w:spacing w:beforeLines="50" w:afterLines="100" w:line="400" w:lineRule="exact"/>
        <w:ind w:leftChars="0"/>
        <w:jc w:val="center"/>
        <w:textAlignment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lang w:eastAsia="zh-CN"/>
        </w:rPr>
        <w:t>（二）</w:t>
      </w:r>
      <w:r>
        <w:rPr>
          <w:rFonts w:hint="eastAsia" w:cs="宋体" w:asciiTheme="minorEastAsia" w:hAnsiTheme="minorEastAsia" w:eastAsiaTheme="minorEastAsia"/>
          <w:b/>
          <w:bCs/>
          <w:sz w:val="24"/>
        </w:rPr>
        <w:t>主要人员简历表</w:t>
      </w:r>
    </w:p>
    <w:p w14:paraId="64CDF046">
      <w:pPr>
        <w:pageBreakBefore w:val="0"/>
        <w:kinsoku/>
        <w:wordWrap w:val="0"/>
        <w:overflowPunct/>
        <w:topLinePunct w:val="0"/>
        <w:bidi w:val="0"/>
        <w:spacing w:line="420" w:lineRule="exact"/>
        <w:ind w:firstLine="424" w:firstLineChars="202"/>
        <w:jc w:val="left"/>
        <w:rPr>
          <w:rFonts w:cs="宋体" w:asciiTheme="minorEastAsia" w:hAnsiTheme="minorEastAsia" w:eastAsiaTheme="minorEastAsia"/>
          <w:b/>
          <w:bCs/>
          <w:sz w:val="28"/>
          <w:szCs w:val="21"/>
        </w:rPr>
      </w:pPr>
      <w:r>
        <w:rPr>
          <w:rFonts w:hint="eastAsia" w:asciiTheme="minorEastAsia" w:hAnsiTheme="minorEastAsia" w:eastAsiaTheme="minorEastAsia"/>
          <w:sz w:val="21"/>
          <w:szCs w:val="21"/>
        </w:rPr>
        <w:t>“主要人员简历表”中的项目经理应附</w:t>
      </w:r>
      <w:r>
        <w:rPr>
          <w:rFonts w:hint="eastAsia" w:ascii="宋体" w:hAnsi="宋体" w:eastAsia="宋体" w:cs="宋体"/>
          <w:color w:val="auto"/>
          <w:sz w:val="24"/>
        </w:rPr>
        <w:t>应附注册建造师证、身份证、职称证（如有）、安全生产考核合格证、无在建工程承诺书、</w:t>
      </w:r>
      <w:r>
        <w:rPr>
          <w:rFonts w:hint="eastAsia" w:ascii="宋体" w:hAnsi="宋体" w:eastAsia="宋体" w:cs="宋体"/>
          <w:color w:val="auto"/>
          <w:sz w:val="24"/>
          <w:lang w:val="en-US" w:eastAsia="zh-CN"/>
        </w:rPr>
        <w:t>单位社会</w:t>
      </w:r>
      <w:r>
        <w:rPr>
          <w:rFonts w:hint="eastAsia" w:ascii="宋体" w:hAnsi="宋体" w:eastAsia="宋体" w:cs="宋体"/>
          <w:color w:val="auto"/>
          <w:sz w:val="24"/>
        </w:rPr>
        <w:t>保险证明及劳动合同等原件扫描件，管理过的项目业绩须附中标通知书</w:t>
      </w:r>
      <w:r>
        <w:rPr>
          <w:rFonts w:hint="eastAsia" w:ascii="宋体" w:hAnsi="宋体" w:cs="宋体"/>
          <w:color w:val="auto"/>
          <w:sz w:val="24"/>
          <w:lang w:eastAsia="zh-CN"/>
        </w:rPr>
        <w:t>和</w:t>
      </w:r>
      <w:r>
        <w:rPr>
          <w:rFonts w:hint="eastAsia" w:ascii="宋体" w:hAnsi="宋体" w:eastAsia="宋体" w:cs="宋体"/>
          <w:color w:val="auto"/>
          <w:sz w:val="24"/>
        </w:rPr>
        <w:t>合同协议书的原件扫描件</w:t>
      </w:r>
      <w:r>
        <w:rPr>
          <w:rFonts w:hint="eastAsia" w:ascii="宋体" w:hAnsi="宋体" w:eastAsia="宋体" w:cs="宋体"/>
          <w:bCs/>
          <w:sz w:val="24"/>
          <w:szCs w:val="24"/>
          <w:highlight w:val="none"/>
        </w:rPr>
        <w:t>；</w:t>
      </w:r>
      <w:r>
        <w:rPr>
          <w:rFonts w:hint="eastAsia" w:ascii="宋体" w:hAnsi="宋体" w:eastAsia="宋体" w:cs="宋体"/>
          <w:color w:val="000000"/>
          <w:sz w:val="24"/>
          <w:szCs w:val="24"/>
          <w:highlight w:val="none"/>
        </w:rPr>
        <w:t>其他主要人员应附身份证、职称证（执业证或上岗证书）、劳动合同等原件扫描件。</w:t>
      </w:r>
    </w:p>
    <w:tbl>
      <w:tblPr>
        <w:tblStyle w:val="17"/>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5A73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7386511D">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姓  名</w:t>
            </w:r>
          </w:p>
        </w:tc>
        <w:tc>
          <w:tcPr>
            <w:tcW w:w="1061" w:type="dxa"/>
            <w:tcBorders>
              <w:top w:val="single" w:color="auto" w:sz="4" w:space="0"/>
              <w:left w:val="nil"/>
              <w:bottom w:val="single" w:color="auto" w:sz="4" w:space="0"/>
              <w:right w:val="single" w:color="auto" w:sz="4" w:space="0"/>
            </w:tcBorders>
            <w:vAlign w:val="center"/>
          </w:tcPr>
          <w:p w14:paraId="3A84F921">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1162" w:type="dxa"/>
            <w:tcBorders>
              <w:top w:val="single" w:color="auto" w:sz="4" w:space="0"/>
              <w:left w:val="nil"/>
              <w:bottom w:val="single" w:color="auto" w:sz="4" w:space="0"/>
              <w:right w:val="single" w:color="auto" w:sz="4" w:space="0"/>
            </w:tcBorders>
            <w:vAlign w:val="center"/>
          </w:tcPr>
          <w:p w14:paraId="5676E9E9">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年  龄</w:t>
            </w:r>
          </w:p>
        </w:tc>
        <w:tc>
          <w:tcPr>
            <w:tcW w:w="1307" w:type="dxa"/>
            <w:tcBorders>
              <w:top w:val="single" w:color="auto" w:sz="4" w:space="0"/>
              <w:left w:val="nil"/>
              <w:bottom w:val="single" w:color="auto" w:sz="4" w:space="0"/>
              <w:right w:val="single" w:color="auto" w:sz="4" w:space="0"/>
            </w:tcBorders>
            <w:vAlign w:val="center"/>
          </w:tcPr>
          <w:p w14:paraId="02E69845">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023A0487">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学历</w:t>
            </w:r>
          </w:p>
        </w:tc>
        <w:tc>
          <w:tcPr>
            <w:tcW w:w="2181" w:type="dxa"/>
            <w:tcBorders>
              <w:top w:val="single" w:color="auto" w:sz="4" w:space="0"/>
              <w:left w:val="nil"/>
              <w:bottom w:val="single" w:color="auto" w:sz="4" w:space="0"/>
              <w:right w:val="single" w:color="auto" w:sz="4" w:space="0"/>
            </w:tcBorders>
            <w:vAlign w:val="center"/>
          </w:tcPr>
          <w:p w14:paraId="597211C6">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r>
      <w:tr w14:paraId="189D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44F4AD6A">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职  称</w:t>
            </w:r>
          </w:p>
        </w:tc>
        <w:tc>
          <w:tcPr>
            <w:tcW w:w="1061" w:type="dxa"/>
            <w:tcBorders>
              <w:top w:val="single" w:color="auto" w:sz="4" w:space="0"/>
              <w:left w:val="nil"/>
              <w:bottom w:val="single" w:color="auto" w:sz="4" w:space="0"/>
              <w:right w:val="single" w:color="auto" w:sz="4" w:space="0"/>
            </w:tcBorders>
            <w:vAlign w:val="center"/>
          </w:tcPr>
          <w:p w14:paraId="7773E5CF">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1162" w:type="dxa"/>
            <w:tcBorders>
              <w:top w:val="single" w:color="auto" w:sz="4" w:space="0"/>
              <w:left w:val="nil"/>
              <w:bottom w:val="single" w:color="auto" w:sz="4" w:space="0"/>
              <w:right w:val="single" w:color="auto" w:sz="4" w:space="0"/>
            </w:tcBorders>
            <w:vAlign w:val="center"/>
          </w:tcPr>
          <w:p w14:paraId="4BBF8A37">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职  务</w:t>
            </w:r>
          </w:p>
        </w:tc>
        <w:tc>
          <w:tcPr>
            <w:tcW w:w="1307" w:type="dxa"/>
            <w:tcBorders>
              <w:top w:val="single" w:color="auto" w:sz="4" w:space="0"/>
              <w:left w:val="nil"/>
              <w:bottom w:val="single" w:color="auto" w:sz="4" w:space="0"/>
              <w:right w:val="single" w:color="auto" w:sz="4" w:space="0"/>
            </w:tcBorders>
            <w:vAlign w:val="center"/>
          </w:tcPr>
          <w:p w14:paraId="3CE2972D">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122EA596">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拟在本工程</w:t>
            </w:r>
          </w:p>
          <w:p w14:paraId="1F8A684A">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任职</w:t>
            </w:r>
          </w:p>
        </w:tc>
        <w:tc>
          <w:tcPr>
            <w:tcW w:w="2181" w:type="dxa"/>
            <w:tcBorders>
              <w:top w:val="single" w:color="auto" w:sz="4" w:space="0"/>
              <w:left w:val="nil"/>
              <w:bottom w:val="single" w:color="auto" w:sz="4" w:space="0"/>
              <w:right w:val="single" w:color="auto" w:sz="4" w:space="0"/>
            </w:tcBorders>
            <w:vAlign w:val="center"/>
          </w:tcPr>
          <w:p w14:paraId="2737501C">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r>
      <w:tr w14:paraId="75B9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35F1B261">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毕业  学校</w:t>
            </w:r>
          </w:p>
        </w:tc>
        <w:tc>
          <w:tcPr>
            <w:tcW w:w="7600" w:type="dxa"/>
            <w:gridSpan w:val="5"/>
            <w:tcBorders>
              <w:top w:val="single" w:color="auto" w:sz="4" w:space="0"/>
              <w:left w:val="nil"/>
              <w:bottom w:val="single" w:color="auto" w:sz="4" w:space="0"/>
              <w:right w:val="single" w:color="auto" w:sz="4" w:space="0"/>
            </w:tcBorders>
            <w:vAlign w:val="center"/>
          </w:tcPr>
          <w:p w14:paraId="2464C6E7">
            <w:pPr>
              <w:pageBreakBefore w:val="0"/>
              <w:kinsoku/>
              <w:wordWrap w:val="0"/>
              <w:overflowPunct/>
              <w:topLinePunct w:val="0"/>
              <w:bidi w:val="0"/>
              <w:spacing w:line="400" w:lineRule="exact"/>
              <w:ind w:firstLine="960" w:firstLineChars="400"/>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年毕业于                  学校            专业</w:t>
            </w:r>
          </w:p>
        </w:tc>
      </w:tr>
      <w:tr w14:paraId="299A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5343A800">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主要工作经历</w:t>
            </w:r>
          </w:p>
        </w:tc>
      </w:tr>
      <w:tr w14:paraId="5A69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50027581">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时  间</w:t>
            </w:r>
          </w:p>
        </w:tc>
        <w:tc>
          <w:tcPr>
            <w:tcW w:w="3530" w:type="dxa"/>
            <w:gridSpan w:val="3"/>
            <w:tcBorders>
              <w:top w:val="single" w:color="auto" w:sz="4" w:space="0"/>
              <w:left w:val="nil"/>
              <w:bottom w:val="single" w:color="auto" w:sz="4" w:space="0"/>
              <w:right w:val="single" w:color="auto" w:sz="4" w:space="0"/>
            </w:tcBorders>
            <w:vAlign w:val="center"/>
          </w:tcPr>
          <w:p w14:paraId="7CBCC131">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6392DFA6">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担任职务</w:t>
            </w:r>
          </w:p>
        </w:tc>
        <w:tc>
          <w:tcPr>
            <w:tcW w:w="2181" w:type="dxa"/>
            <w:tcBorders>
              <w:top w:val="single" w:color="auto" w:sz="4" w:space="0"/>
              <w:left w:val="nil"/>
              <w:bottom w:val="single" w:color="auto" w:sz="4" w:space="0"/>
              <w:right w:val="single" w:color="auto" w:sz="4" w:space="0"/>
            </w:tcBorders>
            <w:vAlign w:val="center"/>
          </w:tcPr>
          <w:p w14:paraId="5E053161">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发包人及联系</w:t>
            </w:r>
          </w:p>
          <w:p w14:paraId="2E8D6172">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电话</w:t>
            </w:r>
          </w:p>
        </w:tc>
      </w:tr>
      <w:tr w14:paraId="4D1B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D04E335">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719F1DC2">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62BD0412">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5ED1884C">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r>
      <w:tr w14:paraId="2129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BD58FE6">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1A64349C">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6A19B256">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2ECCA2FA">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r>
      <w:tr w14:paraId="0DC2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0BBBA0D1">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2ACD8E5F">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1AF2844C">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689CE950">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r>
      <w:tr w14:paraId="0A67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F0D865D">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64D896DD">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1B72E2C0">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2DD4ECC6">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r>
      <w:tr w14:paraId="538F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415DAB7">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73F17ECB">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2BDA64A9">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2A708536">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r>
      <w:tr w14:paraId="7785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FF06FE4">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1C33379C">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0FB2B02E">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14BA6CBE">
            <w:pPr>
              <w:pageBreakBefore w:val="0"/>
              <w:kinsoku/>
              <w:wordWrap w:val="0"/>
              <w:overflowPunct/>
              <w:topLinePunct w:val="0"/>
              <w:bidi w:val="0"/>
              <w:spacing w:line="400" w:lineRule="exact"/>
              <w:jc w:val="center"/>
              <w:textAlignment w:val="center"/>
              <w:rPr>
                <w:rFonts w:cs="宋体" w:asciiTheme="minorEastAsia" w:hAnsiTheme="minorEastAsia" w:eastAsiaTheme="minorEastAsia"/>
                <w:kern w:val="2"/>
                <w:sz w:val="24"/>
                <w:szCs w:val="22"/>
              </w:rPr>
            </w:pPr>
          </w:p>
        </w:tc>
      </w:tr>
    </w:tbl>
    <w:p w14:paraId="45FBA126">
      <w:pPr>
        <w:pageBreakBefore w:val="0"/>
        <w:kinsoku/>
        <w:wordWrap w:val="0"/>
        <w:overflowPunct/>
        <w:topLinePunct w:val="0"/>
        <w:bidi w:val="0"/>
        <w:spacing w:line="480" w:lineRule="exact"/>
        <w:textAlignment w:val="center"/>
        <w:rPr>
          <w:rFonts w:cs="宋体" w:asciiTheme="minorEastAsia" w:hAnsiTheme="minorEastAsia" w:eastAsiaTheme="minorEastAsia"/>
          <w:sz w:val="24"/>
        </w:rPr>
      </w:pPr>
    </w:p>
    <w:p w14:paraId="359949A3">
      <w:pPr>
        <w:keepNext/>
        <w:pageBreakBefore w:val="0"/>
        <w:widowControl/>
        <w:kinsoku/>
        <w:wordWrap w:val="0"/>
        <w:overflowPunct/>
        <w:topLinePunct w:val="0"/>
        <w:bidi w:val="0"/>
        <w:spacing w:line="420" w:lineRule="exact"/>
        <w:jc w:val="center"/>
        <w:outlineLvl w:val="3"/>
        <w:rPr>
          <w:rFonts w:ascii="宋体" w:hAnsi="宋体"/>
          <w:b/>
          <w:bCs/>
          <w:sz w:val="24"/>
        </w:rPr>
      </w:pPr>
      <w:bookmarkStart w:id="477" w:name="_Toc14764"/>
      <w:bookmarkStart w:id="478" w:name="_Toc21245"/>
      <w:bookmarkStart w:id="479" w:name="_Toc259"/>
      <w:bookmarkStart w:id="480" w:name="_Toc13861"/>
      <w:bookmarkStart w:id="481" w:name="_Toc19060"/>
      <w:bookmarkStart w:id="482" w:name="_Toc17594"/>
      <w:r>
        <w:rPr>
          <w:rFonts w:hint="eastAsia" w:cs="宋体" w:asciiTheme="minorEastAsia" w:hAnsiTheme="minorEastAsia" w:eastAsiaTheme="minorEastAsia"/>
          <w:b/>
          <w:bCs/>
          <w:sz w:val="30"/>
          <w:szCs w:val="30"/>
        </w:rPr>
        <w:br w:type="page"/>
      </w:r>
      <w:r>
        <w:rPr>
          <w:rFonts w:hint="eastAsia" w:ascii="宋体" w:hAnsi="宋体"/>
          <w:b/>
          <w:bCs/>
          <w:sz w:val="24"/>
        </w:rPr>
        <w:t>（三）项目经理无在建承诺书</w:t>
      </w:r>
    </w:p>
    <w:p w14:paraId="6298DC37">
      <w:pPr>
        <w:pageBreakBefore w:val="0"/>
        <w:kinsoku/>
        <w:wordWrap w:val="0"/>
        <w:overflowPunct/>
        <w:topLinePunct w:val="0"/>
        <w:bidi w:val="0"/>
        <w:spacing w:after="312" w:afterLines="100" w:line="520" w:lineRule="exact"/>
        <w:textAlignment w:val="center"/>
        <w:rPr>
          <w:rFonts w:ascii="宋体" w:hAnsi="宋体"/>
          <w:sz w:val="28"/>
        </w:rPr>
      </w:pPr>
      <w:r>
        <w:rPr>
          <w:rFonts w:hint="eastAsia" w:ascii="宋体" w:hAnsi="宋体"/>
          <w:sz w:val="28"/>
          <w:u w:val="single"/>
        </w:rPr>
        <w:t>（招标人名称）</w:t>
      </w:r>
      <w:r>
        <w:rPr>
          <w:rFonts w:hint="eastAsia" w:ascii="宋体" w:hAnsi="宋体"/>
          <w:sz w:val="28"/>
        </w:rPr>
        <w:t>：</w:t>
      </w:r>
    </w:p>
    <w:p w14:paraId="32ECA428">
      <w:pPr>
        <w:pageBreakBefore w:val="0"/>
        <w:kinsoku/>
        <w:wordWrap w:val="0"/>
        <w:overflowPunct/>
        <w:topLinePunct w:val="0"/>
        <w:bidi w:val="0"/>
        <w:spacing w:line="520" w:lineRule="exact"/>
        <w:ind w:firstLine="560" w:firstLineChars="200"/>
        <w:textAlignment w:val="center"/>
        <w:rPr>
          <w:rFonts w:ascii="宋体" w:hAnsi="宋体"/>
          <w:sz w:val="28"/>
        </w:rPr>
      </w:pPr>
      <w:r>
        <w:rPr>
          <w:rFonts w:hint="eastAsia" w:ascii="宋体" w:hAnsi="宋体"/>
          <w:sz w:val="28"/>
        </w:rPr>
        <w:t>我方在此声明，我方拟派往</w:t>
      </w:r>
      <w:r>
        <w:rPr>
          <w:rFonts w:hint="eastAsia" w:ascii="宋体" w:hAnsi="宋体"/>
          <w:sz w:val="28"/>
          <w:u w:val="single"/>
        </w:rPr>
        <w:t>（项目名称）</w:t>
      </w:r>
      <w:r>
        <w:rPr>
          <w:rFonts w:hint="eastAsia" w:ascii="宋体" w:hAnsi="宋体"/>
          <w:sz w:val="28"/>
        </w:rPr>
        <w:t>的项目经理</w:t>
      </w:r>
      <w:r>
        <w:rPr>
          <w:rFonts w:hint="eastAsia" w:ascii="宋体" w:hAnsi="宋体"/>
          <w:sz w:val="28"/>
          <w:u w:val="single"/>
        </w:rPr>
        <w:t>（项目经理姓名）</w:t>
      </w:r>
      <w:r>
        <w:rPr>
          <w:rFonts w:hint="eastAsia" w:ascii="宋体" w:hAnsi="宋体"/>
          <w:sz w:val="28"/>
        </w:rPr>
        <w:t>现阶段无参与任何在建项目。</w:t>
      </w:r>
    </w:p>
    <w:p w14:paraId="36E82423">
      <w:pPr>
        <w:pageBreakBefore w:val="0"/>
        <w:kinsoku/>
        <w:wordWrap w:val="0"/>
        <w:overflowPunct/>
        <w:topLinePunct w:val="0"/>
        <w:bidi w:val="0"/>
        <w:spacing w:line="520" w:lineRule="exact"/>
        <w:ind w:firstLine="560" w:firstLineChars="200"/>
        <w:textAlignment w:val="center"/>
        <w:rPr>
          <w:rFonts w:ascii="宋体" w:hAnsi="宋体"/>
          <w:sz w:val="28"/>
        </w:rPr>
      </w:pPr>
      <w:r>
        <w:rPr>
          <w:rFonts w:hint="eastAsia" w:ascii="宋体" w:hAnsi="宋体"/>
          <w:sz w:val="28"/>
        </w:rPr>
        <w:t>我方保证上述信息的真实和准确，并愿意承担因我方就此弄虚作假所引起的一切法律后果。</w:t>
      </w:r>
    </w:p>
    <w:p w14:paraId="520DC81E">
      <w:pPr>
        <w:pageBreakBefore w:val="0"/>
        <w:kinsoku/>
        <w:wordWrap w:val="0"/>
        <w:overflowPunct/>
        <w:topLinePunct w:val="0"/>
        <w:bidi w:val="0"/>
        <w:spacing w:line="480" w:lineRule="exact"/>
        <w:ind w:firstLine="560" w:firstLineChars="200"/>
        <w:textAlignment w:val="center"/>
        <w:rPr>
          <w:rFonts w:ascii="宋体" w:hAnsi="宋体"/>
          <w:sz w:val="28"/>
        </w:rPr>
      </w:pPr>
    </w:p>
    <w:p w14:paraId="2F7FAE82">
      <w:pPr>
        <w:pageBreakBefore w:val="0"/>
        <w:kinsoku/>
        <w:wordWrap w:val="0"/>
        <w:overflowPunct/>
        <w:topLinePunct w:val="0"/>
        <w:bidi w:val="0"/>
        <w:spacing w:line="480" w:lineRule="exact"/>
        <w:ind w:firstLine="560" w:firstLineChars="200"/>
        <w:textAlignment w:val="center"/>
        <w:rPr>
          <w:rFonts w:ascii="宋体" w:hAnsi="宋体"/>
          <w:sz w:val="28"/>
        </w:rPr>
      </w:pPr>
    </w:p>
    <w:p w14:paraId="2992BB17">
      <w:pPr>
        <w:pageBreakBefore w:val="0"/>
        <w:kinsoku/>
        <w:wordWrap w:val="0"/>
        <w:overflowPunct/>
        <w:topLinePunct w:val="0"/>
        <w:bidi w:val="0"/>
        <w:spacing w:line="480" w:lineRule="exact"/>
        <w:ind w:firstLine="560" w:firstLineChars="200"/>
        <w:textAlignment w:val="center"/>
        <w:rPr>
          <w:rFonts w:ascii="宋体" w:hAnsi="宋体"/>
          <w:sz w:val="28"/>
        </w:rPr>
      </w:pPr>
      <w:r>
        <w:rPr>
          <w:rFonts w:hint="eastAsia" w:ascii="宋体" w:hAnsi="宋体"/>
          <w:sz w:val="28"/>
        </w:rPr>
        <w:t>特此承诺</w:t>
      </w:r>
    </w:p>
    <w:p w14:paraId="56DCECA7">
      <w:pPr>
        <w:pageBreakBefore w:val="0"/>
        <w:kinsoku/>
        <w:wordWrap w:val="0"/>
        <w:overflowPunct/>
        <w:topLinePunct w:val="0"/>
        <w:bidi w:val="0"/>
        <w:spacing w:line="480" w:lineRule="exact"/>
        <w:ind w:firstLine="480" w:firstLineChars="200"/>
        <w:textAlignment w:val="center"/>
        <w:rPr>
          <w:rFonts w:ascii="宋体" w:hAnsi="宋体"/>
          <w:sz w:val="24"/>
        </w:rPr>
      </w:pPr>
    </w:p>
    <w:p w14:paraId="25E29B9B">
      <w:pPr>
        <w:pageBreakBefore w:val="0"/>
        <w:kinsoku/>
        <w:wordWrap w:val="0"/>
        <w:overflowPunct/>
        <w:topLinePunct w:val="0"/>
        <w:bidi w:val="0"/>
        <w:spacing w:line="480" w:lineRule="exact"/>
        <w:ind w:firstLine="480" w:firstLineChars="200"/>
        <w:textAlignment w:val="center"/>
        <w:rPr>
          <w:rFonts w:ascii="宋体" w:hAnsi="宋体"/>
          <w:sz w:val="24"/>
        </w:rPr>
      </w:pPr>
    </w:p>
    <w:p w14:paraId="6418D1F5">
      <w:pPr>
        <w:pageBreakBefore w:val="0"/>
        <w:kinsoku/>
        <w:wordWrap w:val="0"/>
        <w:overflowPunct/>
        <w:topLinePunct w:val="0"/>
        <w:bidi w:val="0"/>
        <w:spacing w:line="480" w:lineRule="exact"/>
        <w:ind w:firstLine="480" w:firstLineChars="200"/>
        <w:textAlignment w:val="center"/>
        <w:rPr>
          <w:rFonts w:ascii="宋体" w:hAnsi="宋体"/>
          <w:sz w:val="24"/>
        </w:rPr>
      </w:pPr>
    </w:p>
    <w:p w14:paraId="77B4E42C">
      <w:pPr>
        <w:pageBreakBefore w:val="0"/>
        <w:kinsoku/>
        <w:wordWrap w:val="0"/>
        <w:overflowPunct/>
        <w:topLinePunct w:val="0"/>
        <w:bidi w:val="0"/>
        <w:spacing w:line="520" w:lineRule="exact"/>
        <w:ind w:firstLine="5154" w:firstLineChars="1841"/>
        <w:textAlignment w:val="center"/>
        <w:rPr>
          <w:rFonts w:ascii="宋体" w:hAnsi="宋体"/>
          <w:sz w:val="28"/>
        </w:rPr>
      </w:pPr>
      <w:r>
        <w:rPr>
          <w:rFonts w:hint="eastAsia" w:ascii="宋体" w:hAnsi="宋体"/>
          <w:sz w:val="28"/>
        </w:rPr>
        <w:t>投标人：（企业电子签章）</w:t>
      </w:r>
    </w:p>
    <w:p w14:paraId="5BA175F5">
      <w:pPr>
        <w:pageBreakBefore w:val="0"/>
        <w:kinsoku/>
        <w:wordWrap w:val="0"/>
        <w:overflowPunct/>
        <w:topLinePunct w:val="0"/>
        <w:bidi w:val="0"/>
        <w:spacing w:line="520" w:lineRule="exact"/>
        <w:ind w:firstLine="5154" w:firstLineChars="1841"/>
        <w:textAlignment w:val="center"/>
        <w:rPr>
          <w:rFonts w:ascii="宋体" w:hAnsi="宋体"/>
          <w:sz w:val="28"/>
        </w:rPr>
      </w:pPr>
      <w:r>
        <w:rPr>
          <w:rFonts w:hint="eastAsia" w:ascii="宋体" w:hAnsi="宋体"/>
          <w:sz w:val="28"/>
        </w:rPr>
        <w:t xml:space="preserve">       年  月  日</w:t>
      </w:r>
    </w:p>
    <w:p w14:paraId="776A0DC9">
      <w:pPr>
        <w:pageBreakBefore w:val="0"/>
        <w:widowControl/>
        <w:kinsoku/>
        <w:wordWrap w:val="0"/>
        <w:overflowPunct/>
        <w:topLinePunct w:val="0"/>
        <w:bidi w:val="0"/>
        <w:jc w:val="left"/>
        <w:rPr>
          <w:rFonts w:ascii="宋体" w:hAnsi="宋体" w:cs="宋体"/>
          <w:b/>
          <w:sz w:val="24"/>
          <w:szCs w:val="21"/>
        </w:rPr>
      </w:pPr>
    </w:p>
    <w:p w14:paraId="2F2A52A6">
      <w:pPr>
        <w:pageBreakBefore w:val="0"/>
        <w:widowControl/>
        <w:kinsoku/>
        <w:wordWrap w:val="0"/>
        <w:overflowPunct/>
        <w:topLinePunct w:val="0"/>
        <w:bidi w:val="0"/>
        <w:jc w:val="left"/>
        <w:rPr>
          <w:rFonts w:cs="宋体" w:asciiTheme="minorEastAsia" w:hAnsiTheme="minorEastAsia" w:eastAsiaTheme="minorEastAsia"/>
          <w:b/>
          <w:bCs/>
          <w:sz w:val="30"/>
          <w:szCs w:val="30"/>
        </w:rPr>
      </w:pPr>
      <w:r>
        <w:rPr>
          <w:rFonts w:ascii="宋体" w:hAnsi="宋体" w:cs="宋体"/>
          <w:b/>
          <w:sz w:val="24"/>
          <w:szCs w:val="21"/>
        </w:rPr>
        <w:br w:type="page"/>
      </w:r>
    </w:p>
    <w:bookmarkEnd w:id="477"/>
    <w:bookmarkEnd w:id="478"/>
    <w:bookmarkEnd w:id="479"/>
    <w:bookmarkEnd w:id="480"/>
    <w:bookmarkEnd w:id="481"/>
    <w:bookmarkEnd w:id="482"/>
    <w:p w14:paraId="6F43811B">
      <w:pPr>
        <w:pageBreakBefore w:val="0"/>
        <w:kinsoku/>
        <w:wordWrap w:val="0"/>
        <w:overflowPunct/>
        <w:topLinePunct w:val="0"/>
        <w:bidi w:val="0"/>
        <w:jc w:val="center"/>
        <w:rPr>
          <w:rFonts w:asciiTheme="minorEastAsia" w:hAnsiTheme="minorEastAsia" w:eastAsiaTheme="minorEastAsia"/>
        </w:rPr>
      </w:pPr>
    </w:p>
    <w:p w14:paraId="3443B0FD">
      <w:pPr>
        <w:pageBreakBefore w:val="0"/>
        <w:kinsoku/>
        <w:wordWrap w:val="0"/>
        <w:overflowPunct/>
        <w:topLinePunct w:val="0"/>
        <w:bidi w:val="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eastAsia="zh-CN"/>
        </w:rPr>
        <w:t>四</w:t>
      </w:r>
      <w:r>
        <w:rPr>
          <w:rFonts w:hint="eastAsia" w:asciiTheme="minorEastAsia" w:hAnsiTheme="minorEastAsia" w:eastAsiaTheme="minorEastAsia"/>
          <w:b/>
          <w:sz w:val="24"/>
          <w:szCs w:val="24"/>
        </w:rPr>
        <w:t>）近年完成的类似项目情况表</w:t>
      </w:r>
    </w:p>
    <w:tbl>
      <w:tblPr>
        <w:tblStyle w:val="17"/>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5A94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9388719">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项目名称</w:t>
            </w:r>
          </w:p>
        </w:tc>
        <w:tc>
          <w:tcPr>
            <w:tcW w:w="6077" w:type="dxa"/>
            <w:tcBorders>
              <w:top w:val="single" w:color="auto" w:sz="4" w:space="0"/>
              <w:left w:val="nil"/>
              <w:bottom w:val="single" w:color="auto" w:sz="4" w:space="0"/>
              <w:right w:val="single" w:color="auto" w:sz="4" w:space="0"/>
            </w:tcBorders>
            <w:vAlign w:val="center"/>
          </w:tcPr>
          <w:p w14:paraId="73163D4F">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665A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98AB17C">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项目所在地</w:t>
            </w:r>
          </w:p>
        </w:tc>
        <w:tc>
          <w:tcPr>
            <w:tcW w:w="6077" w:type="dxa"/>
            <w:tcBorders>
              <w:top w:val="single" w:color="auto" w:sz="4" w:space="0"/>
              <w:left w:val="nil"/>
              <w:bottom w:val="single" w:color="auto" w:sz="4" w:space="0"/>
              <w:right w:val="single" w:color="auto" w:sz="4" w:space="0"/>
            </w:tcBorders>
            <w:vAlign w:val="center"/>
          </w:tcPr>
          <w:p w14:paraId="1F0A0AD8">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10C3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14AE200">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发包人名称</w:t>
            </w:r>
          </w:p>
        </w:tc>
        <w:tc>
          <w:tcPr>
            <w:tcW w:w="6077" w:type="dxa"/>
            <w:tcBorders>
              <w:top w:val="single" w:color="auto" w:sz="4" w:space="0"/>
              <w:left w:val="nil"/>
              <w:bottom w:val="single" w:color="auto" w:sz="4" w:space="0"/>
              <w:right w:val="single" w:color="auto" w:sz="4" w:space="0"/>
            </w:tcBorders>
            <w:vAlign w:val="center"/>
          </w:tcPr>
          <w:p w14:paraId="0D2BC8C6">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6B39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D864E94">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发包人地址</w:t>
            </w:r>
          </w:p>
        </w:tc>
        <w:tc>
          <w:tcPr>
            <w:tcW w:w="6077" w:type="dxa"/>
            <w:tcBorders>
              <w:top w:val="single" w:color="auto" w:sz="4" w:space="0"/>
              <w:left w:val="nil"/>
              <w:bottom w:val="single" w:color="auto" w:sz="4" w:space="0"/>
              <w:right w:val="single" w:color="auto" w:sz="4" w:space="0"/>
            </w:tcBorders>
            <w:vAlign w:val="center"/>
          </w:tcPr>
          <w:p w14:paraId="45DC1698">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277D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ED45A16">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发包人联系人及电话</w:t>
            </w:r>
          </w:p>
        </w:tc>
        <w:tc>
          <w:tcPr>
            <w:tcW w:w="6077" w:type="dxa"/>
            <w:tcBorders>
              <w:top w:val="single" w:color="auto" w:sz="4" w:space="0"/>
              <w:left w:val="nil"/>
              <w:bottom w:val="single" w:color="auto" w:sz="4" w:space="0"/>
              <w:right w:val="single" w:color="auto" w:sz="4" w:space="0"/>
            </w:tcBorders>
            <w:vAlign w:val="center"/>
          </w:tcPr>
          <w:p w14:paraId="37002999">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4B4D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9DA1801">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合同价格</w:t>
            </w:r>
          </w:p>
        </w:tc>
        <w:tc>
          <w:tcPr>
            <w:tcW w:w="6077" w:type="dxa"/>
            <w:tcBorders>
              <w:top w:val="single" w:color="auto" w:sz="4" w:space="0"/>
              <w:left w:val="nil"/>
              <w:bottom w:val="single" w:color="auto" w:sz="4" w:space="0"/>
              <w:right w:val="single" w:color="auto" w:sz="4" w:space="0"/>
            </w:tcBorders>
            <w:vAlign w:val="center"/>
          </w:tcPr>
          <w:p w14:paraId="57377DFB">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16B6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B1DBF79">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开工日期</w:t>
            </w:r>
          </w:p>
        </w:tc>
        <w:tc>
          <w:tcPr>
            <w:tcW w:w="6077" w:type="dxa"/>
            <w:tcBorders>
              <w:top w:val="single" w:color="auto" w:sz="4" w:space="0"/>
              <w:left w:val="nil"/>
              <w:bottom w:val="single" w:color="auto" w:sz="4" w:space="0"/>
              <w:right w:val="single" w:color="auto" w:sz="4" w:space="0"/>
            </w:tcBorders>
            <w:vAlign w:val="center"/>
          </w:tcPr>
          <w:p w14:paraId="0B9AF070">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3E54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2C94F00">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竣工日期</w:t>
            </w:r>
          </w:p>
        </w:tc>
        <w:tc>
          <w:tcPr>
            <w:tcW w:w="6077" w:type="dxa"/>
            <w:tcBorders>
              <w:top w:val="single" w:color="auto" w:sz="4" w:space="0"/>
              <w:left w:val="nil"/>
              <w:bottom w:val="single" w:color="auto" w:sz="4" w:space="0"/>
              <w:right w:val="single" w:color="auto" w:sz="4" w:space="0"/>
            </w:tcBorders>
            <w:vAlign w:val="center"/>
          </w:tcPr>
          <w:p w14:paraId="4B92B006">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4BBC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463176F">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承担的工作</w:t>
            </w:r>
          </w:p>
        </w:tc>
        <w:tc>
          <w:tcPr>
            <w:tcW w:w="6077" w:type="dxa"/>
            <w:tcBorders>
              <w:top w:val="single" w:color="auto" w:sz="4" w:space="0"/>
              <w:left w:val="nil"/>
              <w:bottom w:val="single" w:color="auto" w:sz="4" w:space="0"/>
              <w:right w:val="single" w:color="auto" w:sz="4" w:space="0"/>
            </w:tcBorders>
            <w:vAlign w:val="center"/>
          </w:tcPr>
          <w:p w14:paraId="449F1C4D">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6559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DC9FFD5">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工程质量</w:t>
            </w:r>
          </w:p>
        </w:tc>
        <w:tc>
          <w:tcPr>
            <w:tcW w:w="6077" w:type="dxa"/>
            <w:tcBorders>
              <w:top w:val="single" w:color="auto" w:sz="4" w:space="0"/>
              <w:left w:val="nil"/>
              <w:bottom w:val="single" w:color="auto" w:sz="4" w:space="0"/>
              <w:right w:val="single" w:color="auto" w:sz="4" w:space="0"/>
            </w:tcBorders>
            <w:vAlign w:val="center"/>
          </w:tcPr>
          <w:p w14:paraId="5BDE24F2">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5233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51062B5">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建造师</w:t>
            </w:r>
          </w:p>
        </w:tc>
        <w:tc>
          <w:tcPr>
            <w:tcW w:w="6077" w:type="dxa"/>
            <w:tcBorders>
              <w:top w:val="single" w:color="auto" w:sz="4" w:space="0"/>
              <w:left w:val="nil"/>
              <w:bottom w:val="single" w:color="auto" w:sz="4" w:space="0"/>
              <w:right w:val="single" w:color="auto" w:sz="4" w:space="0"/>
            </w:tcBorders>
            <w:vAlign w:val="center"/>
          </w:tcPr>
          <w:p w14:paraId="4CA20BC8">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235F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4EA9EDD">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技术负责人</w:t>
            </w:r>
          </w:p>
        </w:tc>
        <w:tc>
          <w:tcPr>
            <w:tcW w:w="6077" w:type="dxa"/>
            <w:tcBorders>
              <w:top w:val="single" w:color="auto" w:sz="4" w:space="0"/>
              <w:left w:val="nil"/>
              <w:bottom w:val="single" w:color="auto" w:sz="4" w:space="0"/>
              <w:right w:val="single" w:color="auto" w:sz="4" w:space="0"/>
            </w:tcBorders>
            <w:vAlign w:val="center"/>
          </w:tcPr>
          <w:p w14:paraId="270B01F0">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7D78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4B6D7F2">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总监理工程师及电话</w:t>
            </w:r>
          </w:p>
        </w:tc>
        <w:tc>
          <w:tcPr>
            <w:tcW w:w="6077" w:type="dxa"/>
            <w:tcBorders>
              <w:top w:val="single" w:color="auto" w:sz="4" w:space="0"/>
              <w:left w:val="nil"/>
              <w:bottom w:val="single" w:color="auto" w:sz="4" w:space="0"/>
              <w:right w:val="single" w:color="auto" w:sz="4" w:space="0"/>
            </w:tcBorders>
            <w:vAlign w:val="center"/>
          </w:tcPr>
          <w:p w14:paraId="2BEACD8A">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0593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5E3AF4B">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项目描述</w:t>
            </w:r>
          </w:p>
        </w:tc>
        <w:tc>
          <w:tcPr>
            <w:tcW w:w="6077" w:type="dxa"/>
            <w:tcBorders>
              <w:top w:val="single" w:color="auto" w:sz="4" w:space="0"/>
              <w:left w:val="nil"/>
              <w:bottom w:val="single" w:color="auto" w:sz="4" w:space="0"/>
              <w:right w:val="single" w:color="auto" w:sz="4" w:space="0"/>
            </w:tcBorders>
            <w:vAlign w:val="center"/>
          </w:tcPr>
          <w:p w14:paraId="6E71534B">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6307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0792C1B">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备注</w:t>
            </w:r>
          </w:p>
        </w:tc>
        <w:tc>
          <w:tcPr>
            <w:tcW w:w="6077" w:type="dxa"/>
            <w:tcBorders>
              <w:top w:val="single" w:color="auto" w:sz="4" w:space="0"/>
              <w:left w:val="nil"/>
              <w:bottom w:val="single" w:color="auto" w:sz="4" w:space="0"/>
              <w:right w:val="single" w:color="auto" w:sz="4" w:space="0"/>
            </w:tcBorders>
            <w:vAlign w:val="center"/>
          </w:tcPr>
          <w:p w14:paraId="48DF6B64">
            <w:pPr>
              <w:pageBreakBefore w:val="0"/>
              <w:kinsoku/>
              <w:wordWrap w:val="0"/>
              <w:overflowPunct/>
              <w:topLinePunct w:val="0"/>
              <w:bidi w:val="0"/>
              <w:jc w:val="center"/>
              <w:rPr>
                <w:rFonts w:cs="宋体" w:asciiTheme="minorEastAsia" w:hAnsiTheme="minorEastAsia" w:eastAsiaTheme="minorEastAsia"/>
                <w:kern w:val="2"/>
                <w:sz w:val="24"/>
                <w:szCs w:val="22"/>
              </w:rPr>
            </w:pPr>
          </w:p>
        </w:tc>
      </w:tr>
    </w:tbl>
    <w:p w14:paraId="51D87682">
      <w:pPr>
        <w:pageBreakBefore w:val="0"/>
        <w:kinsoku/>
        <w:wordWrap w:val="0"/>
        <w:overflowPunct/>
        <w:topLinePunct w:val="0"/>
        <w:bidi w:val="0"/>
        <w:spacing w:line="380" w:lineRule="exact"/>
        <w:ind w:left="720" w:hanging="720" w:hangingChars="300"/>
        <w:rPr>
          <w:rFonts w:cs="宋体" w:asciiTheme="minorEastAsia" w:hAnsiTheme="minorEastAsia" w:eastAsiaTheme="minorEastAsia"/>
          <w:sz w:val="24"/>
        </w:rPr>
      </w:pPr>
      <w:r>
        <w:rPr>
          <w:rFonts w:hint="eastAsia" w:cs="宋体" w:asciiTheme="minorEastAsia" w:hAnsiTheme="minorEastAsia" w:eastAsiaTheme="minorEastAsia"/>
          <w:sz w:val="24"/>
        </w:rPr>
        <w:t>备注：本表后附中标（成交）通知书</w:t>
      </w:r>
      <w:r>
        <w:rPr>
          <w:rFonts w:hint="eastAsia" w:cs="宋体" w:asciiTheme="minorEastAsia" w:hAnsiTheme="minorEastAsia" w:eastAsiaTheme="minorEastAsia"/>
          <w:sz w:val="24"/>
          <w:lang w:eastAsia="zh-CN"/>
        </w:rPr>
        <w:t>和</w:t>
      </w:r>
      <w:r>
        <w:rPr>
          <w:rFonts w:hint="eastAsia" w:cs="宋体" w:asciiTheme="minorEastAsia" w:hAnsiTheme="minorEastAsia" w:eastAsiaTheme="minorEastAsia"/>
          <w:sz w:val="24"/>
        </w:rPr>
        <w:t>合同协议书的扫描件，具体年份要求见响应人须知前附表。每张表格只填写一个项目，并标明序号。</w:t>
      </w:r>
    </w:p>
    <w:p w14:paraId="1ED75C8E">
      <w:pPr>
        <w:keepNext/>
        <w:keepLines/>
        <w:pageBreakBefore w:val="0"/>
        <w:kinsoku/>
        <w:wordWrap w:val="0"/>
        <w:overflowPunct/>
        <w:topLinePunct w:val="0"/>
        <w:bidi w:val="0"/>
        <w:spacing w:before="280" w:after="290" w:line="420" w:lineRule="exact"/>
        <w:jc w:val="center"/>
        <w:outlineLvl w:val="3"/>
        <w:rPr>
          <w:rFonts w:cs="宋体" w:asciiTheme="minorEastAsia" w:hAnsiTheme="minorEastAsia" w:eastAsiaTheme="minorEastAsia"/>
          <w:b/>
          <w:bCs/>
          <w:sz w:val="30"/>
          <w:szCs w:val="30"/>
        </w:rPr>
      </w:pPr>
      <w:r>
        <w:rPr>
          <w:rFonts w:cs="宋体" w:asciiTheme="minorEastAsia" w:hAnsiTheme="minorEastAsia" w:eastAsiaTheme="minorEastAsia"/>
          <w:b/>
          <w:bCs/>
          <w:sz w:val="30"/>
          <w:szCs w:val="30"/>
        </w:rPr>
        <w:br w:type="page"/>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eastAsia="zh-CN"/>
        </w:rPr>
        <w:t>五</w:t>
      </w:r>
      <w:r>
        <w:rPr>
          <w:rFonts w:hint="eastAsia" w:cs="宋体" w:asciiTheme="minorEastAsia" w:hAnsiTheme="minorEastAsia" w:eastAsiaTheme="minorEastAsia"/>
          <w:b/>
          <w:bCs/>
          <w:sz w:val="24"/>
          <w:szCs w:val="24"/>
        </w:rPr>
        <w:t>）正在施工的和新承接的项目情况表</w:t>
      </w:r>
    </w:p>
    <w:tbl>
      <w:tblPr>
        <w:tblStyle w:val="1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7CA3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998B8EC">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项目名称</w:t>
            </w:r>
          </w:p>
        </w:tc>
        <w:tc>
          <w:tcPr>
            <w:tcW w:w="6095" w:type="dxa"/>
            <w:tcBorders>
              <w:top w:val="single" w:color="auto" w:sz="4" w:space="0"/>
              <w:left w:val="nil"/>
              <w:bottom w:val="single" w:color="auto" w:sz="4" w:space="0"/>
              <w:right w:val="single" w:color="auto" w:sz="4" w:space="0"/>
            </w:tcBorders>
            <w:vAlign w:val="center"/>
          </w:tcPr>
          <w:p w14:paraId="55ADF599">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463E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7A84852">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项目所在地</w:t>
            </w:r>
          </w:p>
        </w:tc>
        <w:tc>
          <w:tcPr>
            <w:tcW w:w="6095" w:type="dxa"/>
            <w:tcBorders>
              <w:top w:val="single" w:color="auto" w:sz="4" w:space="0"/>
              <w:left w:val="nil"/>
              <w:bottom w:val="single" w:color="auto" w:sz="4" w:space="0"/>
              <w:right w:val="single" w:color="auto" w:sz="4" w:space="0"/>
            </w:tcBorders>
            <w:vAlign w:val="center"/>
          </w:tcPr>
          <w:p w14:paraId="2AB98DAB">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58E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5D5019B">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发包人名称</w:t>
            </w:r>
          </w:p>
        </w:tc>
        <w:tc>
          <w:tcPr>
            <w:tcW w:w="6095" w:type="dxa"/>
            <w:tcBorders>
              <w:top w:val="single" w:color="auto" w:sz="4" w:space="0"/>
              <w:left w:val="nil"/>
              <w:bottom w:val="single" w:color="auto" w:sz="4" w:space="0"/>
              <w:right w:val="single" w:color="auto" w:sz="4" w:space="0"/>
            </w:tcBorders>
            <w:vAlign w:val="center"/>
          </w:tcPr>
          <w:p w14:paraId="4DC92C7A">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019C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5425FBB">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发包人地址</w:t>
            </w:r>
          </w:p>
        </w:tc>
        <w:tc>
          <w:tcPr>
            <w:tcW w:w="6095" w:type="dxa"/>
            <w:tcBorders>
              <w:top w:val="single" w:color="auto" w:sz="4" w:space="0"/>
              <w:left w:val="nil"/>
              <w:bottom w:val="single" w:color="auto" w:sz="4" w:space="0"/>
              <w:right w:val="single" w:color="auto" w:sz="4" w:space="0"/>
            </w:tcBorders>
            <w:vAlign w:val="center"/>
          </w:tcPr>
          <w:p w14:paraId="12AC305B">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160D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504B1E0">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发包人电话</w:t>
            </w:r>
          </w:p>
        </w:tc>
        <w:tc>
          <w:tcPr>
            <w:tcW w:w="6095" w:type="dxa"/>
            <w:tcBorders>
              <w:top w:val="single" w:color="auto" w:sz="4" w:space="0"/>
              <w:left w:val="nil"/>
              <w:bottom w:val="single" w:color="auto" w:sz="4" w:space="0"/>
              <w:right w:val="single" w:color="auto" w:sz="4" w:space="0"/>
            </w:tcBorders>
            <w:vAlign w:val="center"/>
          </w:tcPr>
          <w:p w14:paraId="0AD84BBA">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5316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D2EB30F">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签约合同价</w:t>
            </w:r>
          </w:p>
        </w:tc>
        <w:tc>
          <w:tcPr>
            <w:tcW w:w="6095" w:type="dxa"/>
            <w:tcBorders>
              <w:top w:val="single" w:color="auto" w:sz="4" w:space="0"/>
              <w:left w:val="nil"/>
              <w:bottom w:val="single" w:color="auto" w:sz="4" w:space="0"/>
              <w:right w:val="single" w:color="auto" w:sz="4" w:space="0"/>
            </w:tcBorders>
            <w:vAlign w:val="center"/>
          </w:tcPr>
          <w:p w14:paraId="2326096E">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3D8F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2E134BC">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开工日期</w:t>
            </w:r>
          </w:p>
        </w:tc>
        <w:tc>
          <w:tcPr>
            <w:tcW w:w="6095" w:type="dxa"/>
            <w:tcBorders>
              <w:top w:val="single" w:color="auto" w:sz="4" w:space="0"/>
              <w:left w:val="nil"/>
              <w:bottom w:val="single" w:color="auto" w:sz="4" w:space="0"/>
              <w:right w:val="single" w:color="auto" w:sz="4" w:space="0"/>
            </w:tcBorders>
            <w:vAlign w:val="center"/>
          </w:tcPr>
          <w:p w14:paraId="2B609ABE">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6606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C9F5616">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计划竣工日期</w:t>
            </w:r>
          </w:p>
        </w:tc>
        <w:tc>
          <w:tcPr>
            <w:tcW w:w="6095" w:type="dxa"/>
            <w:tcBorders>
              <w:top w:val="single" w:color="auto" w:sz="4" w:space="0"/>
              <w:left w:val="nil"/>
              <w:bottom w:val="single" w:color="auto" w:sz="4" w:space="0"/>
              <w:right w:val="single" w:color="auto" w:sz="4" w:space="0"/>
            </w:tcBorders>
            <w:vAlign w:val="center"/>
          </w:tcPr>
          <w:p w14:paraId="5A2ECFFA">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6B26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7BDACE6">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承担的工作</w:t>
            </w:r>
          </w:p>
        </w:tc>
        <w:tc>
          <w:tcPr>
            <w:tcW w:w="6095" w:type="dxa"/>
            <w:tcBorders>
              <w:top w:val="single" w:color="auto" w:sz="4" w:space="0"/>
              <w:left w:val="nil"/>
              <w:bottom w:val="single" w:color="auto" w:sz="4" w:space="0"/>
              <w:right w:val="single" w:color="auto" w:sz="4" w:space="0"/>
            </w:tcBorders>
            <w:vAlign w:val="center"/>
          </w:tcPr>
          <w:p w14:paraId="256B48DA">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21A9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84F8C7E">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工程质量</w:t>
            </w:r>
          </w:p>
        </w:tc>
        <w:tc>
          <w:tcPr>
            <w:tcW w:w="6095" w:type="dxa"/>
            <w:tcBorders>
              <w:top w:val="single" w:color="auto" w:sz="4" w:space="0"/>
              <w:left w:val="nil"/>
              <w:bottom w:val="single" w:color="auto" w:sz="4" w:space="0"/>
              <w:right w:val="single" w:color="auto" w:sz="4" w:space="0"/>
            </w:tcBorders>
            <w:vAlign w:val="center"/>
          </w:tcPr>
          <w:p w14:paraId="4DB4BD3B">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626F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231B2F6">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建造师</w:t>
            </w:r>
          </w:p>
        </w:tc>
        <w:tc>
          <w:tcPr>
            <w:tcW w:w="6095" w:type="dxa"/>
            <w:tcBorders>
              <w:top w:val="single" w:color="auto" w:sz="4" w:space="0"/>
              <w:left w:val="nil"/>
              <w:bottom w:val="single" w:color="auto" w:sz="4" w:space="0"/>
              <w:right w:val="single" w:color="auto" w:sz="4" w:space="0"/>
            </w:tcBorders>
            <w:vAlign w:val="center"/>
          </w:tcPr>
          <w:p w14:paraId="23EC42E9">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154B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E0F4C62">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技术负责人</w:t>
            </w:r>
          </w:p>
        </w:tc>
        <w:tc>
          <w:tcPr>
            <w:tcW w:w="6095" w:type="dxa"/>
            <w:tcBorders>
              <w:top w:val="single" w:color="auto" w:sz="4" w:space="0"/>
              <w:left w:val="nil"/>
              <w:bottom w:val="single" w:color="auto" w:sz="4" w:space="0"/>
              <w:right w:val="single" w:color="auto" w:sz="4" w:space="0"/>
            </w:tcBorders>
            <w:vAlign w:val="center"/>
          </w:tcPr>
          <w:p w14:paraId="217A8934">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426D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E50F5AC">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总监理工程师及电话</w:t>
            </w:r>
          </w:p>
        </w:tc>
        <w:tc>
          <w:tcPr>
            <w:tcW w:w="6095" w:type="dxa"/>
            <w:tcBorders>
              <w:top w:val="single" w:color="auto" w:sz="4" w:space="0"/>
              <w:left w:val="nil"/>
              <w:bottom w:val="single" w:color="auto" w:sz="4" w:space="0"/>
              <w:right w:val="single" w:color="auto" w:sz="4" w:space="0"/>
            </w:tcBorders>
            <w:vAlign w:val="center"/>
          </w:tcPr>
          <w:p w14:paraId="3F7DB017">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46A9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8792257">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项目描述</w:t>
            </w:r>
          </w:p>
        </w:tc>
        <w:tc>
          <w:tcPr>
            <w:tcW w:w="6095" w:type="dxa"/>
            <w:tcBorders>
              <w:top w:val="single" w:color="auto" w:sz="4" w:space="0"/>
              <w:left w:val="nil"/>
              <w:bottom w:val="single" w:color="auto" w:sz="4" w:space="0"/>
              <w:right w:val="single" w:color="auto" w:sz="4" w:space="0"/>
            </w:tcBorders>
            <w:vAlign w:val="center"/>
          </w:tcPr>
          <w:p w14:paraId="1EBA1503">
            <w:pPr>
              <w:pageBreakBefore w:val="0"/>
              <w:kinsoku/>
              <w:wordWrap w:val="0"/>
              <w:overflowPunct/>
              <w:topLinePunct w:val="0"/>
              <w:bidi w:val="0"/>
              <w:jc w:val="center"/>
              <w:rPr>
                <w:rFonts w:cs="宋体" w:asciiTheme="minorEastAsia" w:hAnsiTheme="minorEastAsia" w:eastAsiaTheme="minorEastAsia"/>
                <w:kern w:val="2"/>
                <w:sz w:val="24"/>
                <w:szCs w:val="22"/>
              </w:rPr>
            </w:pPr>
          </w:p>
        </w:tc>
      </w:tr>
      <w:tr w14:paraId="6A95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D8D31BE">
            <w:pPr>
              <w:pageBreakBefore w:val="0"/>
              <w:kinsoku/>
              <w:wordWrap w:val="0"/>
              <w:overflowPunct/>
              <w:topLinePunct w:val="0"/>
              <w:bidi w:val="0"/>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备注</w:t>
            </w:r>
          </w:p>
        </w:tc>
        <w:tc>
          <w:tcPr>
            <w:tcW w:w="6095" w:type="dxa"/>
            <w:tcBorders>
              <w:top w:val="single" w:color="auto" w:sz="4" w:space="0"/>
              <w:left w:val="nil"/>
              <w:bottom w:val="single" w:color="auto" w:sz="4" w:space="0"/>
              <w:right w:val="single" w:color="auto" w:sz="4" w:space="0"/>
            </w:tcBorders>
            <w:vAlign w:val="center"/>
          </w:tcPr>
          <w:p w14:paraId="2344A1C7">
            <w:pPr>
              <w:pageBreakBefore w:val="0"/>
              <w:kinsoku/>
              <w:wordWrap w:val="0"/>
              <w:overflowPunct/>
              <w:topLinePunct w:val="0"/>
              <w:bidi w:val="0"/>
              <w:jc w:val="center"/>
              <w:rPr>
                <w:rFonts w:cs="宋体" w:asciiTheme="minorEastAsia" w:hAnsiTheme="minorEastAsia" w:eastAsiaTheme="minorEastAsia"/>
                <w:kern w:val="2"/>
                <w:sz w:val="24"/>
                <w:szCs w:val="22"/>
              </w:rPr>
            </w:pPr>
          </w:p>
        </w:tc>
      </w:tr>
    </w:tbl>
    <w:p w14:paraId="058C58AB">
      <w:pPr>
        <w:pageBreakBefore w:val="0"/>
        <w:kinsoku/>
        <w:wordWrap w:val="0"/>
        <w:overflowPunct/>
        <w:topLinePunct w:val="0"/>
        <w:bidi w:val="0"/>
        <w:spacing w:line="380" w:lineRule="exact"/>
        <w:rPr>
          <w:rFonts w:cs="宋体" w:asciiTheme="minorEastAsia" w:hAnsiTheme="minorEastAsia" w:eastAsiaTheme="minorEastAsia"/>
          <w:sz w:val="24"/>
        </w:rPr>
      </w:pPr>
      <w:r>
        <w:rPr>
          <w:rFonts w:hint="eastAsia" w:cs="宋体" w:asciiTheme="minorEastAsia" w:hAnsiTheme="minorEastAsia" w:eastAsiaTheme="minorEastAsia"/>
          <w:sz w:val="24"/>
        </w:rPr>
        <w:t>备注：本表后附中标（成交）通知书</w:t>
      </w:r>
      <w:r>
        <w:rPr>
          <w:rFonts w:hint="eastAsia" w:cs="宋体" w:asciiTheme="minorEastAsia" w:hAnsiTheme="minorEastAsia" w:eastAsiaTheme="minorEastAsia"/>
          <w:sz w:val="24"/>
          <w:lang w:eastAsia="zh-CN"/>
        </w:rPr>
        <w:t>和</w:t>
      </w:r>
      <w:r>
        <w:rPr>
          <w:rFonts w:hint="eastAsia" w:cs="宋体" w:asciiTheme="minorEastAsia" w:hAnsiTheme="minorEastAsia" w:eastAsiaTheme="minorEastAsia"/>
          <w:sz w:val="24"/>
        </w:rPr>
        <w:t>合同协议书扫描件。每张表格只填写一个项目，并标明序号。</w:t>
      </w:r>
    </w:p>
    <w:p w14:paraId="2E5AF611">
      <w:pPr>
        <w:pageBreakBefore w:val="0"/>
        <w:kinsoku/>
        <w:wordWrap w:val="0"/>
        <w:overflowPunct/>
        <w:topLinePunct w:val="0"/>
        <w:bidi w:val="0"/>
        <w:rPr>
          <w:rFonts w:asciiTheme="minorEastAsia" w:hAnsiTheme="minorEastAsia" w:eastAsiaTheme="minorEastAsia"/>
        </w:rPr>
      </w:pPr>
    </w:p>
    <w:p w14:paraId="312CBEBA">
      <w:pPr>
        <w:pageBreakBefore w:val="0"/>
        <w:kinsoku/>
        <w:wordWrap w:val="0"/>
        <w:overflowPunct/>
        <w:topLinePunct w:val="0"/>
        <w:bidi w:val="0"/>
        <w:rPr>
          <w:rFonts w:asciiTheme="minorEastAsia" w:hAnsiTheme="minorEastAsia" w:eastAsiaTheme="minorEastAsia"/>
        </w:rPr>
      </w:pPr>
      <w:r>
        <w:rPr>
          <w:rFonts w:asciiTheme="minorEastAsia" w:hAnsiTheme="minorEastAsia" w:eastAsiaTheme="minorEastAsia"/>
        </w:rPr>
        <w:br w:type="page"/>
      </w:r>
    </w:p>
    <w:p w14:paraId="53D0978A">
      <w:pPr>
        <w:pageBreakBefore w:val="0"/>
        <w:numPr>
          <w:ilvl w:val="0"/>
          <w:numId w:val="13"/>
        </w:numPr>
        <w:kinsoku/>
        <w:wordWrap w:val="0"/>
        <w:overflowPunct/>
        <w:topLinePunct w:val="0"/>
        <w:bidi w:val="0"/>
        <w:spacing w:line="480" w:lineRule="exact"/>
        <w:jc w:val="center"/>
        <w:textAlignment w:val="center"/>
        <w:rPr>
          <w:rFonts w:hint="eastAsia" w:ascii="Times New Roman" w:hAnsi="Times New Roman" w:eastAsia="宋体" w:cs="Times New Roman"/>
          <w:b/>
          <w:bCs/>
          <w:color w:val="auto"/>
          <w:spacing w:val="8"/>
          <w:sz w:val="28"/>
          <w:szCs w:val="28"/>
          <w:highlight w:val="none"/>
          <w:lang w:val="en-US" w:eastAsia="zh-CN"/>
        </w:rPr>
      </w:pPr>
      <w:r>
        <w:rPr>
          <w:rFonts w:hint="eastAsia" w:ascii="Times New Roman" w:hAnsi="Times New Roman" w:eastAsia="宋体" w:cs="Times New Roman"/>
          <w:b/>
          <w:bCs/>
          <w:color w:val="auto"/>
          <w:spacing w:val="8"/>
          <w:sz w:val="28"/>
          <w:szCs w:val="28"/>
          <w:highlight w:val="none"/>
          <w:lang w:val="en-US" w:eastAsia="zh-CN"/>
        </w:rPr>
        <w:t>履职尽责承诺</w:t>
      </w:r>
    </w:p>
    <w:p w14:paraId="643DA455">
      <w:pPr>
        <w:pageBreakBefore w:val="0"/>
        <w:kinsoku/>
        <w:wordWrap w:val="0"/>
        <w:overflowPunct/>
        <w:topLinePunct w:val="0"/>
        <w:bidi w:val="0"/>
        <w:rPr>
          <w:rFonts w:asciiTheme="minorEastAsia" w:hAnsiTheme="minorEastAsia" w:eastAsiaTheme="minorEastAsia"/>
        </w:rPr>
      </w:pPr>
      <w:r>
        <w:rPr>
          <w:rFonts w:asciiTheme="minorEastAsia" w:hAnsiTheme="minorEastAsia" w:eastAsiaTheme="minorEastAsia"/>
        </w:rPr>
        <w:br w:type="page"/>
      </w:r>
    </w:p>
    <w:p w14:paraId="11379422">
      <w:pPr>
        <w:pStyle w:val="16"/>
        <w:pageBreakBefore w:val="0"/>
        <w:numPr>
          <w:ilvl w:val="0"/>
          <w:numId w:val="0"/>
        </w:numPr>
        <w:kinsoku/>
        <w:wordWrap w:val="0"/>
        <w:overflowPunct/>
        <w:topLinePunct w:val="0"/>
        <w:bidi w:val="0"/>
        <w:ind w:leftChars="400"/>
      </w:pPr>
    </w:p>
    <w:p w14:paraId="69CC6442">
      <w:pPr>
        <w:pageBreakBefore w:val="0"/>
        <w:kinsoku/>
        <w:wordWrap w:val="0"/>
        <w:overflowPunct/>
        <w:topLinePunct w:val="0"/>
        <w:autoSpaceDE w:val="0"/>
        <w:autoSpaceDN w:val="0"/>
        <w:bidi w:val="0"/>
        <w:adjustRightInd w:val="0"/>
        <w:spacing w:line="440" w:lineRule="exact"/>
        <w:jc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九、中小企业声明函</w:t>
      </w:r>
    </w:p>
    <w:p w14:paraId="75CD741E">
      <w:pPr>
        <w:pageBreakBefore w:val="0"/>
        <w:kinsoku/>
        <w:wordWrap w:val="0"/>
        <w:overflowPunct/>
        <w:topLinePunct w:val="0"/>
        <w:autoSpaceDE w:val="0"/>
        <w:autoSpaceDN w:val="0"/>
        <w:bidi w:val="0"/>
        <w:adjustRightInd w:val="0"/>
        <w:spacing w:line="440" w:lineRule="exact"/>
        <w:jc w:val="center"/>
        <w:rPr>
          <w:rFonts w:ascii="宋体" w:cs="宋体"/>
          <w:sz w:val="24"/>
          <w:szCs w:val="24"/>
        </w:rPr>
      </w:pPr>
      <w:r>
        <w:rPr>
          <w:rFonts w:hint="eastAsia" w:ascii="宋体" w:cs="宋体"/>
          <w:sz w:val="24"/>
          <w:szCs w:val="24"/>
        </w:rPr>
        <w:t>中小企业声明函（工程、货物）</w:t>
      </w:r>
    </w:p>
    <w:p w14:paraId="1CA2A8C4">
      <w:pPr>
        <w:pageBreakBefore w:val="0"/>
        <w:kinsoku/>
        <w:wordWrap w:val="0"/>
        <w:overflowPunct/>
        <w:topLinePunct w:val="0"/>
        <w:autoSpaceDE w:val="0"/>
        <w:autoSpaceDN w:val="0"/>
        <w:bidi w:val="0"/>
        <w:adjustRightInd w:val="0"/>
        <w:spacing w:line="440" w:lineRule="exact"/>
        <w:ind w:firstLine="480" w:firstLineChars="200"/>
        <w:rPr>
          <w:rFonts w:ascii="宋体" w:hAnsi="宋体" w:cs="仿宋"/>
          <w:sz w:val="24"/>
          <w:szCs w:val="24"/>
        </w:rPr>
      </w:pPr>
      <w:r>
        <w:rPr>
          <w:rFonts w:hint="eastAsia" w:ascii="宋体" w:hAnsi="宋体" w:cs="仿宋"/>
          <w:sz w:val="24"/>
          <w:szCs w:val="24"/>
        </w:rPr>
        <w:t>本公司（联合体）郑重声明，根据《政府采购促进中小企业发展管理办法》（财库</w:t>
      </w:r>
      <w:r>
        <w:rPr>
          <w:rFonts w:hint="eastAsia" w:ascii="宋体" w:hAnsi="宋体" w:cs="宋体"/>
          <w:sz w:val="24"/>
          <w:szCs w:val="24"/>
        </w:rPr>
        <w:t>﹝</w:t>
      </w:r>
      <w:r>
        <w:rPr>
          <w:rFonts w:ascii="宋体" w:hAnsi="宋体" w:cs="仿宋"/>
          <w:sz w:val="24"/>
          <w:szCs w:val="24"/>
        </w:rPr>
        <w:t>2020</w:t>
      </w:r>
      <w:r>
        <w:rPr>
          <w:rFonts w:hint="eastAsia" w:ascii="宋体" w:hAnsi="宋体" w:cs="宋体"/>
          <w:sz w:val="24"/>
          <w:szCs w:val="24"/>
        </w:rPr>
        <w:t>﹞</w:t>
      </w:r>
      <w:r>
        <w:rPr>
          <w:rFonts w:ascii="宋体" w:hAnsi="宋体" w:cs="仿宋"/>
          <w:sz w:val="24"/>
          <w:szCs w:val="24"/>
        </w:rPr>
        <w:t xml:space="preserve">46 </w:t>
      </w:r>
      <w:r>
        <w:rPr>
          <w:rFonts w:hint="eastAsia" w:ascii="宋体" w:hAnsi="宋体" w:cs="仿宋"/>
          <w:sz w:val="24"/>
          <w:szCs w:val="24"/>
        </w:rPr>
        <w:t>号）的规定，本公司（联合体）参加（单位名称）的（项目名称）采购活动，工程的施工单位全部为符合政策要求的中小企业（或者：货物全部由符合政策要求的中小企业承接）。相关企业（含联合体中的中小企业、签订分包意向协议的中小企业）的具体情况如下：</w:t>
      </w:r>
    </w:p>
    <w:p w14:paraId="38C950F6">
      <w:pPr>
        <w:pageBreakBefore w:val="0"/>
        <w:kinsoku/>
        <w:wordWrap w:val="0"/>
        <w:overflowPunct/>
        <w:topLinePunct w:val="0"/>
        <w:autoSpaceDE w:val="0"/>
        <w:autoSpaceDN w:val="0"/>
        <w:bidi w:val="0"/>
        <w:adjustRightInd w:val="0"/>
        <w:spacing w:line="440" w:lineRule="exact"/>
        <w:ind w:firstLine="480" w:firstLineChars="200"/>
        <w:rPr>
          <w:rFonts w:ascii="宋体" w:hAnsi="宋体" w:cs="仿宋"/>
          <w:sz w:val="24"/>
          <w:szCs w:val="24"/>
        </w:rPr>
      </w:pPr>
      <w:r>
        <w:rPr>
          <w:rFonts w:ascii="宋体" w:hAnsi="宋体" w:cs="仿宋"/>
          <w:sz w:val="24"/>
          <w:szCs w:val="24"/>
        </w:rPr>
        <w:t xml:space="preserve">1. </w:t>
      </w:r>
      <w:r>
        <w:rPr>
          <w:rFonts w:hint="eastAsia" w:ascii="宋体" w:hAnsi="宋体" w:cs="仿宋"/>
          <w:sz w:val="24"/>
          <w:szCs w:val="24"/>
          <w:u w:val="single"/>
        </w:rPr>
        <w:t>（标的名称）</w:t>
      </w:r>
      <w:r>
        <w:rPr>
          <w:rFonts w:hint="eastAsia" w:ascii="宋体" w:hAnsi="宋体" w:cs="仿宋"/>
          <w:sz w:val="24"/>
          <w:szCs w:val="24"/>
        </w:rPr>
        <w:t>，属于</w:t>
      </w:r>
      <w:r>
        <w:rPr>
          <w:rFonts w:hint="eastAsia" w:ascii="宋体" w:hAnsi="宋体" w:cs="仿宋"/>
          <w:sz w:val="24"/>
          <w:szCs w:val="24"/>
          <w:u w:val="single"/>
        </w:rPr>
        <w:t>工程类（采购文件中明确的所属行业）</w:t>
      </w:r>
      <w:r>
        <w:rPr>
          <w:rFonts w:hint="eastAsia" w:ascii="宋体" w:hAnsi="宋体" w:cs="仿宋"/>
          <w:sz w:val="24"/>
          <w:szCs w:val="24"/>
        </w:rPr>
        <w:t>；承建（承接）企业为</w:t>
      </w:r>
      <w:r>
        <w:rPr>
          <w:rFonts w:hint="eastAsia" w:ascii="宋体" w:hAnsi="宋体" w:cs="仿宋"/>
          <w:sz w:val="24"/>
          <w:szCs w:val="24"/>
          <w:u w:val="single"/>
        </w:rPr>
        <w:t>（企业名称）</w:t>
      </w:r>
      <w:r>
        <w:rPr>
          <w:rFonts w:hint="eastAsia" w:ascii="宋体" w:hAnsi="宋体" w:cs="仿宋"/>
          <w:sz w:val="24"/>
          <w:szCs w:val="24"/>
        </w:rPr>
        <w:t>，从业人员 人，营业收入为万元，资产总额为万元，属于</w:t>
      </w:r>
      <w:r>
        <w:rPr>
          <w:rFonts w:hint="eastAsia" w:ascii="宋体" w:hAnsi="宋体" w:cs="仿宋"/>
          <w:sz w:val="24"/>
          <w:szCs w:val="24"/>
          <w:u w:val="single"/>
        </w:rPr>
        <w:t>（中型企业、小型企业、微型企业）</w:t>
      </w:r>
      <w:r>
        <w:rPr>
          <w:rFonts w:hint="eastAsia" w:ascii="宋体" w:hAnsi="宋体" w:cs="仿宋"/>
          <w:sz w:val="24"/>
          <w:szCs w:val="24"/>
        </w:rPr>
        <w:t>；</w:t>
      </w:r>
    </w:p>
    <w:p w14:paraId="00475B08">
      <w:pPr>
        <w:pageBreakBefore w:val="0"/>
        <w:kinsoku/>
        <w:wordWrap w:val="0"/>
        <w:overflowPunct/>
        <w:topLinePunct w:val="0"/>
        <w:autoSpaceDE w:val="0"/>
        <w:autoSpaceDN w:val="0"/>
        <w:bidi w:val="0"/>
        <w:adjustRightInd w:val="0"/>
        <w:spacing w:line="440" w:lineRule="exact"/>
        <w:ind w:firstLine="480" w:firstLineChars="200"/>
        <w:rPr>
          <w:rFonts w:ascii="宋体" w:hAnsi="宋体" w:cs="仿宋"/>
          <w:sz w:val="24"/>
          <w:szCs w:val="24"/>
        </w:rPr>
      </w:pPr>
      <w:r>
        <w:rPr>
          <w:rFonts w:ascii="宋体" w:hAnsi="宋体" w:cs="仿宋"/>
          <w:sz w:val="24"/>
          <w:szCs w:val="24"/>
        </w:rPr>
        <w:t xml:space="preserve">2. </w:t>
      </w:r>
      <w:r>
        <w:rPr>
          <w:rFonts w:hint="eastAsia" w:ascii="宋体" w:hAnsi="宋体" w:cs="仿宋"/>
          <w:sz w:val="24"/>
          <w:szCs w:val="24"/>
          <w:u w:val="single"/>
        </w:rPr>
        <w:t>（标的名称</w:t>
      </w:r>
      <w:r>
        <w:rPr>
          <w:rFonts w:hint="eastAsia" w:ascii="宋体" w:hAnsi="宋体" w:cs="仿宋"/>
          <w:sz w:val="24"/>
          <w:szCs w:val="24"/>
        </w:rPr>
        <w:t>），属于</w:t>
      </w:r>
      <w:r>
        <w:rPr>
          <w:rFonts w:hint="eastAsia" w:ascii="宋体" w:hAnsi="宋体" w:cs="仿宋"/>
          <w:sz w:val="24"/>
          <w:szCs w:val="24"/>
          <w:u w:val="single"/>
        </w:rPr>
        <w:t>（采购文件中明确的所属行业）</w:t>
      </w:r>
      <w:r>
        <w:rPr>
          <w:rFonts w:hint="eastAsia" w:ascii="宋体" w:hAnsi="宋体" w:cs="仿宋"/>
          <w:sz w:val="24"/>
          <w:szCs w:val="24"/>
        </w:rPr>
        <w:t>；承建（承接）企业为（</w:t>
      </w:r>
      <w:r>
        <w:rPr>
          <w:rFonts w:hint="eastAsia" w:ascii="宋体" w:hAnsi="宋体" w:cs="仿宋"/>
          <w:sz w:val="24"/>
          <w:szCs w:val="24"/>
          <w:u w:val="single"/>
        </w:rPr>
        <w:t>企业名称</w:t>
      </w:r>
      <w:r>
        <w:rPr>
          <w:rFonts w:hint="eastAsia" w:ascii="宋体" w:hAnsi="宋体" w:cs="仿宋"/>
          <w:sz w:val="24"/>
          <w:szCs w:val="24"/>
        </w:rPr>
        <w:t>），从业人员 人，营业收入为万元，资产总额为万元，属于</w:t>
      </w:r>
      <w:r>
        <w:rPr>
          <w:rFonts w:hint="eastAsia" w:ascii="宋体" w:hAnsi="宋体" w:cs="仿宋"/>
          <w:sz w:val="24"/>
          <w:szCs w:val="24"/>
          <w:u w:val="single"/>
        </w:rPr>
        <w:t>（中型企业、小型企业、微型企业）</w:t>
      </w:r>
      <w:r>
        <w:rPr>
          <w:rFonts w:hint="eastAsia" w:ascii="宋体" w:hAnsi="宋体" w:cs="仿宋"/>
          <w:sz w:val="24"/>
          <w:szCs w:val="24"/>
        </w:rPr>
        <w:t>；</w:t>
      </w:r>
    </w:p>
    <w:p w14:paraId="2DE38B43">
      <w:pPr>
        <w:pageBreakBefore w:val="0"/>
        <w:kinsoku/>
        <w:wordWrap w:val="0"/>
        <w:overflowPunct/>
        <w:topLinePunct w:val="0"/>
        <w:autoSpaceDE w:val="0"/>
        <w:autoSpaceDN w:val="0"/>
        <w:bidi w:val="0"/>
        <w:adjustRightInd w:val="0"/>
        <w:spacing w:line="440" w:lineRule="exact"/>
        <w:ind w:firstLine="480" w:firstLineChars="200"/>
        <w:rPr>
          <w:rFonts w:ascii="宋体" w:hAnsi="宋体" w:cs="仿宋"/>
          <w:sz w:val="24"/>
          <w:szCs w:val="24"/>
        </w:rPr>
      </w:pPr>
      <w:r>
        <w:rPr>
          <w:rFonts w:hint="eastAsia" w:ascii="宋体" w:hAnsi="宋体" w:cs="仿宋"/>
          <w:sz w:val="24"/>
          <w:szCs w:val="24"/>
        </w:rPr>
        <w:t>……</w:t>
      </w:r>
    </w:p>
    <w:p w14:paraId="7E0D71B2">
      <w:pPr>
        <w:pageBreakBefore w:val="0"/>
        <w:kinsoku/>
        <w:wordWrap w:val="0"/>
        <w:overflowPunct/>
        <w:topLinePunct w:val="0"/>
        <w:autoSpaceDE w:val="0"/>
        <w:autoSpaceDN w:val="0"/>
        <w:bidi w:val="0"/>
        <w:adjustRightInd w:val="0"/>
        <w:spacing w:line="440" w:lineRule="exact"/>
        <w:ind w:firstLine="480" w:firstLineChars="200"/>
        <w:rPr>
          <w:rFonts w:ascii="宋体" w:hAnsi="宋体" w:cs="仿宋"/>
          <w:sz w:val="24"/>
          <w:szCs w:val="24"/>
        </w:rPr>
      </w:pPr>
      <w:r>
        <w:rPr>
          <w:rFonts w:hint="eastAsia" w:ascii="宋体" w:hAnsi="宋体" w:cs="仿宋"/>
          <w:sz w:val="24"/>
          <w:szCs w:val="24"/>
        </w:rPr>
        <w:t>以上企业，不属于大企业的分支机构，不存在控股股东为大企业的情形，也不存在与大企业的负责人为同一人的情形。</w:t>
      </w:r>
    </w:p>
    <w:p w14:paraId="0F2D49C2">
      <w:pPr>
        <w:pageBreakBefore w:val="0"/>
        <w:kinsoku/>
        <w:wordWrap w:val="0"/>
        <w:overflowPunct/>
        <w:topLinePunct w:val="0"/>
        <w:autoSpaceDE w:val="0"/>
        <w:autoSpaceDN w:val="0"/>
        <w:bidi w:val="0"/>
        <w:adjustRightInd w:val="0"/>
        <w:spacing w:line="440" w:lineRule="exact"/>
        <w:ind w:firstLine="480" w:firstLineChars="200"/>
        <w:rPr>
          <w:rFonts w:ascii="宋体" w:hAnsi="宋体" w:cs="仿宋"/>
          <w:sz w:val="24"/>
          <w:szCs w:val="24"/>
        </w:rPr>
      </w:pPr>
      <w:r>
        <w:rPr>
          <w:rFonts w:hint="eastAsia" w:ascii="宋体" w:hAnsi="宋体" w:cs="仿宋"/>
          <w:sz w:val="24"/>
          <w:szCs w:val="24"/>
        </w:rPr>
        <w:t>本企业对上述声明内容的真实性负责。如有虚假，将依法承担相应责任。</w:t>
      </w:r>
    </w:p>
    <w:p w14:paraId="74E0ADD3">
      <w:pPr>
        <w:pageBreakBefore w:val="0"/>
        <w:kinsoku/>
        <w:wordWrap w:val="0"/>
        <w:overflowPunct/>
        <w:topLinePunct w:val="0"/>
        <w:autoSpaceDE w:val="0"/>
        <w:autoSpaceDN w:val="0"/>
        <w:bidi w:val="0"/>
        <w:adjustRightInd w:val="0"/>
        <w:spacing w:line="440" w:lineRule="exact"/>
        <w:jc w:val="right"/>
        <w:rPr>
          <w:rFonts w:ascii="宋体" w:hAnsi="宋体" w:cs="仿宋"/>
          <w:sz w:val="24"/>
          <w:szCs w:val="24"/>
        </w:rPr>
      </w:pPr>
    </w:p>
    <w:p w14:paraId="65509BDA">
      <w:pPr>
        <w:pageBreakBefore w:val="0"/>
        <w:kinsoku/>
        <w:wordWrap w:val="0"/>
        <w:overflowPunct/>
        <w:topLinePunct w:val="0"/>
        <w:bidi w:val="0"/>
        <w:spacing w:line="400" w:lineRule="exact"/>
        <w:ind w:firstLine="504" w:firstLineChars="200"/>
        <w:jc w:val="both"/>
        <w:rPr>
          <w:rFonts w:ascii="宋体" w:hAnsi="宋体" w:cs="宋体"/>
          <w:spacing w:val="6"/>
          <w:kern w:val="2"/>
          <w:sz w:val="24"/>
          <w:szCs w:val="24"/>
        </w:rPr>
      </w:pPr>
    </w:p>
    <w:p w14:paraId="2CCFB7A2">
      <w:pPr>
        <w:pageBreakBefore w:val="0"/>
        <w:kinsoku/>
        <w:wordWrap w:val="0"/>
        <w:overflowPunct/>
        <w:topLinePunct w:val="0"/>
        <w:bidi w:val="0"/>
        <w:snapToGrid w:val="0"/>
        <w:spacing w:line="480" w:lineRule="exact"/>
        <w:ind w:right="-778" w:rightChars="-389"/>
        <w:jc w:val="both"/>
        <w:rPr>
          <w:rFonts w:ascii="宋体" w:hAnsi="宋体" w:cs="宋体"/>
          <w:kern w:val="2"/>
          <w:sz w:val="24"/>
          <w:szCs w:val="24"/>
        </w:rPr>
      </w:pPr>
      <w:r>
        <w:rPr>
          <w:rFonts w:hint="eastAsia" w:ascii="宋体" w:hAnsi="宋体" w:cs="宋体"/>
          <w:kern w:val="2"/>
          <w:sz w:val="24"/>
          <w:szCs w:val="24"/>
        </w:rPr>
        <w:t xml:space="preserve">供应商：（电子签章） </w:t>
      </w:r>
    </w:p>
    <w:p w14:paraId="32C49DF1">
      <w:pPr>
        <w:pageBreakBefore w:val="0"/>
        <w:kinsoku/>
        <w:wordWrap w:val="0"/>
        <w:overflowPunct/>
        <w:topLinePunct w:val="0"/>
        <w:bidi w:val="0"/>
        <w:spacing w:line="400" w:lineRule="exact"/>
        <w:jc w:val="both"/>
        <w:rPr>
          <w:rFonts w:ascii="宋体" w:hAnsi="宋体" w:cs="宋体"/>
          <w:kern w:val="2"/>
          <w:sz w:val="24"/>
          <w:szCs w:val="24"/>
        </w:rPr>
      </w:pPr>
      <w:r>
        <w:rPr>
          <w:rFonts w:hint="eastAsia" w:ascii="宋体" w:hAnsi="宋体" w:cs="宋体"/>
          <w:kern w:val="2"/>
          <w:sz w:val="24"/>
          <w:szCs w:val="24"/>
        </w:rPr>
        <w:t>法定代表人或</w:t>
      </w:r>
      <w:r>
        <w:rPr>
          <w:rFonts w:hint="eastAsia" w:ascii="宋体" w:hAnsi="宋体" w:cs="宋体"/>
          <w:color w:val="000000"/>
          <w:sz w:val="24"/>
          <w:szCs w:val="24"/>
        </w:rPr>
        <w:t>委托代理人</w:t>
      </w:r>
      <w:r>
        <w:rPr>
          <w:rFonts w:hint="eastAsia" w:ascii="宋体" w:hAnsi="宋体" w:cs="宋体"/>
          <w:kern w:val="2"/>
          <w:sz w:val="24"/>
          <w:szCs w:val="24"/>
        </w:rPr>
        <w:t xml:space="preserve">：（电子签章） </w:t>
      </w:r>
    </w:p>
    <w:p w14:paraId="4324DB18">
      <w:pPr>
        <w:pageBreakBefore w:val="0"/>
        <w:kinsoku/>
        <w:wordWrap w:val="0"/>
        <w:overflowPunct/>
        <w:topLinePunct w:val="0"/>
        <w:bidi w:val="0"/>
        <w:ind w:firstLine="5520" w:firstLineChars="2300"/>
        <w:rPr>
          <w:rFonts w:ascii="宋体" w:hAnsi="宋体" w:cs="宋体"/>
          <w:color w:val="000000"/>
          <w:kern w:val="2"/>
          <w:sz w:val="24"/>
          <w:szCs w:val="24"/>
        </w:rPr>
      </w:pPr>
      <w:r>
        <w:rPr>
          <w:rFonts w:hint="eastAsia" w:ascii="宋体" w:hAnsi="宋体" w:cs="宋体"/>
          <w:color w:val="000000"/>
          <w:kern w:val="2"/>
          <w:sz w:val="24"/>
          <w:szCs w:val="24"/>
        </w:rPr>
        <w:t>日期：年月日</w:t>
      </w:r>
    </w:p>
    <w:p w14:paraId="2A33A203">
      <w:pPr>
        <w:pageBreakBefore w:val="0"/>
        <w:kinsoku/>
        <w:wordWrap w:val="0"/>
        <w:overflowPunct/>
        <w:topLinePunct w:val="0"/>
        <w:bidi w:val="0"/>
        <w:spacing w:line="400" w:lineRule="exact"/>
        <w:ind w:firstLine="506" w:firstLineChars="200"/>
        <w:rPr>
          <w:rFonts w:ascii="宋体" w:hAnsi="宋体" w:cs="宋体"/>
          <w:b/>
          <w:spacing w:val="6"/>
          <w:kern w:val="2"/>
          <w:sz w:val="24"/>
          <w:szCs w:val="24"/>
        </w:rPr>
      </w:pPr>
      <w:r>
        <w:rPr>
          <w:rFonts w:hint="eastAsia" w:ascii="宋体" w:hAnsi="宋体" w:cs="宋体"/>
          <w:b/>
          <w:spacing w:val="6"/>
          <w:kern w:val="2"/>
          <w:sz w:val="24"/>
          <w:szCs w:val="24"/>
        </w:rPr>
        <w:t>从业人员、营业收入、资产总额填报上一年度数据，无上一年度数据的新成立企业可不填报</w:t>
      </w:r>
    </w:p>
    <w:p w14:paraId="1AD00F8B">
      <w:pPr>
        <w:pageBreakBefore w:val="0"/>
        <w:kinsoku/>
        <w:wordWrap w:val="0"/>
        <w:overflowPunct/>
        <w:topLinePunct w:val="0"/>
        <w:bidi w:val="0"/>
      </w:pPr>
    </w:p>
    <w:p w14:paraId="336EAB7C">
      <w:pPr>
        <w:pageBreakBefore w:val="0"/>
        <w:kinsoku/>
        <w:wordWrap w:val="0"/>
        <w:overflowPunct/>
        <w:topLinePunct w:val="0"/>
        <w:bidi w:val="0"/>
        <w:rPr>
          <w:rFonts w:asciiTheme="minorEastAsia" w:hAnsiTheme="minorEastAsia" w:eastAsiaTheme="minorEastAsia"/>
        </w:rPr>
      </w:pPr>
    </w:p>
    <w:p w14:paraId="5847C1F6">
      <w:pPr>
        <w:pageBreakBefore w:val="0"/>
        <w:kinsoku/>
        <w:wordWrap w:val="0"/>
        <w:overflowPunct/>
        <w:topLinePunct w:val="0"/>
        <w:bidi w:val="0"/>
        <w:rPr>
          <w:rFonts w:asciiTheme="minorEastAsia" w:hAnsiTheme="minorEastAsia" w:eastAsiaTheme="minorEastAsia"/>
        </w:rPr>
      </w:pPr>
    </w:p>
    <w:p w14:paraId="5EFE11DB">
      <w:pPr>
        <w:pageBreakBefore w:val="0"/>
        <w:kinsoku/>
        <w:wordWrap w:val="0"/>
        <w:overflowPunct/>
        <w:topLinePunct w:val="0"/>
        <w:bidi w:val="0"/>
        <w:rPr>
          <w:rFonts w:asciiTheme="minorEastAsia" w:hAnsiTheme="minorEastAsia" w:eastAsiaTheme="minorEastAsia"/>
        </w:rPr>
      </w:pPr>
    </w:p>
    <w:p w14:paraId="589258AC">
      <w:pPr>
        <w:pageBreakBefore w:val="0"/>
        <w:kinsoku/>
        <w:wordWrap w:val="0"/>
        <w:overflowPunct/>
        <w:topLinePunct w:val="0"/>
        <w:bidi w:val="0"/>
        <w:rPr>
          <w:rFonts w:asciiTheme="minorEastAsia" w:hAnsiTheme="minorEastAsia" w:eastAsiaTheme="minorEastAsia"/>
        </w:rPr>
      </w:pPr>
    </w:p>
    <w:p w14:paraId="547A28BF">
      <w:pPr>
        <w:pageBreakBefore w:val="0"/>
        <w:kinsoku/>
        <w:wordWrap w:val="0"/>
        <w:overflowPunct/>
        <w:topLinePunct w:val="0"/>
        <w:bidi w:val="0"/>
        <w:spacing w:line="480" w:lineRule="exact"/>
        <w:textAlignment w:val="center"/>
        <w:rPr>
          <w:rFonts w:cs="宋体" w:asciiTheme="minorEastAsia" w:hAnsiTheme="minorEastAsia" w:eastAsiaTheme="minorEastAsia"/>
          <w:sz w:val="24"/>
        </w:rPr>
      </w:pPr>
    </w:p>
    <w:p w14:paraId="04634041">
      <w:pPr>
        <w:pageBreakBefore w:val="0"/>
        <w:kinsoku/>
        <w:wordWrap w:val="0"/>
        <w:overflowPunct/>
        <w:topLinePunct w:val="0"/>
        <w:bidi w:val="0"/>
        <w:rPr>
          <w:rFonts w:asciiTheme="minorEastAsia" w:hAnsiTheme="minorEastAsia" w:eastAsiaTheme="minorEastAsia"/>
        </w:rPr>
      </w:pPr>
    </w:p>
    <w:p w14:paraId="3EC30106">
      <w:pPr>
        <w:pageBreakBefore w:val="0"/>
        <w:kinsoku/>
        <w:wordWrap w:val="0"/>
        <w:overflowPunct/>
        <w:topLinePunct w:val="0"/>
        <w:bidi w:val="0"/>
        <w:spacing w:line="500" w:lineRule="exact"/>
        <w:rPr>
          <w:rFonts w:asciiTheme="minorEastAsia" w:hAnsiTheme="minorEastAsia" w:eastAsiaTheme="minorEastAsia"/>
          <w:sz w:val="24"/>
          <w:szCs w:val="24"/>
        </w:rPr>
      </w:pPr>
    </w:p>
    <w:p w14:paraId="47DB54DD">
      <w:pPr>
        <w:pageBreakBefore w:val="0"/>
        <w:widowControl w:val="0"/>
        <w:kinsoku/>
        <w:wordWrap w:val="0"/>
        <w:overflowPunct/>
        <w:topLinePunct w:val="0"/>
        <w:bidi w:val="0"/>
        <w:spacing w:line="600" w:lineRule="exact"/>
        <w:jc w:val="both"/>
        <w:rPr>
          <w:rFonts w:ascii="宋体" w:hAnsi="宋体"/>
          <w:sz w:val="24"/>
          <w:szCs w:val="24"/>
        </w:rPr>
      </w:pPr>
    </w:p>
    <w:p w14:paraId="390B4758">
      <w:pPr>
        <w:pageBreakBefore w:val="0"/>
        <w:kinsoku/>
        <w:wordWrap w:val="0"/>
        <w:overflowPunct/>
        <w:topLinePunct w:val="0"/>
        <w:bidi w:val="0"/>
        <w:spacing w:line="480" w:lineRule="exact"/>
        <w:jc w:val="center"/>
        <w:textAlignment w:val="center"/>
        <w:rPr>
          <w:rFonts w:asciiTheme="minorEastAsia" w:hAnsiTheme="minorEastAsia" w:eastAsiaTheme="minorEastAsia"/>
          <w:sz w:val="24"/>
          <w:szCs w:val="24"/>
        </w:rPr>
      </w:pPr>
      <w:r>
        <w:rPr>
          <w:rFonts w:hint="eastAsia" w:cs="宋体" w:asciiTheme="minorEastAsia" w:hAnsiTheme="minorEastAsia" w:eastAsiaTheme="minorEastAsia"/>
          <w:b/>
          <w:bCs/>
          <w:sz w:val="30"/>
          <w:szCs w:val="30"/>
        </w:rPr>
        <w:t>十、其他资料</w:t>
      </w:r>
    </w:p>
    <w:p w14:paraId="731C4CBA">
      <w:pPr>
        <w:pageBreakBefore w:val="0"/>
        <w:kinsoku/>
        <w:wordWrap w:val="0"/>
        <w:overflowPunct/>
        <w:topLinePunct w:val="0"/>
        <w:bidi w:val="0"/>
        <w:jc w:val="center"/>
        <w:rPr>
          <w:rFonts w:ascii="宋体" w:hAnsi="宋体"/>
          <w:sz w:val="24"/>
          <w:szCs w:val="22"/>
        </w:rPr>
      </w:pPr>
      <w:r>
        <w:rPr>
          <w:rFonts w:hint="eastAsia" w:ascii="宋体" w:hAnsi="宋体"/>
          <w:sz w:val="24"/>
          <w:szCs w:val="22"/>
        </w:rPr>
        <w:t>（</w:t>
      </w:r>
      <w:r>
        <w:rPr>
          <w:rFonts w:hint="eastAsia" w:ascii="宋体" w:hAnsi="宋体" w:cs="宋体"/>
          <w:sz w:val="24"/>
        </w:rPr>
        <w:t>磋商文件及评分办法中要求的其他资料或投标人认为其他需提供的资料，格式自拟，应逐页加盖企业及法人</w:t>
      </w:r>
      <w:r>
        <w:rPr>
          <w:rFonts w:hint="eastAsia" w:ascii="宋体" w:hAnsi="宋体"/>
          <w:color w:val="000000"/>
          <w:sz w:val="24"/>
        </w:rPr>
        <w:t>电子签章</w:t>
      </w:r>
      <w:r>
        <w:rPr>
          <w:rFonts w:hint="eastAsia" w:ascii="宋体" w:hAnsi="宋体" w:cs="宋体"/>
          <w:sz w:val="24"/>
        </w:rPr>
        <w:t>。</w:t>
      </w:r>
      <w:r>
        <w:rPr>
          <w:rFonts w:hint="eastAsia" w:ascii="宋体" w:hAnsi="宋体"/>
          <w:sz w:val="24"/>
          <w:szCs w:val="22"/>
        </w:rPr>
        <w:t>）</w:t>
      </w:r>
    </w:p>
    <w:p w14:paraId="3DED77EC">
      <w:pPr>
        <w:pageBreakBefore w:val="0"/>
        <w:kinsoku/>
        <w:wordWrap w:val="0"/>
        <w:overflowPunct/>
        <w:topLinePunct w:val="0"/>
        <w:bidi w:val="0"/>
      </w:pPr>
    </w:p>
    <w:p w14:paraId="37A53546">
      <w:pPr>
        <w:pageBreakBefore w:val="0"/>
        <w:kinsoku/>
        <w:wordWrap w:val="0"/>
        <w:overflowPunct/>
        <w:topLinePunct w:val="0"/>
        <w:bidi w:val="0"/>
        <w:rPr>
          <w:rFonts w:asciiTheme="minorEastAsia" w:hAnsiTheme="minorEastAsia" w:eastAsiaTheme="minorEastAsia"/>
        </w:rPr>
      </w:pPr>
    </w:p>
    <w:p w14:paraId="0EAFFD86">
      <w:pPr>
        <w:pageBreakBefore w:val="0"/>
        <w:kinsoku/>
        <w:wordWrap w:val="0"/>
        <w:overflowPunct/>
        <w:topLinePunct w:val="0"/>
        <w:bidi w:val="0"/>
      </w:pPr>
    </w:p>
    <w:p w14:paraId="238A707B">
      <w:pPr>
        <w:pageBreakBefore w:val="0"/>
        <w:kinsoku/>
        <w:wordWrap w:val="0"/>
        <w:overflowPunct/>
        <w:topLinePunct w:val="0"/>
        <w:bidi w:val="0"/>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5493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F92B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7F92B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F72E7">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4546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84546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F332B">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24DF7">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CA24DF7">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5FB35">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F405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97F4056">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3FB61007">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33BC">
    <w:pPr>
      <w:rPr>
        <w:kern w:val="1"/>
        <w:szCs w:val="21"/>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5DCD4">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335DCD4">
                    <w:pPr>
                      <w:pStyle w:val="9"/>
                    </w:pPr>
                    <w:r>
                      <w:fldChar w:fldCharType="begin"/>
                    </w:r>
                    <w:r>
                      <w:instrText xml:space="preserve"> PAGE  \* MERGEFORMAT </w:instrText>
                    </w:r>
                    <w:r>
                      <w:fldChar w:fldCharType="separate"/>
                    </w:r>
                    <w:r>
                      <w:t>34</w:t>
                    </w:r>
                    <w:r>
                      <w:fldChar w:fldCharType="end"/>
                    </w:r>
                  </w:p>
                </w:txbxContent>
              </v:textbox>
            </v:shape>
          </w:pict>
        </mc:Fallback>
      </mc:AlternateContent>
    </w:r>
  </w:p>
  <w:p w14:paraId="3E57C5FD">
    <w:pPr>
      <w:ind w:left="8715" w:firstLine="210"/>
      <w:rPr>
        <w:kern w:val="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E78CE">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EC15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C3EC15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A86E">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0460D">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530460D">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D591F">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6D903">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C8842">
    <w:pPr>
      <w:pStyle w:val="10"/>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CF8A2"/>
    <w:multiLevelType w:val="singleLevel"/>
    <w:tmpl w:val="877CF8A2"/>
    <w:lvl w:ilvl="0" w:tentative="0">
      <w:start w:val="1"/>
      <w:numFmt w:val="decimal"/>
      <w:suff w:val="nothing"/>
      <w:lvlText w:val="%1、"/>
      <w:lvlJc w:val="left"/>
    </w:lvl>
  </w:abstractNum>
  <w:abstractNum w:abstractNumId="1">
    <w:nsid w:val="A8155414"/>
    <w:multiLevelType w:val="singleLevel"/>
    <w:tmpl w:val="A8155414"/>
    <w:lvl w:ilvl="0" w:tentative="0">
      <w:start w:val="3"/>
      <w:numFmt w:val="decimal"/>
      <w:suff w:val="nothing"/>
      <w:lvlText w:val="%1、"/>
      <w:lvlJc w:val="left"/>
    </w:lvl>
  </w:abstractNum>
  <w:abstractNum w:abstractNumId="2">
    <w:nsid w:val="E05FB225"/>
    <w:multiLevelType w:val="singleLevel"/>
    <w:tmpl w:val="E05FB225"/>
    <w:lvl w:ilvl="0" w:tentative="0">
      <w:start w:val="1"/>
      <w:numFmt w:val="decimal"/>
      <w:suff w:val="nothing"/>
      <w:lvlText w:val="%1、"/>
      <w:lvlJc w:val="left"/>
    </w:lvl>
  </w:abstractNum>
  <w:abstractNum w:abstractNumId="3">
    <w:nsid w:val="1650F83E"/>
    <w:multiLevelType w:val="singleLevel"/>
    <w:tmpl w:val="1650F83E"/>
    <w:lvl w:ilvl="0" w:tentative="0">
      <w:start w:val="1"/>
      <w:numFmt w:val="decimal"/>
      <w:suff w:val="nothing"/>
      <w:lvlText w:val="%1、"/>
      <w:lvlJc w:val="left"/>
    </w:lvl>
  </w:abstractNum>
  <w:abstractNum w:abstractNumId="4">
    <w:nsid w:val="189BE9C3"/>
    <w:multiLevelType w:val="singleLevel"/>
    <w:tmpl w:val="189BE9C3"/>
    <w:lvl w:ilvl="0" w:tentative="0">
      <w:start w:val="6"/>
      <w:numFmt w:val="chineseCounting"/>
      <w:suff w:val="nothing"/>
      <w:lvlText w:val="（%1）"/>
      <w:lvlJc w:val="left"/>
      <w:rPr>
        <w:rFonts w:hint="eastAsia"/>
      </w:rPr>
    </w:lvl>
  </w:abstractNum>
  <w:abstractNum w:abstractNumId="5">
    <w:nsid w:val="391CC7E9"/>
    <w:multiLevelType w:val="singleLevel"/>
    <w:tmpl w:val="391CC7E9"/>
    <w:lvl w:ilvl="0" w:tentative="0">
      <w:start w:val="1"/>
      <w:numFmt w:val="decimal"/>
      <w:suff w:val="nothing"/>
      <w:lvlText w:val="%1、"/>
      <w:lvlJc w:val="left"/>
    </w:lvl>
  </w:abstractNum>
  <w:abstractNum w:abstractNumId="6">
    <w:nsid w:val="405048C0"/>
    <w:multiLevelType w:val="singleLevel"/>
    <w:tmpl w:val="405048C0"/>
    <w:lvl w:ilvl="0" w:tentative="0">
      <w:start w:val="1"/>
      <w:numFmt w:val="decimal"/>
      <w:suff w:val="nothing"/>
      <w:lvlText w:val="%1、"/>
      <w:lvlJc w:val="left"/>
    </w:lvl>
  </w:abstractNum>
  <w:abstractNum w:abstractNumId="7">
    <w:nsid w:val="41F99EF4"/>
    <w:multiLevelType w:val="singleLevel"/>
    <w:tmpl w:val="41F99EF4"/>
    <w:lvl w:ilvl="0" w:tentative="0">
      <w:start w:val="1"/>
      <w:numFmt w:val="decimal"/>
      <w:suff w:val="nothing"/>
      <w:lvlText w:val="%1、"/>
      <w:lvlJc w:val="left"/>
    </w:lvl>
  </w:abstractNum>
  <w:abstractNum w:abstractNumId="8">
    <w:nsid w:val="446D23A3"/>
    <w:multiLevelType w:val="singleLevel"/>
    <w:tmpl w:val="446D23A3"/>
    <w:lvl w:ilvl="0" w:tentative="0">
      <w:start w:val="1"/>
      <w:numFmt w:val="decimal"/>
      <w:suff w:val="nothing"/>
      <w:lvlText w:val="（%1）"/>
      <w:lvlJc w:val="left"/>
    </w:lvl>
  </w:abstractNum>
  <w:abstractNum w:abstractNumId="9">
    <w:nsid w:val="4AFEFF86"/>
    <w:multiLevelType w:val="singleLevel"/>
    <w:tmpl w:val="4AFEFF86"/>
    <w:lvl w:ilvl="0" w:tentative="0">
      <w:start w:val="1"/>
      <w:numFmt w:val="decimal"/>
      <w:suff w:val="nothing"/>
      <w:lvlText w:val="%1、"/>
      <w:lvlJc w:val="left"/>
    </w:lvl>
  </w:abstractNum>
  <w:abstractNum w:abstractNumId="10">
    <w:nsid w:val="4DA2BD0F"/>
    <w:multiLevelType w:val="singleLevel"/>
    <w:tmpl w:val="4DA2BD0F"/>
    <w:lvl w:ilvl="0" w:tentative="0">
      <w:start w:val="1"/>
      <w:numFmt w:val="decimal"/>
      <w:suff w:val="nothing"/>
      <w:lvlText w:val="%1、"/>
      <w:lvlJc w:val="left"/>
    </w:lvl>
  </w:abstractNum>
  <w:abstractNum w:abstractNumId="11">
    <w:nsid w:val="697C77F3"/>
    <w:multiLevelType w:val="singleLevel"/>
    <w:tmpl w:val="697C77F3"/>
    <w:lvl w:ilvl="0" w:tentative="0">
      <w:start w:val="1"/>
      <w:numFmt w:val="decimal"/>
      <w:suff w:val="nothing"/>
      <w:lvlText w:val="%1、"/>
      <w:lvlJc w:val="left"/>
    </w:lvl>
  </w:abstractNum>
  <w:abstractNum w:abstractNumId="12">
    <w:nsid w:val="7A37AA32"/>
    <w:multiLevelType w:val="singleLevel"/>
    <w:tmpl w:val="7A37AA32"/>
    <w:lvl w:ilvl="0" w:tentative="0">
      <w:start w:val="1"/>
      <w:numFmt w:val="decimal"/>
      <w:suff w:val="nothing"/>
      <w:lvlText w:val="%1、"/>
      <w:lvlJc w:val="left"/>
    </w:lvl>
  </w:abstractNum>
  <w:num w:numId="1">
    <w:abstractNumId w:val="1"/>
  </w:num>
  <w:num w:numId="2">
    <w:abstractNumId w:val="0"/>
  </w:num>
  <w:num w:numId="3">
    <w:abstractNumId w:val="11"/>
  </w:num>
  <w:num w:numId="4">
    <w:abstractNumId w:val="10"/>
  </w:num>
  <w:num w:numId="5">
    <w:abstractNumId w:val="9"/>
  </w:num>
  <w:num w:numId="6">
    <w:abstractNumId w:val="5"/>
  </w:num>
  <w:num w:numId="7">
    <w:abstractNumId w:val="2"/>
  </w:num>
  <w:num w:numId="8">
    <w:abstractNumId w:val="3"/>
  </w:num>
  <w:num w:numId="9">
    <w:abstractNumId w:val="7"/>
  </w:num>
  <w:num w:numId="10">
    <w:abstractNumId w:val="12"/>
  </w:num>
  <w:num w:numId="11">
    <w:abstractNumId w:val="6"/>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jZjMyZDk5ODMxODFiMmE3MjIxOGY2ZGFiYWIzNzgifQ=="/>
  </w:docVars>
  <w:rsids>
    <w:rsidRoot w:val="14A0790C"/>
    <w:rsid w:val="00024352"/>
    <w:rsid w:val="00382DEE"/>
    <w:rsid w:val="00DF2510"/>
    <w:rsid w:val="012A2737"/>
    <w:rsid w:val="024B2A76"/>
    <w:rsid w:val="02BA0F2C"/>
    <w:rsid w:val="034F2928"/>
    <w:rsid w:val="03630182"/>
    <w:rsid w:val="03E727F4"/>
    <w:rsid w:val="040710D8"/>
    <w:rsid w:val="041E3B16"/>
    <w:rsid w:val="04813666"/>
    <w:rsid w:val="04D550AF"/>
    <w:rsid w:val="059661EE"/>
    <w:rsid w:val="05A27BE6"/>
    <w:rsid w:val="05A32BC9"/>
    <w:rsid w:val="066E2EF5"/>
    <w:rsid w:val="069B2CAB"/>
    <w:rsid w:val="06F34D2E"/>
    <w:rsid w:val="071C1CA7"/>
    <w:rsid w:val="07C53548"/>
    <w:rsid w:val="082B4195"/>
    <w:rsid w:val="08404FA6"/>
    <w:rsid w:val="08A92ADB"/>
    <w:rsid w:val="09093F10"/>
    <w:rsid w:val="09954E0D"/>
    <w:rsid w:val="0ACF351B"/>
    <w:rsid w:val="0AFF4C34"/>
    <w:rsid w:val="0B5F39C0"/>
    <w:rsid w:val="0C676F35"/>
    <w:rsid w:val="0D3802DF"/>
    <w:rsid w:val="0DB33CB0"/>
    <w:rsid w:val="0DF62E62"/>
    <w:rsid w:val="0E4F7C80"/>
    <w:rsid w:val="0EB208AB"/>
    <w:rsid w:val="0ECF4419"/>
    <w:rsid w:val="0EDD15BE"/>
    <w:rsid w:val="0F072309"/>
    <w:rsid w:val="1045133B"/>
    <w:rsid w:val="10DF3FD0"/>
    <w:rsid w:val="110261CE"/>
    <w:rsid w:val="11501EA5"/>
    <w:rsid w:val="11D24E50"/>
    <w:rsid w:val="125C77AB"/>
    <w:rsid w:val="128819B3"/>
    <w:rsid w:val="12B15EBF"/>
    <w:rsid w:val="13C167E1"/>
    <w:rsid w:val="14755F67"/>
    <w:rsid w:val="14A0790C"/>
    <w:rsid w:val="15DD2016"/>
    <w:rsid w:val="169F0C6C"/>
    <w:rsid w:val="16AE4B64"/>
    <w:rsid w:val="16ED44DA"/>
    <w:rsid w:val="17FC2444"/>
    <w:rsid w:val="184A0741"/>
    <w:rsid w:val="18607DE0"/>
    <w:rsid w:val="186277BB"/>
    <w:rsid w:val="18BF1EA7"/>
    <w:rsid w:val="18C1102B"/>
    <w:rsid w:val="18E90CD1"/>
    <w:rsid w:val="19134D91"/>
    <w:rsid w:val="195C02C8"/>
    <w:rsid w:val="1A6E456A"/>
    <w:rsid w:val="1A7C4EF4"/>
    <w:rsid w:val="1AD32DE5"/>
    <w:rsid w:val="1B0F0EC3"/>
    <w:rsid w:val="1B961BE7"/>
    <w:rsid w:val="1BCD0AF8"/>
    <w:rsid w:val="1CB37E55"/>
    <w:rsid w:val="1CB96E0A"/>
    <w:rsid w:val="1D9624ED"/>
    <w:rsid w:val="1E8540E7"/>
    <w:rsid w:val="1EA5569B"/>
    <w:rsid w:val="1FA17038"/>
    <w:rsid w:val="2022243E"/>
    <w:rsid w:val="21216CAF"/>
    <w:rsid w:val="21465CD8"/>
    <w:rsid w:val="21A50B34"/>
    <w:rsid w:val="21D40771"/>
    <w:rsid w:val="21E111C9"/>
    <w:rsid w:val="21E247CF"/>
    <w:rsid w:val="22480F66"/>
    <w:rsid w:val="24BB400C"/>
    <w:rsid w:val="25090346"/>
    <w:rsid w:val="26AF355A"/>
    <w:rsid w:val="278173A6"/>
    <w:rsid w:val="27D66FEB"/>
    <w:rsid w:val="27F236FE"/>
    <w:rsid w:val="28F9286B"/>
    <w:rsid w:val="29325D7D"/>
    <w:rsid w:val="299F6F72"/>
    <w:rsid w:val="2AA74D9D"/>
    <w:rsid w:val="2B067E60"/>
    <w:rsid w:val="2B396DBC"/>
    <w:rsid w:val="2BBA12AF"/>
    <w:rsid w:val="2C2964D4"/>
    <w:rsid w:val="2CBB4EED"/>
    <w:rsid w:val="2D1265F1"/>
    <w:rsid w:val="2E3D31FA"/>
    <w:rsid w:val="2EF364DB"/>
    <w:rsid w:val="2F370591"/>
    <w:rsid w:val="2FD1009E"/>
    <w:rsid w:val="302F12B6"/>
    <w:rsid w:val="310D3357"/>
    <w:rsid w:val="31E36CC5"/>
    <w:rsid w:val="322A1C02"/>
    <w:rsid w:val="334D791B"/>
    <w:rsid w:val="34187D82"/>
    <w:rsid w:val="34207846"/>
    <w:rsid w:val="342B1D46"/>
    <w:rsid w:val="34C01A41"/>
    <w:rsid w:val="34CC53EE"/>
    <w:rsid w:val="34D0310F"/>
    <w:rsid w:val="353F5AA9"/>
    <w:rsid w:val="35AE426C"/>
    <w:rsid w:val="37070849"/>
    <w:rsid w:val="383A2C4D"/>
    <w:rsid w:val="39066E8B"/>
    <w:rsid w:val="39F72585"/>
    <w:rsid w:val="3A3612AC"/>
    <w:rsid w:val="3A677922"/>
    <w:rsid w:val="3A880AA5"/>
    <w:rsid w:val="3A986FED"/>
    <w:rsid w:val="3ABE6022"/>
    <w:rsid w:val="3B0F0E51"/>
    <w:rsid w:val="3B225C51"/>
    <w:rsid w:val="3B5879B5"/>
    <w:rsid w:val="3BE73AF8"/>
    <w:rsid w:val="3C163B20"/>
    <w:rsid w:val="3C8A6A3F"/>
    <w:rsid w:val="3CC9460F"/>
    <w:rsid w:val="3CD92C87"/>
    <w:rsid w:val="3DFA2EB5"/>
    <w:rsid w:val="3DFB0AD8"/>
    <w:rsid w:val="3E954035"/>
    <w:rsid w:val="3EE576C2"/>
    <w:rsid w:val="3F7E3672"/>
    <w:rsid w:val="3F823162"/>
    <w:rsid w:val="40A57A34"/>
    <w:rsid w:val="40DE6ABE"/>
    <w:rsid w:val="418D7E52"/>
    <w:rsid w:val="41A15875"/>
    <w:rsid w:val="43851473"/>
    <w:rsid w:val="4402254C"/>
    <w:rsid w:val="443A685D"/>
    <w:rsid w:val="44497B98"/>
    <w:rsid w:val="44D57C39"/>
    <w:rsid w:val="44FD42BC"/>
    <w:rsid w:val="450C73E7"/>
    <w:rsid w:val="45207111"/>
    <w:rsid w:val="45234974"/>
    <w:rsid w:val="4550785F"/>
    <w:rsid w:val="45B20519"/>
    <w:rsid w:val="45BE0C6C"/>
    <w:rsid w:val="460F14C8"/>
    <w:rsid w:val="461A4B16"/>
    <w:rsid w:val="46647A66"/>
    <w:rsid w:val="473C5A42"/>
    <w:rsid w:val="47D209FF"/>
    <w:rsid w:val="47D97D4C"/>
    <w:rsid w:val="481158B4"/>
    <w:rsid w:val="48671152"/>
    <w:rsid w:val="4899627D"/>
    <w:rsid w:val="48AE6D76"/>
    <w:rsid w:val="490C7F41"/>
    <w:rsid w:val="49CD5922"/>
    <w:rsid w:val="4A786B89"/>
    <w:rsid w:val="4AFA1158"/>
    <w:rsid w:val="4AFA44F5"/>
    <w:rsid w:val="4B2C0FEA"/>
    <w:rsid w:val="4B2F336E"/>
    <w:rsid w:val="4BC15EF8"/>
    <w:rsid w:val="4C2451FD"/>
    <w:rsid w:val="4C2A2270"/>
    <w:rsid w:val="4C716A38"/>
    <w:rsid w:val="4C7C1232"/>
    <w:rsid w:val="4DCE0FDE"/>
    <w:rsid w:val="4E32142E"/>
    <w:rsid w:val="4E9B5FEF"/>
    <w:rsid w:val="4E9F1432"/>
    <w:rsid w:val="4EAC56DA"/>
    <w:rsid w:val="4F730D1A"/>
    <w:rsid w:val="4FAE10E6"/>
    <w:rsid w:val="52A715FB"/>
    <w:rsid w:val="535D027D"/>
    <w:rsid w:val="546B1FBF"/>
    <w:rsid w:val="54EB20DA"/>
    <w:rsid w:val="55860FF1"/>
    <w:rsid w:val="559844D6"/>
    <w:rsid w:val="55A03EEB"/>
    <w:rsid w:val="570923C5"/>
    <w:rsid w:val="57D936E4"/>
    <w:rsid w:val="58253EF8"/>
    <w:rsid w:val="58831FCD"/>
    <w:rsid w:val="58DC31D6"/>
    <w:rsid w:val="58EC00A8"/>
    <w:rsid w:val="59A84932"/>
    <w:rsid w:val="5A0C1B4F"/>
    <w:rsid w:val="5A3D43FE"/>
    <w:rsid w:val="5A752F6C"/>
    <w:rsid w:val="5B5D1AF7"/>
    <w:rsid w:val="5BC70423"/>
    <w:rsid w:val="5BF96B1A"/>
    <w:rsid w:val="5BFA4673"/>
    <w:rsid w:val="5C3F445D"/>
    <w:rsid w:val="5C6E51CE"/>
    <w:rsid w:val="5C734107"/>
    <w:rsid w:val="5D276C13"/>
    <w:rsid w:val="5D604952"/>
    <w:rsid w:val="5DDC7A8A"/>
    <w:rsid w:val="5DEE2022"/>
    <w:rsid w:val="609E0F14"/>
    <w:rsid w:val="60BA5B08"/>
    <w:rsid w:val="60C515EC"/>
    <w:rsid w:val="61725727"/>
    <w:rsid w:val="617A7CE6"/>
    <w:rsid w:val="623E51B7"/>
    <w:rsid w:val="629152E7"/>
    <w:rsid w:val="632F0281"/>
    <w:rsid w:val="6367429A"/>
    <w:rsid w:val="63D57455"/>
    <w:rsid w:val="640A5E95"/>
    <w:rsid w:val="658E27ED"/>
    <w:rsid w:val="65BD7A51"/>
    <w:rsid w:val="65BF7CE7"/>
    <w:rsid w:val="65E554F3"/>
    <w:rsid w:val="67424E02"/>
    <w:rsid w:val="676A7373"/>
    <w:rsid w:val="67BF7C5F"/>
    <w:rsid w:val="681C62A3"/>
    <w:rsid w:val="68BF2CAA"/>
    <w:rsid w:val="694105EE"/>
    <w:rsid w:val="699B5970"/>
    <w:rsid w:val="69B239D8"/>
    <w:rsid w:val="69E27426"/>
    <w:rsid w:val="6A3D3FA6"/>
    <w:rsid w:val="6A8E1EEF"/>
    <w:rsid w:val="6B433DCD"/>
    <w:rsid w:val="6B5536F5"/>
    <w:rsid w:val="6BA918F3"/>
    <w:rsid w:val="6E1175E7"/>
    <w:rsid w:val="6E7F20C4"/>
    <w:rsid w:val="6F0926A9"/>
    <w:rsid w:val="6F6B13D1"/>
    <w:rsid w:val="6FD84053"/>
    <w:rsid w:val="702F5C8D"/>
    <w:rsid w:val="7158024F"/>
    <w:rsid w:val="71E24A8E"/>
    <w:rsid w:val="732177E3"/>
    <w:rsid w:val="739369E5"/>
    <w:rsid w:val="73AD3F4B"/>
    <w:rsid w:val="757C77FA"/>
    <w:rsid w:val="75A23B0C"/>
    <w:rsid w:val="75BF7C3B"/>
    <w:rsid w:val="75C235CF"/>
    <w:rsid w:val="765B4ACC"/>
    <w:rsid w:val="76D534E5"/>
    <w:rsid w:val="777507DE"/>
    <w:rsid w:val="77BF4BA3"/>
    <w:rsid w:val="77DA4BE2"/>
    <w:rsid w:val="7880578A"/>
    <w:rsid w:val="788556B3"/>
    <w:rsid w:val="788D5F30"/>
    <w:rsid w:val="78A11241"/>
    <w:rsid w:val="792702FB"/>
    <w:rsid w:val="79DD07F6"/>
    <w:rsid w:val="7B7F5D8D"/>
    <w:rsid w:val="7BA27DAE"/>
    <w:rsid w:val="7BB0282A"/>
    <w:rsid w:val="7C5E5DE2"/>
    <w:rsid w:val="7C7F2A2F"/>
    <w:rsid w:val="7C966FCE"/>
    <w:rsid w:val="7CE51858"/>
    <w:rsid w:val="7D4C0002"/>
    <w:rsid w:val="7D985F89"/>
    <w:rsid w:val="7DFA5FDE"/>
    <w:rsid w:val="7DFD205A"/>
    <w:rsid w:val="7E311C94"/>
    <w:rsid w:val="7F1C3D32"/>
    <w:rsid w:val="7F697FDD"/>
    <w:rsid w:val="7FAC7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rPr>
      <w:rFonts w:ascii="Times New Roman" w:hAnsi="Times New Roman" w:eastAsia="宋体" w:cs="Times New Roman"/>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0"/>
      <w:sz w:val="32"/>
      <w:szCs w:val="32"/>
    </w:rPr>
  </w:style>
  <w:style w:type="paragraph" w:styleId="3">
    <w:name w:val="heading 2"/>
    <w:basedOn w:val="1"/>
    <w:next w:val="1"/>
    <w:unhideWhenUsed/>
    <w:qFormat/>
    <w:uiPriority w:val="0"/>
    <w:pPr>
      <w:keepNext/>
      <w:keepLines/>
      <w:spacing w:before="260" w:after="260" w:line="412" w:lineRule="auto"/>
      <w:outlineLvl w:val="1"/>
    </w:pPr>
    <w:rPr>
      <w:rFonts w:ascii="Arial" w:hAnsi="Arial" w:eastAsia="黑体"/>
      <w:b/>
      <w:bCs/>
      <w:sz w:val="32"/>
      <w:szCs w:val="32"/>
      <w:lang w:val="zh-CN"/>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widowControl w:val="0"/>
      <w:spacing w:after="120"/>
      <w:jc w:val="both"/>
    </w:pPr>
    <w:rPr>
      <w:kern w:val="2"/>
      <w:sz w:val="21"/>
      <w:szCs w:val="24"/>
    </w:rPr>
  </w:style>
  <w:style w:type="paragraph" w:styleId="5">
    <w:name w:val="Body Text Indent"/>
    <w:basedOn w:val="1"/>
    <w:next w:val="6"/>
    <w:semiHidden/>
    <w:unhideWhenUsed/>
    <w:qFormat/>
    <w:uiPriority w:val="99"/>
    <w:pPr>
      <w:spacing w:after="120"/>
      <w:ind w:left="420" w:leftChars="200"/>
    </w:pPr>
  </w:style>
  <w:style w:type="paragraph" w:styleId="6">
    <w:name w:val="envelope return"/>
    <w:basedOn w:val="1"/>
    <w:qFormat/>
    <w:uiPriority w:val="99"/>
    <w:rPr>
      <w:rFonts w:ascii="Arial" w:hAnsi="Arial"/>
    </w:rPr>
  </w:style>
  <w:style w:type="paragraph" w:styleId="7">
    <w:name w:val="List 2"/>
    <w:basedOn w:val="1"/>
    <w:qFormat/>
    <w:uiPriority w:val="0"/>
    <w:pPr>
      <w:ind w:left="100" w:leftChars="200" w:hanging="200" w:hangingChars="200"/>
    </w:pPr>
  </w:style>
  <w:style w:type="paragraph" w:styleId="8">
    <w:name w:val="Plain Text"/>
    <w:basedOn w:val="1"/>
    <w:next w:val="4"/>
    <w:unhideWhenUsed/>
    <w:qFormat/>
    <w:uiPriority w:val="0"/>
    <w:rPr>
      <w:rFonts w:hint="eastAsia" w:ascii="宋体" w:hAnsi="Courier New"/>
      <w:sz w:val="21"/>
      <w:szCs w:val="21"/>
    </w:rPr>
  </w:style>
  <w:style w:type="paragraph" w:styleId="9">
    <w:name w:val="footer"/>
    <w:basedOn w:val="1"/>
    <w:unhideWhenUsed/>
    <w:qFormat/>
    <w:uiPriority w:val="0"/>
    <w:pPr>
      <w:tabs>
        <w:tab w:val="center" w:pos="4153"/>
        <w:tab w:val="right" w:pos="8306"/>
      </w:tabs>
      <w:snapToGrid w:val="0"/>
    </w:pPr>
    <w:rPr>
      <w:kern w:val="2"/>
      <w:sz w:val="18"/>
    </w:rPr>
  </w:style>
  <w:style w:type="paragraph" w:styleId="10">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1">
    <w:name w:val="toc 1"/>
    <w:basedOn w:val="1"/>
    <w:next w:val="1"/>
    <w:qFormat/>
    <w:uiPriority w:val="39"/>
    <w:pPr>
      <w:widowControl w:val="0"/>
      <w:jc w:val="both"/>
    </w:pPr>
    <w:rPr>
      <w:kern w:val="2"/>
      <w:sz w:val="21"/>
      <w:szCs w:val="24"/>
    </w:rPr>
  </w:style>
  <w:style w:type="paragraph" w:styleId="12">
    <w:name w:val="footnote text"/>
    <w:basedOn w:val="1"/>
    <w:qFormat/>
    <w:uiPriority w:val="0"/>
    <w:rPr>
      <w:sz w:val="20"/>
      <w:szCs w:val="20"/>
    </w:rPr>
  </w:style>
  <w:style w:type="paragraph" w:styleId="13">
    <w:name w:val="index 7"/>
    <w:basedOn w:val="1"/>
    <w:next w:val="1"/>
    <w:unhideWhenUsed/>
    <w:qFormat/>
    <w:uiPriority w:val="99"/>
    <w:pPr>
      <w:ind w:left="1200" w:leftChars="1200"/>
    </w:pPr>
  </w:style>
  <w:style w:type="paragraph" w:styleId="14">
    <w:name w:val="Body Text 2"/>
    <w:basedOn w:val="1"/>
    <w:next w:val="8"/>
    <w:qFormat/>
    <w:uiPriority w:val="0"/>
    <w:pPr>
      <w:spacing w:after="120" w:line="480" w:lineRule="auto"/>
    </w:pPr>
  </w:style>
  <w:style w:type="paragraph" w:styleId="15">
    <w:name w:val="Body Text First Indent"/>
    <w:basedOn w:val="4"/>
    <w:next w:val="16"/>
    <w:qFormat/>
    <w:uiPriority w:val="0"/>
    <w:pPr>
      <w:ind w:firstLine="420"/>
    </w:pPr>
    <w:rPr>
      <w:rFonts w:eastAsia="楷体_GB2312"/>
      <w:sz w:val="32"/>
      <w:szCs w:val="32"/>
    </w:rPr>
  </w:style>
  <w:style w:type="paragraph" w:styleId="16">
    <w:name w:val="Body Text First Indent 2"/>
    <w:basedOn w:val="5"/>
    <w:next w:val="1"/>
    <w:unhideWhenUsed/>
    <w:qFormat/>
    <w:uiPriority w:val="99"/>
    <w:pPr>
      <w:ind w:firstLine="420" w:firstLineChars="2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rPr>
      <w:rFonts w:ascii="ActionIcon ! important" w:hAnsi="ActionIcon ! important" w:eastAsia="ActionIcon ! important" w:cs="ActionIcon ! important"/>
      <w:vanish/>
      <w:color w:val="3D4B62"/>
      <w:sz w:val="24"/>
      <w:szCs w:val="24"/>
    </w:rPr>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ascii="monospace" w:hAnsi="monospace" w:eastAsia="monospace" w:cs="monospace"/>
      <w:sz w:val="20"/>
      <w:vertAlign w:val="baseline"/>
    </w:rPr>
  </w:style>
  <w:style w:type="character" w:styleId="29">
    <w:name w:val="HTML Cite"/>
    <w:basedOn w:val="19"/>
    <w:qFormat/>
    <w:uiPriority w:val="0"/>
  </w:style>
  <w:style w:type="character" w:styleId="30">
    <w:name w:val="HTML Keyboard"/>
    <w:basedOn w:val="19"/>
    <w:qFormat/>
    <w:uiPriority w:val="0"/>
    <w:rPr>
      <w:rFonts w:hint="default"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Default"/>
    <w:basedOn w:val="8"/>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character" w:customStyle="1" w:styleId="34">
    <w:name w:val="hover"/>
    <w:basedOn w:val="19"/>
    <w:qFormat/>
    <w:uiPriority w:val="0"/>
  </w:style>
  <w:style w:type="character" w:customStyle="1" w:styleId="35">
    <w:name w:val="hover1"/>
    <w:basedOn w:val="19"/>
    <w:qFormat/>
    <w:uiPriority w:val="0"/>
    <w:rPr>
      <w:color w:val="2590EB"/>
    </w:rPr>
  </w:style>
  <w:style w:type="character" w:customStyle="1" w:styleId="36">
    <w:name w:val="hover2"/>
    <w:basedOn w:val="19"/>
    <w:qFormat/>
    <w:uiPriority w:val="0"/>
    <w:rPr>
      <w:color w:val="2590EB"/>
    </w:rPr>
  </w:style>
  <w:style w:type="character" w:customStyle="1" w:styleId="37">
    <w:name w:val="mini-outputtext1"/>
    <w:basedOn w:val="19"/>
    <w:qFormat/>
    <w:uiPriority w:val="0"/>
  </w:style>
  <w:style w:type="character" w:customStyle="1" w:styleId="38">
    <w:name w:val="hover3"/>
    <w:basedOn w:val="19"/>
    <w:qFormat/>
    <w:uiPriority w:val="0"/>
  </w:style>
  <w:style w:type="paragraph" w:customStyle="1" w:styleId="39">
    <w:name w:val="列出段落1"/>
    <w:qFormat/>
    <w:uiPriority w:val="34"/>
    <w:pPr>
      <w:ind w:firstLine="420" w:firstLine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25228</Words>
  <Characters>27552</Characters>
  <Lines>0</Lines>
  <Paragraphs>0</Paragraphs>
  <TotalTime>65</TotalTime>
  <ScaleCrop>false</ScaleCrop>
  <LinksUpToDate>false</LinksUpToDate>
  <CharactersWithSpaces>29521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2023-11-08T07:18:00Z</dcterms:created>
  <dc:creator>流星雨</dc:creator>
  <cp:lastModifiedBy>L~G~Q</cp:lastModifiedBy>
  <cp:lastPrinted>2026-03-02T08:25:00Z</cp:lastPrinted>
  <dcterms:modified xsi:type="dcterms:W3CDTF">2026-03-03T02:34:21Z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9E15D4A4FA5348C3922E80A544C325C2_11</vt:lpwstr>
  </property>
  <property fmtid="{D5CDD505-2E9C-101B-9397-08002B2CF9AE}" pid="4" name="KSOTemplateDocerSaveRecord">
    <vt:lpwstr>eyJoZGlkIjoiNTBjZjMyZDk5ODMxODFiMmE3MjIxOGY2ZGFiYWIzNzgiLCJ1c2VySWQiOiI0NTAwMjgwMDMifQ==</vt:lpwstr>
  </property>
</Properties>
</file>