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F4051">
      <w:pPr>
        <w:jc w:val="center"/>
        <w:rPr>
          <w:rFonts w:hint="eastAsia" w:ascii="黑体" w:hAnsi="黑体" w:eastAsia="黑体" w:cstheme="majorEastAsia"/>
          <w:b/>
          <w:bCs/>
          <w:sz w:val="44"/>
          <w:szCs w:val="44"/>
          <w:lang w:val="en-US" w:eastAsia="zh-CN"/>
        </w:rPr>
      </w:pPr>
      <w:r>
        <w:rPr>
          <w:rFonts w:hint="eastAsia" w:ascii="黑体" w:hAnsi="黑体" w:eastAsia="黑体" w:cstheme="majorEastAsia"/>
          <w:b/>
          <w:bCs/>
          <w:sz w:val="44"/>
          <w:szCs w:val="44"/>
          <w:lang w:val="en-US" w:eastAsia="zh-CN"/>
        </w:rPr>
        <w:t>禹州市中等专业学校</w:t>
      </w:r>
    </w:p>
    <w:p w14:paraId="6F249195">
      <w:pPr>
        <w:jc w:val="center"/>
        <w:rPr>
          <w:rFonts w:ascii="黑体" w:hAnsi="黑体" w:eastAsia="黑体" w:cstheme="majorEastAsia"/>
          <w:b/>
          <w:bCs/>
          <w:sz w:val="44"/>
          <w:szCs w:val="44"/>
        </w:rPr>
      </w:pPr>
      <w:r>
        <w:rPr>
          <w:rFonts w:hint="eastAsia" w:ascii="黑体" w:hAnsi="黑体" w:eastAsia="黑体" w:cstheme="majorEastAsia"/>
          <w:b/>
          <w:bCs/>
          <w:sz w:val="44"/>
          <w:szCs w:val="44"/>
          <w:lang w:val="en-US" w:eastAsia="zh-CN"/>
        </w:rPr>
        <w:t>电梯安装与维护保养实训室项目</w:t>
      </w:r>
      <w:r>
        <w:rPr>
          <w:rFonts w:hint="eastAsia" w:ascii="黑体" w:hAnsi="黑体" w:eastAsia="黑体" w:cstheme="majorEastAsia"/>
          <w:b/>
          <w:bCs/>
          <w:sz w:val="44"/>
          <w:szCs w:val="44"/>
        </w:rPr>
        <w:t>（不见面开标）</w:t>
      </w:r>
    </w:p>
    <w:p w14:paraId="1325EA6B">
      <w:pPr>
        <w:rPr>
          <w:rFonts w:ascii="微软简隶书" w:eastAsia="微软简隶书"/>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5003</w:t>
      </w:r>
    </w:p>
    <w:p w14:paraId="4D2030C4">
      <w:pPr>
        <w:ind w:firstLine="1084" w:firstLineChars="30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中等专业学校</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633DBA61">
      <w:pPr>
        <w:jc w:val="center"/>
        <w:rPr>
          <w:rFonts w:hint="eastAsia"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一</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C80E817">
      <w:pPr>
        <w:numPr>
          <w:ilvl w:val="0"/>
          <w:numId w:val="4"/>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101BAD5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p>
    <w:p w14:paraId="62E39B8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禹州市政府采购中心受禹州市中等专业学校的委托，对“禹州市中等专业学校电梯安装与维护保养实训室项目 (不见面开标)”进行竞争性谈判，现邀请符合本文件规定条件的供应商前来投标。</w:t>
      </w:r>
    </w:p>
    <w:p w14:paraId="5626856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：YZCG-T2025003</w:t>
      </w:r>
    </w:p>
    <w:p w14:paraId="40C2666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禹州市中等专业学校电梯安装与维护保养实训室项目  (不见面开标)</w:t>
      </w:r>
    </w:p>
    <w:p w14:paraId="6A4968C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6B90A2D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005C14F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7CD5A84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1、采购人：禹州市中等专业学校</w:t>
      </w:r>
    </w:p>
    <w:p w14:paraId="1B73C80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2、项目主要内容、数量及要求：扶梯实训系统、电梯维保综合实训套件等（详见谈判文件）</w:t>
      </w:r>
    </w:p>
    <w:p w14:paraId="10DDDEA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3、预算金额：790000.00元 </w:t>
      </w:r>
    </w:p>
    <w:p w14:paraId="03B0652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4、最高限价：790000.00元 </w:t>
      </w:r>
    </w:p>
    <w:p w14:paraId="7A76397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：签订合同后40日历天内完成</w:t>
      </w:r>
    </w:p>
    <w:p w14:paraId="3FB935B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6、履约地点：禹州市中等专业学校</w:t>
      </w:r>
    </w:p>
    <w:p w14:paraId="73E6CB1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600A9D6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 ： 否</w:t>
      </w:r>
    </w:p>
    <w:p w14:paraId="61DB740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0F4CCD7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1B723A39">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1DE12D2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1D8808B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0E05697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供应商”登录入口免费获取本项目采购文件。</w:t>
      </w:r>
    </w:p>
    <w:p w14:paraId="161FB1C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2394387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0B8718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53EFA2E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 2025年1月16日8 时30分（北京时间），逾期提交或不符合规定的响应文件不予接受。</w:t>
      </w:r>
    </w:p>
    <w:p w14:paraId="40DEF9C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 2、谈判文件开启地点：禹州市公共资源交易中心九楼第二开标室。（本项目采用远程不见面开标方式，供应商无须到现场）。</w:t>
      </w:r>
    </w:p>
    <w:p w14:paraId="78D250F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946AA0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供应商”身份，使用CA数字证书或移动数字证书登录——在“今日开标项目”中找到已投标的项目——鼠标点击该项目即可进入开标操作界面，在规定的开标时间内进行解密开标。</w:t>
      </w:r>
    </w:p>
    <w:p w14:paraId="468240F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1BF530F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0454597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采购人名称：禹州市中等专业学校</w:t>
      </w:r>
    </w:p>
    <w:p w14:paraId="6BEA20F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地址：禹州市药城路北段</w:t>
      </w:r>
    </w:p>
    <w:p w14:paraId="756A9B5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eastAsiaTheme="minorEastAsia" w:cstheme="minorEastAsia"/>
          <w:color w:val="000000"/>
          <w:szCs w:val="21"/>
          <w:shd w:val="clear" w:color="auto" w:fill="FFFFFF"/>
          <w:lang w:val="en-US" w:eastAsia="zh-CN"/>
        </w:rPr>
        <w:t>谷先生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eastAsiaTheme="minorEastAsia" w:cstheme="minorEastAsia"/>
          <w:kern w:val="2"/>
          <w:sz w:val="21"/>
          <w:szCs w:val="21"/>
          <w:lang w:val="en-US" w:eastAsia="zh-CN" w:bidi="ar-SA"/>
        </w:rPr>
        <w:t>0374-8816982</w:t>
      </w:r>
    </w:p>
    <w:p w14:paraId="6B1B7F5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2111521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20839C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55AADDE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7C96A39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联系电话：0374-8112523</w:t>
      </w:r>
    </w:p>
    <w:p w14:paraId="2A0E613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262150FD">
      <w:pPr>
        <w:spacing w:line="360" w:lineRule="auto"/>
        <w:rPr>
          <w:rFonts w:hint="eastAsia" w:asciiTheme="minorEastAsia" w:hAnsiTheme="minorEastAsia" w:eastAsiaTheme="minorEastAsia" w:cstheme="minorEastAsia"/>
          <w:b/>
          <w:sz w:val="28"/>
          <w:szCs w:val="28"/>
        </w:rPr>
      </w:pPr>
    </w:p>
    <w:p w14:paraId="74DC6DEB">
      <w:pPr>
        <w:autoSpaceDE w:val="0"/>
        <w:autoSpaceDN w:val="0"/>
        <w:adjustRightInd w:val="0"/>
        <w:jc w:val="left"/>
        <w:rPr>
          <w:rFonts w:hint="eastAsia" w:ascii="宋体" w:hAnsi="宋体" w:cs="仿宋_GB2312"/>
          <w:color w:val="000000"/>
          <w:szCs w:val="21"/>
          <w:shd w:val="clear" w:color="auto" w:fill="FFFFFF"/>
        </w:rPr>
      </w:pPr>
    </w:p>
    <w:p w14:paraId="235367F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3"/>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3"/>
        <w:keepNext w:val="0"/>
        <w:keepLines w:val="0"/>
        <w:pageBreakBefore w:val="0"/>
        <w:widowControl/>
        <w:numPr>
          <w:ilvl w:val="1"/>
          <w:numId w:val="6"/>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lang w:val="en-US" w:eastAsia="zh-CN"/>
        </w:rPr>
        <w:t>1.2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971F16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17C3B6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1437E6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518266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b w:val="0"/>
          <w:bCs w:val="0"/>
          <w:i w:val="0"/>
          <w:iCs w:val="0"/>
          <w:color w:val="FF0000"/>
          <w:spacing w:val="0"/>
          <w:w w:val="100"/>
          <w:sz w:val="21"/>
          <w:szCs w:val="21"/>
          <w:vertAlign w:val="baseline"/>
        </w:rPr>
      </w:pPr>
      <w:r>
        <w:rPr>
          <w:rFonts w:hint="eastAsia" w:asciiTheme="minorEastAsia" w:hAnsiTheme="minorEastAsia" w:eastAsiaTheme="minorEastAsia" w:cstheme="minorEastAsia"/>
          <w:lang w:val="en-US" w:eastAsia="zh-CN"/>
        </w:rPr>
        <w:t>7.1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lang w:eastAsia="zh-CN"/>
        </w:rPr>
        <w:t>供应商</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”登录入口获取本项目招标文件。</w:t>
      </w:r>
    </w:p>
    <w:p w14:paraId="487B5C5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EA4EF7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5798600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E213BC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54F6D50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F1A4A3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9598B7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D4BD821">
      <w:pPr>
        <w:pStyle w:val="55"/>
        <w:widowControl/>
        <w:ind w:left="0" w:leftChars="0" w:firstLine="3213" w:firstLineChars="1000"/>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26CC7457">
      <w:pPr>
        <w:widowControl/>
        <w:shd w:val="clear" w:color="auto" w:fill="FFFFFF"/>
        <w:spacing w:line="560" w:lineRule="exact"/>
        <w:ind w:firstLine="600"/>
        <w:jc w:val="left"/>
        <w:rPr>
          <w:rFonts w:hint="eastAsia" w:ascii="宋体" w:hAnsi="宋体" w:eastAsia="宋体" w:cs="黑体"/>
          <w:b/>
          <w:bCs/>
          <w:sz w:val="24"/>
          <w:szCs w:val="24"/>
          <w:shd w:val="clear" w:color="auto" w:fill="FFFFFF"/>
          <w:lang w:eastAsia="zh-CN"/>
        </w:rPr>
      </w:pPr>
      <w:r>
        <w:rPr>
          <w:rFonts w:hint="eastAsia" w:ascii="宋体" w:hAnsi="宋体" w:eastAsia="宋体" w:cs="黑体"/>
          <w:b/>
          <w:bCs/>
          <w:sz w:val="24"/>
          <w:szCs w:val="24"/>
          <w:shd w:val="clear" w:color="auto" w:fill="FFFFFF"/>
        </w:rPr>
        <w:t>一、本项目需实现的功能或者目标</w:t>
      </w:r>
      <w:r>
        <w:rPr>
          <w:rFonts w:hint="eastAsia" w:ascii="宋体" w:hAnsi="宋体" w:eastAsia="宋体" w:cs="黑体"/>
          <w:b/>
          <w:bCs/>
          <w:sz w:val="24"/>
          <w:szCs w:val="24"/>
          <w:shd w:val="clear" w:color="auto" w:fill="FFFFFF"/>
          <w:lang w:eastAsia="zh-CN"/>
        </w:rPr>
        <w:t>：</w:t>
      </w:r>
      <w:r>
        <w:rPr>
          <w:rFonts w:hint="eastAsia" w:asciiTheme="minorEastAsia" w:hAnsiTheme="minorEastAsia" w:eastAsiaTheme="minorEastAsia" w:cstheme="minorEastAsia"/>
          <w:kern w:val="2"/>
          <w:sz w:val="21"/>
          <w:szCs w:val="21"/>
          <w:lang w:val="en-US" w:eastAsia="zh-CN" w:bidi="ar-SA"/>
        </w:rPr>
        <w:t>为满足和培养符合现代电梯行业发展需要的技能型人才，切实助力学校的教学和实训活动，提升学校电梯专业技能大赛服务能力，拟采购教学实训设备一批，用于日常教学与实训使用。</w:t>
      </w:r>
    </w:p>
    <w:p w14:paraId="50DED719">
      <w:pPr>
        <w:widowControl/>
        <w:shd w:val="clear" w:color="auto" w:fill="FFFFFF"/>
        <w:spacing w:line="560" w:lineRule="exact"/>
        <w:ind w:firstLine="600"/>
        <w:jc w:val="left"/>
        <w:rPr>
          <w:rFonts w:hint="eastAsia"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二、采购清单：</w:t>
      </w:r>
    </w:p>
    <w:p w14:paraId="06E01E49">
      <w:pPr>
        <w:tabs>
          <w:tab w:val="left" w:pos="7095"/>
        </w:tabs>
        <w:spacing w:line="440" w:lineRule="exact"/>
        <w:ind w:firstLine="241" w:firstLineChars="100"/>
        <w:rPr>
          <w:rFonts w:hint="default" w:asciiTheme="minorEastAsia" w:hAnsiTheme="minorEastAsia" w:cstheme="minorEastAsia"/>
          <w:b/>
          <w:bCs/>
          <w:sz w:val="24"/>
          <w:szCs w:val="24"/>
          <w:shd w:val="clear" w:color="auto" w:fill="FFFFFF"/>
          <w:lang w:val="en-US" w:eastAsia="zh-CN"/>
        </w:rPr>
      </w:pPr>
      <w:r>
        <w:rPr>
          <w:rFonts w:hint="eastAsia" w:asciiTheme="minorEastAsia" w:hAnsiTheme="minorEastAsia" w:cstheme="minorEastAsia"/>
          <w:b/>
          <w:bCs/>
          <w:sz w:val="24"/>
          <w:szCs w:val="24"/>
          <w:shd w:val="clear" w:color="auto" w:fill="FFFFFF"/>
          <w:lang w:val="en-US" w:eastAsia="zh-CN"/>
        </w:rPr>
        <w:t xml:space="preserve">  </w:t>
      </w:r>
    </w:p>
    <w:tbl>
      <w:tblPr>
        <w:tblStyle w:val="2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736"/>
        <w:gridCol w:w="5191"/>
        <w:gridCol w:w="836"/>
        <w:gridCol w:w="836"/>
        <w:gridCol w:w="1358"/>
      </w:tblGrid>
      <w:tr w14:paraId="39B1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14:paraId="1590241B">
            <w:pPr>
              <w:autoSpaceDE w:val="0"/>
              <w:autoSpaceDN w:val="0"/>
              <w:adjustRightInd w:val="0"/>
              <w:snapToGrid w:val="0"/>
              <w:spacing w:line="288" w:lineRule="auto"/>
              <w:jc w:val="center"/>
              <w:rPr>
                <w:rFonts w:hint="eastAsia" w:ascii="宋体" w:hAnsi="宋体" w:eastAsia="宋体" w:cs="宋体"/>
                <w:b/>
                <w:bCs/>
                <w:snapToGrid w:val="0"/>
                <w:szCs w:val="21"/>
              </w:rPr>
            </w:pPr>
            <w:r>
              <w:rPr>
                <w:rFonts w:hint="eastAsia" w:ascii="宋体" w:hAnsi="宋体" w:eastAsia="宋体" w:cs="宋体"/>
                <w:b/>
                <w:bCs/>
                <w:snapToGrid w:val="0"/>
                <w:szCs w:val="21"/>
              </w:rPr>
              <w:t>序号</w:t>
            </w:r>
          </w:p>
        </w:tc>
        <w:tc>
          <w:tcPr>
            <w:tcW w:w="736" w:type="dxa"/>
            <w:noWrap w:val="0"/>
            <w:vAlign w:val="center"/>
          </w:tcPr>
          <w:p w14:paraId="0706628F">
            <w:pPr>
              <w:autoSpaceDE w:val="0"/>
              <w:autoSpaceDN w:val="0"/>
              <w:adjustRightInd w:val="0"/>
              <w:snapToGrid w:val="0"/>
              <w:spacing w:line="288" w:lineRule="auto"/>
              <w:jc w:val="center"/>
              <w:rPr>
                <w:rFonts w:hint="eastAsia" w:ascii="宋体" w:hAnsi="宋体" w:eastAsia="宋体" w:cs="宋体"/>
                <w:b/>
                <w:bCs/>
                <w:snapToGrid w:val="0"/>
                <w:szCs w:val="21"/>
              </w:rPr>
            </w:pPr>
            <w:r>
              <w:rPr>
                <w:rFonts w:hint="eastAsia" w:ascii="宋体" w:hAnsi="宋体" w:eastAsia="宋体" w:cs="宋体"/>
                <w:b/>
                <w:bCs/>
                <w:snapToGrid w:val="0"/>
                <w:szCs w:val="21"/>
                <w:lang w:val="en-US" w:eastAsia="zh-CN"/>
              </w:rPr>
              <w:t>货物</w:t>
            </w:r>
            <w:r>
              <w:rPr>
                <w:rFonts w:hint="eastAsia" w:ascii="宋体" w:hAnsi="宋体" w:eastAsia="宋体" w:cs="宋体"/>
                <w:b/>
                <w:bCs/>
                <w:snapToGrid w:val="0"/>
                <w:szCs w:val="21"/>
              </w:rPr>
              <w:t>名称</w:t>
            </w:r>
          </w:p>
        </w:tc>
        <w:tc>
          <w:tcPr>
            <w:tcW w:w="5191" w:type="dxa"/>
            <w:noWrap w:val="0"/>
            <w:vAlign w:val="center"/>
          </w:tcPr>
          <w:p w14:paraId="764F1978">
            <w:pPr>
              <w:autoSpaceDE w:val="0"/>
              <w:autoSpaceDN w:val="0"/>
              <w:adjustRightInd w:val="0"/>
              <w:snapToGrid w:val="0"/>
              <w:spacing w:line="288" w:lineRule="auto"/>
              <w:jc w:val="center"/>
              <w:rPr>
                <w:rFonts w:hint="default"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技术参数</w:t>
            </w:r>
          </w:p>
        </w:tc>
        <w:tc>
          <w:tcPr>
            <w:tcW w:w="836" w:type="dxa"/>
            <w:noWrap w:val="0"/>
            <w:vAlign w:val="center"/>
          </w:tcPr>
          <w:p w14:paraId="176C5C51">
            <w:pPr>
              <w:autoSpaceDE w:val="0"/>
              <w:autoSpaceDN w:val="0"/>
              <w:adjustRightInd w:val="0"/>
              <w:snapToGrid w:val="0"/>
              <w:spacing w:line="288" w:lineRule="auto"/>
              <w:jc w:val="center"/>
              <w:rPr>
                <w:rFonts w:hint="eastAsia"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单位</w:t>
            </w:r>
          </w:p>
        </w:tc>
        <w:tc>
          <w:tcPr>
            <w:tcW w:w="836" w:type="dxa"/>
            <w:noWrap w:val="0"/>
            <w:vAlign w:val="center"/>
          </w:tcPr>
          <w:p w14:paraId="60AC9D71">
            <w:pPr>
              <w:autoSpaceDE w:val="0"/>
              <w:autoSpaceDN w:val="0"/>
              <w:adjustRightInd w:val="0"/>
              <w:snapToGrid w:val="0"/>
              <w:spacing w:line="288" w:lineRule="auto"/>
              <w:jc w:val="center"/>
              <w:rPr>
                <w:rFonts w:hint="eastAsia" w:ascii="宋体" w:hAnsi="宋体" w:eastAsia="宋体" w:cs="宋体"/>
                <w:b/>
                <w:bCs/>
                <w:snapToGrid w:val="0"/>
                <w:szCs w:val="21"/>
              </w:rPr>
            </w:pPr>
            <w:r>
              <w:rPr>
                <w:rFonts w:hint="eastAsia" w:ascii="宋体" w:hAnsi="宋体" w:eastAsia="宋体" w:cs="宋体"/>
                <w:b/>
                <w:bCs/>
                <w:snapToGrid w:val="0"/>
                <w:szCs w:val="21"/>
              </w:rPr>
              <w:t>数量</w:t>
            </w:r>
          </w:p>
        </w:tc>
        <w:tc>
          <w:tcPr>
            <w:tcW w:w="1358" w:type="dxa"/>
            <w:noWrap w:val="0"/>
            <w:vAlign w:val="center"/>
          </w:tcPr>
          <w:p w14:paraId="308E6B20">
            <w:pPr>
              <w:autoSpaceDE w:val="0"/>
              <w:autoSpaceDN w:val="0"/>
              <w:adjustRightInd w:val="0"/>
              <w:snapToGrid w:val="0"/>
              <w:spacing w:line="288" w:lineRule="auto"/>
              <w:jc w:val="center"/>
              <w:rPr>
                <w:rFonts w:hint="default" w:ascii="宋体" w:hAnsi="宋体" w:eastAsia="宋体" w:cs="宋体"/>
                <w:b/>
                <w:bCs/>
                <w:snapToGrid w:val="0"/>
                <w:szCs w:val="21"/>
                <w:lang w:val="en-US" w:eastAsia="zh-CN"/>
              </w:rPr>
            </w:pPr>
            <w:r>
              <w:rPr>
                <w:rFonts w:hint="eastAsia" w:ascii="宋体" w:hAnsi="宋体" w:eastAsia="宋体" w:cs="宋体"/>
                <w:b/>
                <w:bCs/>
                <w:snapToGrid w:val="0"/>
                <w:szCs w:val="21"/>
                <w:lang w:val="en-US" w:eastAsia="zh-CN"/>
              </w:rPr>
              <w:t>采购标的对应的行业</w:t>
            </w:r>
          </w:p>
        </w:tc>
      </w:tr>
      <w:tr w14:paraId="4FA1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14:paraId="159E7288">
            <w:pPr>
              <w:jc w:val="center"/>
              <w:rPr>
                <w:rFonts w:ascii="仿宋" w:hAnsi="仿宋" w:eastAsia="仿宋" w:cs="宋体"/>
                <w:szCs w:val="21"/>
              </w:rPr>
            </w:pPr>
            <w:r>
              <w:rPr>
                <w:rFonts w:hint="eastAsia" w:ascii="宋体" w:hAnsi="宋体" w:eastAsia="宋体" w:cs="宋体"/>
                <w:szCs w:val="21"/>
              </w:rPr>
              <w:t>1</w:t>
            </w:r>
          </w:p>
        </w:tc>
        <w:tc>
          <w:tcPr>
            <w:tcW w:w="736" w:type="dxa"/>
            <w:noWrap w:val="0"/>
            <w:vAlign w:val="center"/>
          </w:tcPr>
          <w:p w14:paraId="3FB49F28">
            <w:pPr>
              <w:jc w:val="center"/>
              <w:rPr>
                <w:rFonts w:ascii="宋体" w:hAnsi="宋体" w:cs="宋体"/>
                <w:snapToGrid w:val="0"/>
                <w:szCs w:val="21"/>
              </w:rPr>
            </w:pPr>
            <w:r>
              <w:rPr>
                <w:rFonts w:hint="eastAsia" w:ascii="宋体" w:hAnsi="宋体" w:cs="宋体"/>
                <w:snapToGrid w:val="0"/>
                <w:szCs w:val="21"/>
              </w:rPr>
              <w:t>扶梯实训系统</w:t>
            </w:r>
          </w:p>
        </w:tc>
        <w:tc>
          <w:tcPr>
            <w:tcW w:w="5191" w:type="dxa"/>
            <w:noWrap w:val="0"/>
            <w:vAlign w:val="center"/>
          </w:tcPr>
          <w:p w14:paraId="6F5A51FE">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一．设备概述</w:t>
            </w:r>
          </w:p>
          <w:p w14:paraId="27972EA7">
            <w:pPr>
              <w:autoSpaceDE w:val="0"/>
              <w:autoSpaceDN w:val="0"/>
              <w:adjustRightInd w:val="0"/>
              <w:snapToGrid w:val="0"/>
              <w:spacing w:line="288" w:lineRule="auto"/>
              <w:ind w:firstLine="420" w:firstLineChars="200"/>
              <w:rPr>
                <w:rFonts w:hint="eastAsia" w:ascii="宋体" w:hAnsi="宋体" w:cs="宋体"/>
                <w:snapToGrid w:val="0"/>
                <w:szCs w:val="21"/>
              </w:rPr>
            </w:pPr>
            <w:r>
              <w:rPr>
                <w:rFonts w:hint="eastAsia" w:ascii="宋体" w:hAnsi="宋体" w:cs="宋体"/>
                <w:snapToGrid w:val="0"/>
                <w:szCs w:val="21"/>
              </w:rPr>
              <w:t>人行自动扶梯实训设备，要根据真实自动扶梯的安装调试和维保需求开发，方便学生更加直观感性认识和了解自动扶梯在各种运行状态下各机构的动作过程及</w:t>
            </w:r>
            <w:r>
              <w:rPr>
                <w:rFonts w:hint="eastAsia" w:ascii="宋体" w:hAnsi="宋体" w:cs="宋体"/>
                <w:snapToGrid w:val="0"/>
                <w:szCs w:val="21"/>
                <w:lang w:val="en-US" w:eastAsia="zh-CN"/>
              </w:rPr>
              <w:t xml:space="preserve"> </w:t>
            </w:r>
            <w:r>
              <w:rPr>
                <w:rFonts w:hint="eastAsia" w:ascii="宋体" w:hAnsi="宋体" w:cs="宋体"/>
                <w:snapToGrid w:val="0"/>
                <w:szCs w:val="21"/>
              </w:rPr>
              <w:t>故障现象，桁架外部采用玻璃结构。</w:t>
            </w:r>
          </w:p>
          <w:p w14:paraId="7CD9BE38">
            <w:pPr>
              <w:autoSpaceDE w:val="0"/>
              <w:autoSpaceDN w:val="0"/>
              <w:adjustRightInd w:val="0"/>
              <w:snapToGrid w:val="0"/>
              <w:spacing w:line="288" w:lineRule="auto"/>
              <w:ind w:firstLine="420" w:firstLineChars="200"/>
              <w:rPr>
                <w:rFonts w:hint="eastAsia" w:ascii="宋体" w:hAnsi="宋体" w:cs="宋体"/>
                <w:snapToGrid w:val="0"/>
                <w:szCs w:val="21"/>
              </w:rPr>
            </w:pPr>
            <w:r>
              <w:rPr>
                <w:rFonts w:hint="eastAsia" w:ascii="宋体" w:hAnsi="宋体" w:cs="宋体"/>
                <w:snapToGrid w:val="0"/>
                <w:szCs w:val="21"/>
              </w:rPr>
              <w:t>能实现满足 GB16899-2011 要求的自动扶梯的载客和安全保护功能，符合TSGT7005-2012 的相关要求。</w:t>
            </w:r>
          </w:p>
          <w:p w14:paraId="2BA008F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采用先进的自动扶梯一体化控制及旁路变频驱动技术，采用主流的曳引机，采用符合 GB16899-2011 要求的 PESSRAE（用于自动扶梯和自动人行道的可编程电子安全相关系统）。</w:t>
            </w:r>
          </w:p>
          <w:p w14:paraId="3659A140">
            <w:pPr>
              <w:autoSpaceDE w:val="0"/>
              <w:autoSpaceDN w:val="0"/>
              <w:adjustRightInd w:val="0"/>
              <w:snapToGrid w:val="0"/>
              <w:spacing w:line="288" w:lineRule="auto"/>
              <w:ind w:firstLine="420" w:firstLineChars="200"/>
              <w:rPr>
                <w:rFonts w:hint="eastAsia" w:ascii="宋体" w:hAnsi="宋体" w:cs="宋体"/>
                <w:snapToGrid w:val="0"/>
                <w:szCs w:val="21"/>
              </w:rPr>
            </w:pPr>
            <w:bookmarkStart w:id="11" w:name="_GoBack"/>
            <w:bookmarkEnd w:id="11"/>
            <w:r>
              <w:rPr>
                <w:rFonts w:hint="eastAsia" w:ascii="宋体" w:hAnsi="宋体" w:cs="宋体"/>
                <w:snapToGrid w:val="0"/>
                <w:szCs w:val="21"/>
              </w:rPr>
              <w:t>实训装置人为隐蔽设置了几十项电路故障，学生借助原理图分析、判断故障，全面真实的了解电梯电气故障及排除，是进行技能培训考核的理想设备，教学效果真实显著。</w:t>
            </w:r>
          </w:p>
          <w:p w14:paraId="3172944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二．技术参数：</w:t>
            </w:r>
          </w:p>
          <w:p w14:paraId="726EC30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1、规格尺寸：≤7500*2500*2200mm（长*宽*高）。扶梯整体高度</w:t>
            </w:r>
            <w:r>
              <w:rPr>
                <w:rFonts w:hint="eastAsia" w:ascii="宋体" w:hAnsi="宋体" w:cs="宋体"/>
                <w:snapToGrid w:val="0"/>
                <w:szCs w:val="21"/>
                <w:lang w:val="en-US" w:eastAsia="zh-CN"/>
              </w:rPr>
              <w:t>约</w:t>
            </w:r>
            <w:r>
              <w:rPr>
                <w:rFonts w:hint="eastAsia" w:ascii="宋体" w:hAnsi="宋体" w:cs="宋体"/>
                <w:snapToGrid w:val="0"/>
                <w:szCs w:val="21"/>
              </w:rPr>
              <w:t>3000mm</w:t>
            </w:r>
          </w:p>
          <w:p w14:paraId="7548356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2、工作环境：环境温度范围为-5℃～+40℃，相对湿度＜85%（25℃）。</w:t>
            </w:r>
          </w:p>
          <w:p w14:paraId="59C788E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3、提升高度：</w:t>
            </w:r>
            <w:r>
              <w:rPr>
                <w:rFonts w:hint="eastAsia" w:ascii="宋体" w:hAnsi="宋体" w:cs="宋体"/>
                <w:snapToGrid w:val="0"/>
                <w:szCs w:val="21"/>
                <w:lang w:val="en-US" w:eastAsia="zh-CN"/>
              </w:rPr>
              <w:t>约</w:t>
            </w:r>
            <w:r>
              <w:rPr>
                <w:rFonts w:hint="eastAsia" w:ascii="宋体" w:hAnsi="宋体" w:cs="宋体"/>
                <w:snapToGrid w:val="0"/>
                <w:szCs w:val="21"/>
              </w:rPr>
              <w:t>1500mm</w:t>
            </w:r>
          </w:p>
          <w:p w14:paraId="36AAE27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4、整机消耗：≤8.5KW</w:t>
            </w:r>
          </w:p>
          <w:p w14:paraId="7C2DFE0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三．主要配置清单：</w:t>
            </w:r>
          </w:p>
          <w:p w14:paraId="0201CEFB">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1、自动扶梯实训设备</w:t>
            </w:r>
            <w:r>
              <w:rPr>
                <w:rFonts w:hint="eastAsia" w:ascii="宋体" w:hAnsi="宋体" w:cs="宋体"/>
                <w:snapToGrid w:val="0"/>
                <w:szCs w:val="21"/>
              </w:rPr>
              <w:tab/>
            </w:r>
            <w:r>
              <w:rPr>
                <w:rFonts w:hint="eastAsia" w:ascii="宋体" w:hAnsi="宋体" w:cs="宋体"/>
                <w:snapToGrid w:val="0"/>
                <w:szCs w:val="21"/>
              </w:rPr>
              <w:t>1套</w:t>
            </w:r>
          </w:p>
          <w:p w14:paraId="7D3D368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2、扶梯支撑固定支架</w:t>
            </w:r>
            <w:r>
              <w:rPr>
                <w:rFonts w:hint="eastAsia" w:ascii="宋体" w:hAnsi="宋体" w:cs="宋体"/>
                <w:snapToGrid w:val="0"/>
                <w:szCs w:val="21"/>
              </w:rPr>
              <w:tab/>
            </w:r>
            <w:r>
              <w:rPr>
                <w:rFonts w:hint="eastAsia" w:ascii="宋体" w:hAnsi="宋体" w:cs="宋体"/>
                <w:snapToGrid w:val="0"/>
                <w:szCs w:val="21"/>
              </w:rPr>
              <w:t>1套</w:t>
            </w:r>
          </w:p>
          <w:p w14:paraId="3DFAD2D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3、扶梯检修工作梯</w:t>
            </w:r>
            <w:r>
              <w:rPr>
                <w:rFonts w:hint="eastAsia" w:ascii="宋体" w:hAnsi="宋体" w:cs="宋体"/>
                <w:snapToGrid w:val="0"/>
                <w:szCs w:val="21"/>
              </w:rPr>
              <w:tab/>
            </w:r>
            <w:r>
              <w:rPr>
                <w:rFonts w:hint="eastAsia" w:ascii="宋体" w:hAnsi="宋体" w:cs="宋体"/>
                <w:snapToGrid w:val="0"/>
                <w:szCs w:val="21"/>
              </w:rPr>
              <w:t>1套</w:t>
            </w:r>
          </w:p>
          <w:p w14:paraId="2C192CB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4、扶梯考核实训实验台 1套</w:t>
            </w:r>
          </w:p>
          <w:p w14:paraId="1702F66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5、电梯一体化控制器</w:t>
            </w:r>
            <w:r>
              <w:rPr>
                <w:rFonts w:hint="eastAsia" w:ascii="宋体" w:hAnsi="宋体" w:cs="宋体"/>
                <w:snapToGrid w:val="0"/>
                <w:szCs w:val="21"/>
              </w:rPr>
              <w:tab/>
            </w:r>
            <w:r>
              <w:rPr>
                <w:rFonts w:hint="eastAsia" w:ascii="宋体" w:hAnsi="宋体" w:cs="宋体"/>
                <w:snapToGrid w:val="0"/>
                <w:szCs w:val="21"/>
              </w:rPr>
              <w:t>1台（实物电梯控制器系统）</w:t>
            </w:r>
          </w:p>
          <w:p w14:paraId="7F0B712F">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6、控制器数据传输电缆 1套</w:t>
            </w:r>
          </w:p>
          <w:p w14:paraId="56E36520">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7、安装维修实训工具及照明荧光灯</w:t>
            </w:r>
            <w:r>
              <w:rPr>
                <w:rFonts w:hint="eastAsia" w:ascii="宋体" w:hAnsi="宋体" w:eastAsia="宋体" w:cs="宋体"/>
                <w:snapToGrid w:val="0"/>
                <w:szCs w:val="21"/>
              </w:rPr>
              <w:tab/>
            </w:r>
            <w:r>
              <w:rPr>
                <w:rFonts w:hint="eastAsia" w:ascii="宋体" w:hAnsi="宋体" w:eastAsia="宋体" w:cs="宋体"/>
                <w:snapToGrid w:val="0"/>
                <w:szCs w:val="21"/>
              </w:rPr>
              <w:t>1套</w:t>
            </w:r>
          </w:p>
          <w:p w14:paraId="10E788DD">
            <w:pPr>
              <w:autoSpaceDE w:val="0"/>
              <w:autoSpaceDN w:val="0"/>
              <w:adjustRightInd w:val="0"/>
              <w:snapToGrid w:val="0"/>
              <w:spacing w:line="288" w:lineRule="auto"/>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r>
              <w:rPr>
                <w:rFonts w:hint="eastAsia" w:ascii="宋体" w:hAnsi="宋体" w:eastAsia="宋体" w:cs="宋体"/>
                <w:snapToGrid w:val="0"/>
                <w:szCs w:val="21"/>
              </w:rPr>
              <w:t>、工控编程模拟器</w:t>
            </w:r>
            <w:r>
              <w:rPr>
                <w:rFonts w:hint="eastAsia" w:ascii="宋体" w:hAnsi="宋体" w:eastAsia="宋体" w:cs="宋体"/>
                <w:snapToGrid w:val="0"/>
                <w:szCs w:val="21"/>
                <w:lang w:val="en-US" w:eastAsia="zh-CN"/>
              </w:rPr>
              <w:t xml:space="preserve">  1套</w:t>
            </w:r>
            <w:r>
              <w:rPr>
                <w:rFonts w:hint="eastAsia" w:ascii="宋体" w:hAnsi="宋体" w:eastAsia="宋体" w:cs="宋体"/>
                <w:snapToGrid w:val="0"/>
                <w:szCs w:val="21"/>
              </w:rPr>
              <w:t>（投标文件需提供产品清晰的截图或照片，并标出数字量输入输出和模拟量输入的位置和数量）</w:t>
            </w:r>
          </w:p>
          <w:p w14:paraId="4A33B49D">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a.数字量输入资源14个；</w:t>
            </w:r>
          </w:p>
          <w:p w14:paraId="7F102AC3">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b.数字量输出资源10个；</w:t>
            </w:r>
          </w:p>
          <w:p w14:paraId="3A39074C">
            <w:pPr>
              <w:autoSpaceDE w:val="0"/>
              <w:autoSpaceDN w:val="0"/>
              <w:adjustRightInd w:val="0"/>
              <w:snapToGrid w:val="0"/>
              <w:spacing w:line="288" w:lineRule="auto"/>
              <w:rPr>
                <w:rFonts w:hint="default" w:eastAsia="宋体"/>
                <w:lang w:val="en-US" w:eastAsia="zh-CN"/>
              </w:rPr>
            </w:pPr>
            <w:r>
              <w:rPr>
                <w:rFonts w:hint="eastAsia" w:ascii="宋体" w:hAnsi="宋体" w:eastAsia="宋体" w:cs="宋体"/>
                <w:snapToGrid w:val="0"/>
                <w:szCs w:val="21"/>
              </w:rPr>
              <w:t>c.模拟量输入资源1个,模拟量输入范围0-10V，精度0.2%。</w:t>
            </w:r>
          </w:p>
          <w:p w14:paraId="7932BF3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四．实训项目要求:</w:t>
            </w:r>
          </w:p>
          <w:p w14:paraId="6E79CB8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1、认识自动扶梯的结构，涨紧装置、梯级、梯级导轨、扶手带、牵引链、梳齿板、驱动装置等主要部件名称及作用。</w:t>
            </w:r>
          </w:p>
          <w:p w14:paraId="112A2E6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认识自动扶梯安装保护装置的作用、安装位置。（曳引链条断裂保护装置、梳齿异物保护装置、扶手带入口安全保护装置、梯级下沉保护装置、驱动链断链保护装置、扶手带断带保护装置、辅助制动器、机械锁紧装置等）</w:t>
            </w:r>
          </w:p>
          <w:p w14:paraId="763A0ED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3、扶梯梯级拆卸实训。</w:t>
            </w:r>
          </w:p>
          <w:p w14:paraId="52D8780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4、扶梯梯级安装实训。</w:t>
            </w:r>
          </w:p>
          <w:p w14:paraId="1C35F15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5、扶梯保养：梯级系统保养、扶手系统保养、安全保护装置检查、传动部件维修保养。</w:t>
            </w:r>
          </w:p>
          <w:p w14:paraId="2C1E1C6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6、护壁板、内外盖板、裙板的清洁保养。</w:t>
            </w:r>
          </w:p>
          <w:p w14:paraId="2A8C870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7、电气控制系统及照明系统检测维修。</w:t>
            </w:r>
          </w:p>
          <w:p w14:paraId="5FFE747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8、扶梯梯级清洁维护。</w:t>
            </w:r>
          </w:p>
          <w:p w14:paraId="59C9EB6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9、扶梯梯级整体运行检查。</w:t>
            </w:r>
          </w:p>
          <w:p w14:paraId="4C3BC19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10、扶梯上、下机房的清洁保养。</w:t>
            </w:r>
          </w:p>
          <w:p w14:paraId="14B556E8">
            <w:pPr>
              <w:autoSpaceDE w:val="0"/>
              <w:autoSpaceDN w:val="0"/>
              <w:adjustRightInd w:val="0"/>
              <w:snapToGrid w:val="0"/>
              <w:spacing w:line="288" w:lineRule="auto"/>
              <w:rPr>
                <w:rFonts w:ascii="宋体" w:hAnsi="宋体" w:cs="宋体"/>
                <w:snapToGrid w:val="0"/>
                <w:szCs w:val="21"/>
              </w:rPr>
            </w:pPr>
            <w:r>
              <w:rPr>
                <w:rFonts w:hint="eastAsia" w:ascii="宋体" w:hAnsi="宋体" w:cs="宋体"/>
                <w:snapToGrid w:val="0"/>
                <w:szCs w:val="21"/>
              </w:rPr>
              <w:t>11、扶梯润滑油系统的补充与更换实训。</w:t>
            </w:r>
          </w:p>
          <w:p w14:paraId="7C819334">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五、配套精品课程</w:t>
            </w:r>
          </w:p>
          <w:p w14:paraId="1A13A5DF">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主要包括网页端平台、APP端平台和PLC学习资源。</w:t>
            </w:r>
          </w:p>
          <w:p w14:paraId="4F149359">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（1）网页端平台（提供平台截图并对以下功能做出标注，要求图片质量清晰）</w:t>
            </w:r>
          </w:p>
          <w:p w14:paraId="6AE1DCE3">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a.支持创建课堂，课堂老师可以赋予课堂角色，组成以课堂为单位的课程团队；</w:t>
            </w:r>
          </w:p>
          <w:p w14:paraId="11C74312">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 xml:space="preserve">b.支持多种课程形式，包含热点方向课程：机械制造、数控机床、机电一体化、PLC、传感器、电工电子等；  </w:t>
            </w:r>
          </w:p>
          <w:p w14:paraId="27161A9B">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c.提供课程检索方式，支持按照课程层次、适用专业等多种条件检索；</w:t>
            </w:r>
          </w:p>
          <w:p w14:paraId="5E4F454D">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d.课程内资源形式不限于：音视频、文档（不限于Word、PDF、PPT）、图片、二进制包等；方便系统化为主，碎片化为辅的学习方式。</w:t>
            </w:r>
          </w:p>
          <w:p w14:paraId="7106F749">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（2）APP端平台（提供APP端平台截图并对以下功能做出标注，要求图片质量清晰）</w:t>
            </w:r>
          </w:p>
          <w:p w14:paraId="1786B8A1">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a.平台提供课程资源库、素材资源库等模块，汇聚各渠道与本专业相关资料，针对专业领域用户群体提供服务；</w:t>
            </w:r>
          </w:p>
          <w:p w14:paraId="040CF33C">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b.课程资源库：提供多种课程形式，支持系统化和碎片化学习，提供课程检索功能，支持按照专业分类、适用专业等条件检索；</w:t>
            </w:r>
          </w:p>
          <w:p w14:paraId="269D5CD0">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c.素材资源库：提供素材检索功能，支持按照用户类型、媒体类型等条件检索；</w:t>
            </w:r>
          </w:p>
          <w:p w14:paraId="5737E642">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d.素材形式多样化：音频、视频、文档（不限于Word、PDF、PPT等格式）、图片、动画等；</w:t>
            </w:r>
          </w:p>
          <w:p w14:paraId="58441029">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e.课程涵盖课程介绍、课程大纲等模块，用户可以在加入课程后进行学习，可以对课程进行评价，给后来者选择该课程时做意见参考；</w:t>
            </w:r>
          </w:p>
          <w:p w14:paraId="1A553C9C">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f.提供笔记社交功能，学习过程支持记录笔记，支持发送笔记到课程讨论模块，可以在个人中心查看自己的全部笔记列表；</w:t>
            </w:r>
          </w:p>
          <w:p w14:paraId="0129DAEB">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g.智能跟踪用户学习历史。</w:t>
            </w:r>
          </w:p>
          <w:p w14:paraId="627AF835">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（3）学习资源（投标文件需提供以下</w:t>
            </w:r>
            <w:r>
              <w:rPr>
                <w:rFonts w:hint="eastAsia" w:ascii="宋体" w:hAnsi="宋体" w:eastAsia="宋体" w:cs="宋体"/>
                <w:snapToGrid w:val="0"/>
                <w:szCs w:val="21"/>
                <w:lang w:val="en-US" w:eastAsia="zh-CN"/>
              </w:rPr>
              <w:t>任两</w:t>
            </w:r>
            <w:r>
              <w:rPr>
                <w:rFonts w:hint="eastAsia" w:ascii="宋体" w:hAnsi="宋体" w:eastAsia="宋体" w:cs="宋体"/>
                <w:snapToGrid w:val="0"/>
                <w:szCs w:val="21"/>
              </w:rPr>
              <w:t>个课程的内容截图，要求图片质量清晰）</w:t>
            </w:r>
          </w:p>
          <w:p w14:paraId="28E585E2">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此部分学习资料全部是学习，内容主要是讲解各品牌PLC的指令与功能、编程规则，在讲解过程中并有些针对性案例程序讲解。包含以下内容：</w:t>
            </w:r>
          </w:p>
          <w:p w14:paraId="235860D0">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a.PLC控制技术理论与实践；</w:t>
            </w:r>
          </w:p>
          <w:p w14:paraId="545D18C2">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b.PLC控制系统编程与实现；</w:t>
            </w:r>
          </w:p>
          <w:p w14:paraId="472E349B">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c.工业组态控制技术；</w:t>
            </w:r>
          </w:p>
          <w:p w14:paraId="1F2838EA">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d.机电控制系统安装与调试；</w:t>
            </w:r>
          </w:p>
          <w:p w14:paraId="28446ABE">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e.电气控制与PLC技术；</w:t>
            </w:r>
          </w:p>
          <w:p w14:paraId="19CE21D4">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f.自动化生产线安装与调试；</w:t>
            </w:r>
          </w:p>
          <w:p w14:paraId="7BDEBBA7">
            <w:pPr>
              <w:autoSpaceDE w:val="0"/>
              <w:autoSpaceDN w:val="0"/>
              <w:adjustRightInd w:val="0"/>
              <w:snapToGrid w:val="0"/>
              <w:spacing w:line="288" w:lineRule="auto"/>
              <w:rPr>
                <w:rFonts w:hint="eastAsia" w:ascii="宋体" w:hAnsi="宋体" w:cs="宋体"/>
                <w:snapToGrid w:val="0"/>
                <w:szCs w:val="21"/>
              </w:rPr>
            </w:pPr>
            <w:r>
              <w:rPr>
                <w:rFonts w:hint="eastAsia" w:ascii="宋体" w:hAnsi="宋体" w:eastAsia="宋体" w:cs="宋体"/>
                <w:snapToGrid w:val="0"/>
                <w:szCs w:val="21"/>
              </w:rPr>
              <w:t>g.机电传动控制。</w:t>
            </w:r>
          </w:p>
        </w:tc>
        <w:tc>
          <w:tcPr>
            <w:tcW w:w="836" w:type="dxa"/>
            <w:noWrap w:val="0"/>
            <w:vAlign w:val="center"/>
          </w:tcPr>
          <w:p w14:paraId="79BFC65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836" w:type="dxa"/>
            <w:noWrap w:val="0"/>
            <w:vAlign w:val="center"/>
          </w:tcPr>
          <w:p w14:paraId="7FDB4DC9">
            <w:pPr>
              <w:jc w:val="center"/>
              <w:rPr>
                <w:rFonts w:hint="eastAsia" w:ascii="宋体" w:hAnsi="宋体" w:eastAsia="宋体" w:cs="宋体"/>
                <w:szCs w:val="21"/>
                <w:lang w:val="en-US" w:eastAsia="zh-CN"/>
              </w:rPr>
            </w:pPr>
            <w:r>
              <w:rPr>
                <w:rFonts w:hint="eastAsia" w:ascii="宋体" w:hAnsi="宋体" w:eastAsia="宋体" w:cs="宋体"/>
                <w:szCs w:val="21"/>
              </w:rPr>
              <w:t>1</w:t>
            </w:r>
          </w:p>
        </w:tc>
        <w:tc>
          <w:tcPr>
            <w:tcW w:w="1358" w:type="dxa"/>
            <w:noWrap w:val="0"/>
            <w:vAlign w:val="center"/>
          </w:tcPr>
          <w:p w14:paraId="629A370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软件和信息技术服务业</w:t>
            </w:r>
          </w:p>
        </w:tc>
      </w:tr>
      <w:tr w14:paraId="6909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14:paraId="7BA656DF">
            <w:pPr>
              <w:jc w:val="center"/>
              <w:rPr>
                <w:rFonts w:ascii="仿宋" w:hAnsi="仿宋" w:eastAsia="仿宋" w:cs="宋体"/>
                <w:szCs w:val="21"/>
              </w:rPr>
            </w:pPr>
            <w:r>
              <w:rPr>
                <w:rFonts w:hint="eastAsia" w:ascii="宋体" w:hAnsi="宋体" w:eastAsia="宋体" w:cs="宋体"/>
                <w:szCs w:val="21"/>
              </w:rPr>
              <w:t>2</w:t>
            </w:r>
          </w:p>
        </w:tc>
        <w:tc>
          <w:tcPr>
            <w:tcW w:w="736" w:type="dxa"/>
            <w:noWrap w:val="0"/>
            <w:vAlign w:val="center"/>
          </w:tcPr>
          <w:p w14:paraId="1E62A345">
            <w:pPr>
              <w:jc w:val="center"/>
              <w:rPr>
                <w:rFonts w:ascii="宋体" w:hAnsi="宋体" w:cs="宋体"/>
                <w:color w:val="000000"/>
                <w:sz w:val="24"/>
              </w:rPr>
            </w:pPr>
            <w:r>
              <w:rPr>
                <w:rFonts w:hint="eastAsia"/>
              </w:rPr>
              <w:t>电梯维保综合实训套件</w:t>
            </w:r>
          </w:p>
        </w:tc>
        <w:tc>
          <w:tcPr>
            <w:tcW w:w="5191" w:type="dxa"/>
            <w:noWrap w:val="0"/>
            <w:vAlign w:val="center"/>
          </w:tcPr>
          <w:p w14:paraId="08B814D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一．电梯井道维保实训装置</w:t>
            </w:r>
          </w:p>
          <w:p w14:paraId="13A790F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（一）、产品特点</w:t>
            </w:r>
          </w:p>
          <w:p w14:paraId="3A78309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1、采用了钢结构电梯井道平台设计，整体外观简洁明了；</w:t>
            </w:r>
          </w:p>
          <w:p w14:paraId="6394AA0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2、遵循了模块化的设计理念，根据电梯安装工艺要求进行教学实训的设计；</w:t>
            </w:r>
          </w:p>
          <w:p w14:paraId="23467CC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3、采用真实机构器件，使学生学到的与实际应用的一致；</w:t>
            </w:r>
          </w:p>
          <w:p w14:paraId="791E29D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4、模拟真实环境，使其安装工艺与实际安装一致，且能更方便的进行其维保项目的操作；</w:t>
            </w:r>
          </w:p>
          <w:p w14:paraId="59928BE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5、采用了手动葫芦拖动轿厢架和对重架在导轨上的运动，使演示与调试更加方便。</w:t>
            </w:r>
          </w:p>
          <w:p w14:paraId="5AD50C5B">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装置采用真实的电梯层门地坎、轿厢导轨、轿厢架、轿厢、轿厢门地坎、轿厢缓冲器、对重导轨、对重架、护栏、对重块、对重缓冲器等器件，学生借助电梯井道系统设计图在模拟井道顶部放样线并对井道设备按顺序进行安装与测量，使其符合规范要求，并通过轿厢架和对重架的上下运动模拟其在井道导轨上的运行并辅助检验导轨实际安装质量。</w:t>
            </w:r>
          </w:p>
          <w:p w14:paraId="6B7D874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（二）、技术指标</w:t>
            </w:r>
          </w:p>
          <w:p w14:paraId="6AEF226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1、外形尺寸：</w:t>
            </w:r>
            <w:r>
              <w:rPr>
                <w:rFonts w:hint="eastAsia" w:ascii="宋体" w:hAnsi="宋体" w:cs="宋体"/>
                <w:snapToGrid w:val="0"/>
                <w:szCs w:val="21"/>
                <w:lang w:val="en-US" w:eastAsia="zh-CN"/>
              </w:rPr>
              <w:t>约</w:t>
            </w:r>
            <w:r>
              <w:rPr>
                <w:rFonts w:hint="eastAsia" w:ascii="宋体" w:hAnsi="宋体" w:cs="宋体"/>
                <w:snapToGrid w:val="0"/>
                <w:szCs w:val="21"/>
              </w:rPr>
              <w:t>1500×1500×2200mm；</w:t>
            </w:r>
          </w:p>
          <w:p w14:paraId="053F206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2、平台承载：200Kg以上、有安全保护机构；</w:t>
            </w:r>
          </w:p>
          <w:p w14:paraId="21450CF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3、井道内尺寸：</w:t>
            </w:r>
            <w:r>
              <w:rPr>
                <w:rFonts w:hint="eastAsia" w:ascii="宋体" w:hAnsi="宋体" w:cs="宋体"/>
                <w:snapToGrid w:val="0"/>
                <w:szCs w:val="21"/>
                <w:lang w:val="en-US" w:eastAsia="zh-CN"/>
              </w:rPr>
              <w:t>约</w:t>
            </w:r>
            <w:r>
              <w:rPr>
                <w:rFonts w:hint="eastAsia" w:ascii="宋体" w:hAnsi="宋体" w:cs="宋体"/>
                <w:snapToGrid w:val="0"/>
                <w:szCs w:val="21"/>
              </w:rPr>
              <w:t>1400*1400，配置安装轿厢所需的支架；</w:t>
            </w:r>
          </w:p>
          <w:p w14:paraId="4C4F810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4、可拆卸轿厢，材质为优质钢板、板材基板厚度1.5mm，轿厢尺寸</w:t>
            </w:r>
            <w:r>
              <w:rPr>
                <w:rFonts w:hint="eastAsia" w:ascii="宋体" w:hAnsi="宋体" w:cs="宋体"/>
                <w:snapToGrid w:val="0"/>
                <w:szCs w:val="21"/>
                <w:lang w:val="en-US" w:eastAsia="zh-CN"/>
              </w:rPr>
              <w:t>约</w:t>
            </w:r>
            <w:r>
              <w:rPr>
                <w:rFonts w:hint="eastAsia" w:ascii="宋体" w:hAnsi="宋体" w:cs="宋体"/>
                <w:snapToGrid w:val="0"/>
                <w:szCs w:val="21"/>
              </w:rPr>
              <w:t>800×800×1200，亚光烤漆；</w:t>
            </w:r>
          </w:p>
          <w:p w14:paraId="5904F42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w:t>
            </w:r>
            <w:bookmarkStart w:id="0" w:name="OLE_LINK2"/>
            <w:bookmarkStart w:id="1" w:name="OLE_LINK3"/>
            <w:r>
              <w:rPr>
                <w:rFonts w:hint="eastAsia" w:ascii="宋体" w:hAnsi="宋体" w:cs="宋体"/>
                <w:snapToGrid w:val="0"/>
                <w:szCs w:val="21"/>
              </w:rPr>
              <w:t>配套有十层直梯仿真系统</w:t>
            </w:r>
            <w:bookmarkEnd w:id="0"/>
            <w:bookmarkEnd w:id="1"/>
            <w:r>
              <w:rPr>
                <w:rFonts w:hint="eastAsia" w:ascii="宋体" w:hAnsi="宋体" w:cs="宋体"/>
                <w:snapToGrid w:val="0"/>
                <w:szCs w:val="21"/>
              </w:rPr>
              <w:t>，</w:t>
            </w:r>
            <w:r>
              <w:rPr>
                <w:rFonts w:ascii="宋体" w:hAnsi="宋体" w:cs="宋体"/>
                <w:snapToGrid w:val="0"/>
                <w:szCs w:val="21"/>
              </w:rPr>
              <w:t>可向控制柜提供1～10楼的模拟井道信息</w:t>
            </w:r>
            <w:r>
              <w:rPr>
                <w:rFonts w:hint="eastAsia" w:ascii="宋体" w:hAnsi="宋体" w:cs="宋体"/>
                <w:snapToGrid w:val="0"/>
                <w:szCs w:val="21"/>
              </w:rPr>
              <w:t>（可进行硬件通讯功能）</w:t>
            </w:r>
            <w:r>
              <w:rPr>
                <w:rFonts w:ascii="宋体" w:hAnsi="宋体" w:cs="宋体"/>
                <w:snapToGrid w:val="0"/>
                <w:szCs w:val="21"/>
              </w:rPr>
              <w:t>，模拟井道信息可通过软件编程（其中电梯控</w:t>
            </w:r>
            <w:r>
              <w:rPr>
                <w:rFonts w:hint="eastAsia" w:ascii="宋体" w:hAnsi="宋体" w:eastAsia="宋体" w:cs="宋体"/>
                <w:snapToGrid w:val="0"/>
                <w:szCs w:val="21"/>
              </w:rPr>
              <w:t xml:space="preserve">制柜控制装置采用PLC）；（提供符合技术要求的软件截图）。 </w:t>
            </w:r>
          </w:p>
          <w:p w14:paraId="6A2FB80F">
            <w:pPr>
              <w:autoSpaceDE w:val="0"/>
              <w:autoSpaceDN w:val="0"/>
              <w:adjustRightInd w:val="0"/>
              <w:snapToGrid w:val="0"/>
              <w:spacing w:line="288" w:lineRule="auto"/>
              <w:rPr>
                <w:rFonts w:ascii="宋体" w:hAnsi="宋体" w:cs="宋体"/>
                <w:snapToGrid w:val="0"/>
                <w:szCs w:val="21"/>
              </w:rPr>
            </w:pPr>
            <w:bookmarkStart w:id="2" w:name="OLE_LINK4"/>
            <w:bookmarkStart w:id="3" w:name="OLE_LINK5"/>
            <w:r>
              <w:rPr>
                <w:rFonts w:ascii="宋体" w:hAnsi="宋体" w:cs="宋体"/>
                <w:snapToGrid w:val="0"/>
                <w:szCs w:val="21"/>
              </w:rPr>
              <w:t>6</w:t>
            </w:r>
            <w:r>
              <w:rPr>
                <w:rFonts w:hint="eastAsia" w:ascii="宋体" w:hAnsi="宋体" w:cs="宋体"/>
                <w:snapToGrid w:val="0"/>
                <w:szCs w:val="21"/>
              </w:rPr>
              <w:t>.</w:t>
            </w:r>
            <w:r>
              <w:rPr>
                <w:rFonts w:ascii="宋体" w:hAnsi="宋体" w:cs="宋体"/>
                <w:snapToGrid w:val="0"/>
                <w:szCs w:val="21"/>
              </w:rPr>
              <w:t>文化墙建设展板</w:t>
            </w:r>
            <w:bookmarkEnd w:id="2"/>
            <w:bookmarkEnd w:id="3"/>
            <w:r>
              <w:rPr>
                <w:rFonts w:ascii="宋体" w:hAnsi="宋体" w:cs="宋体"/>
                <w:snapToGrid w:val="0"/>
                <w:szCs w:val="21"/>
              </w:rPr>
              <w:t xml:space="preserve"> </w:t>
            </w:r>
          </w:p>
          <w:p w14:paraId="7A7311AF">
            <w:pPr>
              <w:autoSpaceDE w:val="0"/>
              <w:autoSpaceDN w:val="0"/>
              <w:adjustRightInd w:val="0"/>
              <w:snapToGrid w:val="0"/>
              <w:spacing w:line="288" w:lineRule="auto"/>
              <w:rPr>
                <w:rFonts w:hint="eastAsia" w:ascii="宋体" w:hAnsi="宋体" w:eastAsia="宋体" w:cs="宋体"/>
                <w:snapToGrid w:val="0"/>
                <w:szCs w:val="21"/>
              </w:rPr>
            </w:pPr>
            <w:r>
              <w:rPr>
                <w:rFonts w:ascii="宋体" w:hAnsi="宋体" w:cs="宋体"/>
                <w:snapToGrid w:val="0"/>
                <w:szCs w:val="21"/>
              </w:rPr>
              <w:t>包括：1、电梯的知识介绍；2、电梯的主要部件；3、电梯安全系统关联流程图；4、电梯的控制系统；</w:t>
            </w:r>
            <w:r>
              <w:rPr>
                <w:rFonts w:hint="eastAsia" w:ascii="宋体" w:hAnsi="宋体" w:cs="宋体"/>
                <w:snapToGrid w:val="0"/>
                <w:szCs w:val="21"/>
              </w:rPr>
              <w:t xml:space="preserve"> 5</w:t>
            </w:r>
            <w:r>
              <w:rPr>
                <w:rFonts w:ascii="宋体" w:hAnsi="宋体" w:cs="宋体"/>
                <w:snapToGrid w:val="0"/>
                <w:szCs w:val="21"/>
              </w:rPr>
              <w:t>、电梯安全操作规程；</w:t>
            </w:r>
            <w:r>
              <w:rPr>
                <w:rFonts w:hint="eastAsia" w:ascii="宋体" w:hAnsi="宋体" w:cs="宋体"/>
                <w:snapToGrid w:val="0"/>
                <w:szCs w:val="21"/>
              </w:rPr>
              <w:t>6</w:t>
            </w:r>
            <w:r>
              <w:rPr>
                <w:rFonts w:ascii="宋体" w:hAnsi="宋体" w:cs="宋体"/>
                <w:snapToGrid w:val="0"/>
                <w:szCs w:val="21"/>
              </w:rPr>
              <w:t>、</w:t>
            </w:r>
            <w:r>
              <w:rPr>
                <w:rFonts w:hint="eastAsia" w:ascii="宋体" w:hAnsi="宋体" w:cs="宋体"/>
                <w:snapToGrid w:val="0"/>
                <w:szCs w:val="21"/>
              </w:rPr>
              <w:t>电梯</w:t>
            </w:r>
            <w:r>
              <w:rPr>
                <w:rFonts w:ascii="宋体" w:hAnsi="宋体" w:cs="宋体"/>
                <w:snapToGrid w:val="0"/>
                <w:szCs w:val="21"/>
              </w:rPr>
              <w:t>实训室管理制度；规格尺寸：6</w:t>
            </w:r>
            <w:r>
              <w:rPr>
                <w:rFonts w:hint="eastAsia" w:ascii="宋体" w:hAnsi="宋体" w:eastAsia="宋体" w:cs="宋体"/>
                <w:snapToGrid w:val="0"/>
                <w:szCs w:val="21"/>
              </w:rPr>
              <w:t>00*800mm-1000*700mm；材质：a、展板中层为户外级PVC材质、里层为复合材料撑板、外层为PMMA80N高透亮亚克力板；b、装裱式样：外框采用铝合金，四边打孔固定安装。（提供上述序号1-4</w:t>
            </w:r>
            <w:r>
              <w:rPr>
                <w:rFonts w:hint="eastAsia" w:ascii="宋体" w:hAnsi="宋体" w:eastAsia="宋体" w:cs="宋体"/>
                <w:snapToGrid w:val="0"/>
                <w:szCs w:val="21"/>
                <w:lang w:val="en-US" w:eastAsia="zh-CN"/>
              </w:rPr>
              <w:t>其中一项</w:t>
            </w:r>
            <w:r>
              <w:rPr>
                <w:rFonts w:hint="eastAsia" w:ascii="宋体" w:hAnsi="宋体" w:eastAsia="宋体" w:cs="宋体"/>
                <w:snapToGrid w:val="0"/>
                <w:szCs w:val="21"/>
              </w:rPr>
              <w:t>的展板原图截图）</w:t>
            </w:r>
          </w:p>
          <w:p w14:paraId="5E93C448">
            <w:pPr>
              <w:autoSpaceDE w:val="0"/>
              <w:autoSpaceDN w:val="0"/>
              <w:adjustRightInd w:val="0"/>
              <w:snapToGrid w:val="0"/>
              <w:spacing w:line="288" w:lineRule="auto"/>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7.该项产品需为国家企业标准信息公共服务平台认证产品，需在标书内提供证明材料复印件。</w:t>
            </w:r>
          </w:p>
          <w:p w14:paraId="4D56415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（三）实训项目</w:t>
            </w:r>
          </w:p>
          <w:p w14:paraId="554789E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1、电梯井道的放样与测量；</w:t>
            </w:r>
          </w:p>
          <w:p w14:paraId="40702FC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2、电梯导轨支架与导轨的安装与调整；</w:t>
            </w:r>
          </w:p>
          <w:p w14:paraId="3C31595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3、电梯轿厢龙门架与导靴的安装与调整；</w:t>
            </w:r>
          </w:p>
          <w:p w14:paraId="655523A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4、电梯轿厢的安装；</w:t>
            </w:r>
          </w:p>
          <w:p w14:paraId="1CCA30FA">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5、电梯轿厢地坎的安装与调整；</w:t>
            </w:r>
          </w:p>
          <w:p w14:paraId="034A502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6、电梯对重架与导靴的安装与调整；</w:t>
            </w:r>
          </w:p>
          <w:p w14:paraId="542FE02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7、电梯对重块的安装；</w:t>
            </w:r>
          </w:p>
          <w:p w14:paraId="12CFA76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8、电梯对重护栏的安装与调整；</w:t>
            </w:r>
          </w:p>
          <w:p w14:paraId="5D989AB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9、电梯层门地坎的安装与调整；</w:t>
            </w:r>
          </w:p>
          <w:p w14:paraId="278AC54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10、电梯层门地坎与轿厢门地坎尺寸的调整；</w:t>
            </w:r>
          </w:p>
          <w:p w14:paraId="6D3D919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11、导轨与导靴的保养；</w:t>
            </w:r>
          </w:p>
          <w:p w14:paraId="4314A33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12、电梯轿厢对重在导轨上的滑动测试。</w:t>
            </w:r>
          </w:p>
          <w:p w14:paraId="76CDAFD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二．电梯门维保实训装置</w:t>
            </w:r>
          </w:p>
          <w:p w14:paraId="1AF50E2A">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（一）、产品特点</w:t>
            </w:r>
          </w:p>
          <w:p w14:paraId="3E19DFB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1、采用了钢结构的仿电梯井道平台设计，整体外观简洁明了；</w:t>
            </w:r>
          </w:p>
          <w:p w14:paraId="267375E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2、遵循了模块化的设计理念，根据电梯安装工艺要求进行教学实训式的设计；</w:t>
            </w:r>
          </w:p>
          <w:p w14:paraId="496F833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3、采用真实机构器件，使学生学到的与实际应用的一致；</w:t>
            </w:r>
          </w:p>
          <w:p w14:paraId="091795AB">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4、模拟真实环境，使其安装工艺与实际安装一致，且能更方便的进行其维保项目的操作；</w:t>
            </w:r>
          </w:p>
          <w:p w14:paraId="06DEAD9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装置采用真实的轿厢门、轿厢门地坎、轿厢门机构等器件，学生借助电梯门机构安装图在模拟井道及楼层中对这些器件进行安装与测量，使其符合规范要求，能够使学生直观地看到门机构的全部器件及整个机械动作过程，更有效地帮助学生掌握其工作原理。</w:t>
            </w:r>
          </w:p>
          <w:p w14:paraId="7B3995B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（二）、技术指标</w:t>
            </w:r>
          </w:p>
          <w:p w14:paraId="3DDD80C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1、外形尺寸：约1200×600×1700mm；</w:t>
            </w:r>
          </w:p>
          <w:p w14:paraId="3F6ADD1E">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2、自动门材质：优质钢板、有安全保护机构；</w:t>
            </w:r>
          </w:p>
          <w:p w14:paraId="7121E14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3、整机重量：≤200KG</w:t>
            </w:r>
          </w:p>
          <w:p w14:paraId="32D5330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（三）、实训项目</w:t>
            </w:r>
          </w:p>
          <w:p w14:paraId="61E3C98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1、电梯轿厢门地坎的安装与调整；</w:t>
            </w:r>
          </w:p>
          <w:p w14:paraId="4943662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2、电梯门机构的安装与调整；</w:t>
            </w:r>
          </w:p>
          <w:p w14:paraId="1D39EA4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3、电梯轿门的安装与调整；</w:t>
            </w:r>
          </w:p>
          <w:p w14:paraId="52532C7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4、门刀的安装与调试；</w:t>
            </w:r>
          </w:p>
          <w:p w14:paraId="7FF3D2DE">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5、电梯门机参数的设置与调试；</w:t>
            </w:r>
          </w:p>
          <w:p w14:paraId="18970FF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6、电梯开关门的调试；</w:t>
            </w:r>
          </w:p>
          <w:p w14:paraId="66C00B8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7、电梯门系统的保养。</w:t>
            </w:r>
          </w:p>
          <w:p w14:paraId="5B1C131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三．电梯电气控制维保实训装置</w:t>
            </w:r>
          </w:p>
          <w:p w14:paraId="180A621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（一）、产品特点</w:t>
            </w:r>
          </w:p>
          <w:p w14:paraId="5D30280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1、采用“L”形支架结构能够减少占地面积，同时多台并排布置时能够形成实训室工位式布局；</w:t>
            </w:r>
          </w:p>
          <w:p w14:paraId="150090A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2、采用真实的电梯总电源箱和微机控制柜，使学生学到的与实际应用的一致；</w:t>
            </w:r>
          </w:p>
          <w:p w14:paraId="10954A3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3、采用模拟器件嵌入电梯井道结构图形的形式，使调试运行过程更加简单直观；</w:t>
            </w:r>
          </w:p>
          <w:p w14:paraId="1AC836B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4、采用高绝缘的安全型插座与带绝缘护套的高强度安全型插线，可区分强、弱电流的不同规格的插座与插线，确保操作人员的安全。</w:t>
            </w:r>
          </w:p>
          <w:p w14:paraId="26E29B4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（二）、技术参数</w:t>
            </w:r>
          </w:p>
          <w:p w14:paraId="298CCDF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1、电源输入：三相五线 AC380V 50Hz；</w:t>
            </w:r>
          </w:p>
          <w:p w14:paraId="6B834B8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2、安全保护：接地，漏电（动作电流≤30mA），过压，过载，短路；</w:t>
            </w:r>
          </w:p>
          <w:p w14:paraId="40E3A0E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3、整机功耗：≤0.75KW；</w:t>
            </w:r>
          </w:p>
          <w:p w14:paraId="4A428EA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4、整机重量：≤150KG；</w:t>
            </w:r>
          </w:p>
          <w:p w14:paraId="2FF44DC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5、外形尺寸：</w:t>
            </w:r>
            <w:r>
              <w:rPr>
                <w:rFonts w:hint="eastAsia" w:ascii="宋体" w:hAnsi="宋体" w:cs="宋体"/>
                <w:snapToGrid w:val="0"/>
                <w:szCs w:val="21"/>
                <w:lang w:val="en-US" w:eastAsia="zh-CN"/>
              </w:rPr>
              <w:t>约</w:t>
            </w:r>
            <w:r>
              <w:rPr>
                <w:rFonts w:hint="eastAsia" w:ascii="宋体" w:hAnsi="宋体" w:cs="宋体"/>
                <w:snapToGrid w:val="0"/>
                <w:szCs w:val="21"/>
              </w:rPr>
              <w:t>1600mm×1400mm×2000mm（长×宽×高）。</w:t>
            </w:r>
          </w:p>
          <w:p w14:paraId="46EC93F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6、模拟梯：3层3站，尺寸</w:t>
            </w:r>
            <w:r>
              <w:rPr>
                <w:rFonts w:hint="eastAsia" w:ascii="宋体" w:hAnsi="宋体" w:cs="宋体"/>
                <w:snapToGrid w:val="0"/>
                <w:szCs w:val="21"/>
                <w:lang w:val="en-US" w:eastAsia="zh-CN"/>
              </w:rPr>
              <w:t>约</w:t>
            </w:r>
            <w:r>
              <w:rPr>
                <w:rFonts w:hint="eastAsia" w:ascii="宋体" w:hAnsi="宋体" w:cs="宋体"/>
                <w:snapToGrid w:val="0"/>
                <w:szCs w:val="21"/>
              </w:rPr>
              <w:t>800*480*2100mm（长×宽×高）；轿厢、曳引机、配置、控制按钮配置齐全。</w:t>
            </w:r>
          </w:p>
          <w:p w14:paraId="7146317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（三）、实训项目</w:t>
            </w:r>
          </w:p>
          <w:p w14:paraId="6B9B719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1、电梯电气照明回路的连接与调试；</w:t>
            </w:r>
          </w:p>
          <w:p w14:paraId="3C46D3CA">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2、电梯电气安全回路实训项目</w:t>
            </w:r>
          </w:p>
          <w:p w14:paraId="1BFD73AE">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3</w:t>
            </w:r>
            <w:r>
              <w:rPr>
                <w:rFonts w:hint="default" w:ascii="宋体" w:hAnsi="宋体" w:eastAsia="宋体" w:cs="宋体"/>
                <w:b w:val="0"/>
                <w:bCs w:val="0"/>
                <w:i w:val="0"/>
                <w:iCs w:val="0"/>
                <w:snapToGrid w:val="0"/>
                <w:color w:val="auto"/>
                <w:kern w:val="2"/>
                <w:sz w:val="21"/>
                <w:szCs w:val="21"/>
                <w:highlight w:val="none"/>
                <w:vertAlign w:val="baseline"/>
                <w:lang w:val="en-US" w:eastAsia="zh-CN" w:bidi="ar-SA"/>
              </w:rPr>
              <w:t>、</w:t>
            </w:r>
            <w:r>
              <w:rPr>
                <w:rFonts w:hint="eastAsia" w:ascii="宋体" w:hAnsi="宋体" w:cs="宋体"/>
                <w:snapToGrid w:val="0"/>
                <w:szCs w:val="21"/>
              </w:rPr>
              <w:t>电梯电气主控回路的连接与调试；</w:t>
            </w:r>
          </w:p>
          <w:p w14:paraId="5B335F74">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4</w:t>
            </w:r>
            <w:r>
              <w:rPr>
                <w:rFonts w:hint="default" w:ascii="宋体" w:hAnsi="宋体" w:eastAsia="宋体" w:cs="宋体"/>
                <w:b w:val="0"/>
                <w:bCs w:val="0"/>
                <w:i w:val="0"/>
                <w:iCs w:val="0"/>
                <w:snapToGrid w:val="0"/>
                <w:color w:val="auto"/>
                <w:kern w:val="2"/>
                <w:sz w:val="21"/>
                <w:szCs w:val="21"/>
                <w:highlight w:val="none"/>
                <w:vertAlign w:val="baseline"/>
                <w:lang w:val="en-US" w:eastAsia="zh-CN" w:bidi="ar-SA"/>
              </w:rPr>
              <w:t>、</w:t>
            </w:r>
            <w:r>
              <w:rPr>
                <w:rFonts w:hint="eastAsia" w:ascii="宋体" w:hAnsi="宋体" w:cs="宋体"/>
                <w:snapToGrid w:val="0"/>
                <w:szCs w:val="21"/>
              </w:rPr>
              <w:t>电梯电气安全回路的连接与调试；</w:t>
            </w:r>
          </w:p>
          <w:p w14:paraId="30A573AF">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5</w:t>
            </w:r>
            <w:r>
              <w:rPr>
                <w:rFonts w:hint="eastAsia" w:ascii="宋体" w:hAnsi="宋体" w:cs="宋体"/>
                <w:snapToGrid w:val="0"/>
                <w:szCs w:val="21"/>
                <w:lang w:val="en-US" w:eastAsia="zh-CN"/>
              </w:rPr>
              <w:t>、</w:t>
            </w:r>
            <w:r>
              <w:rPr>
                <w:rFonts w:hint="eastAsia" w:ascii="宋体" w:hAnsi="宋体" w:cs="宋体"/>
                <w:snapToGrid w:val="0"/>
                <w:szCs w:val="21"/>
              </w:rPr>
              <w:t>电梯曳引机组的连接与调试；</w:t>
            </w:r>
          </w:p>
          <w:p w14:paraId="6F14DBE4">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6</w:t>
            </w:r>
            <w:r>
              <w:rPr>
                <w:rFonts w:hint="eastAsia" w:ascii="宋体" w:hAnsi="宋体" w:cs="宋体"/>
                <w:snapToGrid w:val="0"/>
                <w:szCs w:val="21"/>
                <w:lang w:val="en-US" w:eastAsia="zh-CN"/>
              </w:rPr>
              <w:t>、</w:t>
            </w:r>
            <w:r>
              <w:rPr>
                <w:rFonts w:hint="eastAsia" w:ascii="宋体" w:hAnsi="宋体" w:cs="宋体"/>
                <w:snapToGrid w:val="0"/>
                <w:szCs w:val="21"/>
              </w:rPr>
              <w:t>检修回路、制动与运行实训项目</w:t>
            </w:r>
          </w:p>
          <w:p w14:paraId="5476D56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7、实物电梯控制器故障码的查询与检修。</w:t>
            </w:r>
          </w:p>
          <w:p w14:paraId="5A01244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四．电梯曳引机维保实训装置</w:t>
            </w:r>
          </w:p>
          <w:p w14:paraId="7CC4A26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（一）、概述</w:t>
            </w:r>
          </w:p>
          <w:p w14:paraId="62B8FBD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电梯曳引系统的作用是产生输出动力，通过曳引力驱动轿厢的运行。曳引系统主要由曳引电动机、减速箱、电磁制动器、曳引轮、导向轮、曳引钢丝绳等部件组成。</w:t>
            </w:r>
          </w:p>
          <w:p w14:paraId="3EE981A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曳引系统又称曳引机，为电梯运行提供动力，曳引轿厢运行。曳引机主要由曳引电动机、减速箱、电磁制动器、曳引轮、导向轮、曳引钢丝绳和机座等部分组成。曳引机通过曳引钢丝绳经导向轮将轿厢和对重装置连接，其输出转矩通过曳引钢丝绳传送给电梯轿厢，驱动力通过曳引绳与绳轮之间的摩擦力产生。</w:t>
            </w:r>
          </w:p>
          <w:p w14:paraId="3840167F">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（二）、结构特点</w:t>
            </w:r>
          </w:p>
          <w:p w14:paraId="46C25C5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1、采用了钢结构电梯模拟井道平台设计，整体外观简洁明了；</w:t>
            </w:r>
          </w:p>
          <w:p w14:paraId="16D7569F">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2、遵循了模块化的设计理念，根据电梯安装工艺要求进行教学实训式的设计；</w:t>
            </w:r>
          </w:p>
          <w:p w14:paraId="054070E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3、采用真实机构器件，使学生学到的与实际应用的一致；</w:t>
            </w:r>
          </w:p>
          <w:p w14:paraId="1285BAE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4、模拟真实环境，使其安装工艺与实际安装一致，且能更方便的进行其维保项目的操作。</w:t>
            </w:r>
          </w:p>
          <w:p w14:paraId="1576C2B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5、装置采用真实的部件。特殊的框架设计能够使学生更直观地了解曳引系统的结构，更有</w:t>
            </w:r>
          </w:p>
          <w:p w14:paraId="0C9421A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效地帮助学生掌握其工作原理，更方便的进行实际安装与保养。通过该装置，也可进行</w:t>
            </w:r>
          </w:p>
          <w:p w14:paraId="7B9D680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电梯人工盘车练习，掌握其要点。另外学生也可根据相关图纸要求，借助模拟井道框进</w:t>
            </w:r>
          </w:p>
          <w:p w14:paraId="1C09CF7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行电梯井道放样与导轨安装。</w:t>
            </w:r>
          </w:p>
          <w:p w14:paraId="1C07B88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（三）、技术指标</w:t>
            </w:r>
          </w:p>
          <w:p w14:paraId="4AD7361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1、整机重量：≤300kg；</w:t>
            </w:r>
          </w:p>
          <w:p w14:paraId="168F587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2、外形尺寸：约1200mm×600mm×1800mm（长×宽×高）；</w:t>
            </w:r>
          </w:p>
          <w:p w14:paraId="6B0AB9C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3、下行机械动作速度：≤0.75m/s；</w:t>
            </w:r>
          </w:p>
          <w:p w14:paraId="7F52615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4、曳引机额定速度：约0.4m/s；</w:t>
            </w:r>
          </w:p>
          <w:p w14:paraId="401D57C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5、曳引机额定载重：≤500kg；</w:t>
            </w:r>
          </w:p>
          <w:p w14:paraId="4B1ED6FA">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6、曳引机防护等级：IP41；</w:t>
            </w:r>
          </w:p>
          <w:p w14:paraId="7392D33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（四）、实训项目</w:t>
            </w:r>
          </w:p>
          <w:p w14:paraId="06E9783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1、曳引机架的安装与调整；</w:t>
            </w:r>
          </w:p>
          <w:p w14:paraId="21F5CCB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2、曳引机的安装与调整；</w:t>
            </w:r>
          </w:p>
          <w:p w14:paraId="2585DD0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3、涨紧装置的安装与调整；</w:t>
            </w:r>
          </w:p>
          <w:p w14:paraId="502B2CB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4、曳引机的保养；</w:t>
            </w:r>
          </w:p>
          <w:p w14:paraId="0B97F95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5、人工盘车的练习。</w:t>
            </w:r>
          </w:p>
          <w:p w14:paraId="0C29963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五．电梯厅门维保实训装置</w:t>
            </w:r>
          </w:p>
          <w:p w14:paraId="4EA75AB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（一）、装置概述</w:t>
            </w:r>
          </w:p>
          <w:p w14:paraId="192E275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电梯厅门维保实训装置（自带重力向下锁紧式自动门锁），水平移动中分式厅门，从动门之间有门钢丝绳联系；开门时，左右门扇以相同的速度向两侧滑动；关门时，则以相同的速度向中间合拢。装在单侧轿门上的联动装置与厅门主动门联动，通过钢丝绳带动从动门，实现门的开关动作。</w:t>
            </w:r>
          </w:p>
          <w:p w14:paraId="15D7D0E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（二）、技术指标</w:t>
            </w:r>
          </w:p>
          <w:p w14:paraId="5CA5EA2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1、整机重量：≤150kg；</w:t>
            </w:r>
          </w:p>
          <w:p w14:paraId="336D0C8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2、外形尺寸：约1200mm×600mm×1700mm（长×宽×高）；</w:t>
            </w:r>
          </w:p>
          <w:p w14:paraId="0F86567F">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（三）、实训项目</w:t>
            </w:r>
          </w:p>
          <w:p w14:paraId="78FE784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1、电梯层门地坎的安装与调整；</w:t>
            </w:r>
          </w:p>
          <w:p w14:paraId="34403FB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2、电梯层门地坎与轿厢门地坎尺寸的调整；</w:t>
            </w:r>
          </w:p>
          <w:p w14:paraId="356AE0D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六．电梯轨道维保实训装置</w:t>
            </w:r>
          </w:p>
          <w:p w14:paraId="3E483A3E">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（一）、装置概述</w:t>
            </w:r>
          </w:p>
          <w:p w14:paraId="0BE2F33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电梯轨道维保实训设备，适用于职业学校、中职院校电梯技术专业学员进行电梯轨道维修、保修、学校等实训内容。包括实训架、轨道、实训工具等内容。</w:t>
            </w:r>
          </w:p>
          <w:p w14:paraId="3E7F99B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（二）、技术指标</w:t>
            </w:r>
          </w:p>
          <w:p w14:paraId="55E8CA7E">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1、整机重量：≤150kg；</w:t>
            </w:r>
          </w:p>
          <w:p w14:paraId="389D6ABA">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2、外形尺寸：</w:t>
            </w:r>
            <w:r>
              <w:rPr>
                <w:rFonts w:hint="eastAsia" w:ascii="宋体" w:hAnsi="宋体" w:cs="宋体"/>
                <w:snapToGrid w:val="0"/>
                <w:szCs w:val="21"/>
                <w:lang w:val="en-US" w:eastAsia="zh-CN"/>
              </w:rPr>
              <w:t>约</w:t>
            </w:r>
            <w:r>
              <w:rPr>
                <w:rFonts w:hint="eastAsia" w:ascii="宋体" w:hAnsi="宋体" w:cs="宋体"/>
                <w:snapToGrid w:val="0"/>
                <w:szCs w:val="21"/>
              </w:rPr>
              <w:t>1200mm×800mm×1800mm（长×宽×高）；</w:t>
            </w:r>
          </w:p>
          <w:p w14:paraId="666AFB0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（三）、实训项目</w:t>
            </w:r>
          </w:p>
          <w:p w14:paraId="1699F12F">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1、T型导轨（轿厢导轨）安装与调整；</w:t>
            </w:r>
          </w:p>
          <w:p w14:paraId="7EECD37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3、T型导轨上导靴的安装；</w:t>
            </w:r>
          </w:p>
          <w:p w14:paraId="08284F2B">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4、T型导轨下导靴的安装；</w:t>
            </w:r>
          </w:p>
          <w:p w14:paraId="10F6001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5、导轨与导靴的保养；</w:t>
            </w:r>
          </w:p>
          <w:p w14:paraId="40617BBB">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七．电梯安全钳维保实训装置</w:t>
            </w:r>
          </w:p>
          <w:p w14:paraId="7B494AAA">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（一）、装置概述</w:t>
            </w:r>
          </w:p>
          <w:p w14:paraId="0EE8EFB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电梯安全钳维保实训装置，适用于职业学校、中职院校电梯技术专业学员进行电梯安全钳调整实训。包括实训架、安全钳、实训工具等。</w:t>
            </w:r>
          </w:p>
          <w:p w14:paraId="0A2786E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（二）、技术指标</w:t>
            </w:r>
          </w:p>
          <w:p w14:paraId="6BD1F1F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1、整机重量：≤150kg；</w:t>
            </w:r>
          </w:p>
          <w:p w14:paraId="0A56FF6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2、外形尺寸：</w:t>
            </w:r>
            <w:r>
              <w:rPr>
                <w:rFonts w:hint="eastAsia" w:ascii="宋体" w:hAnsi="宋体" w:cs="宋体"/>
                <w:snapToGrid w:val="0"/>
                <w:szCs w:val="21"/>
                <w:lang w:val="en-US" w:eastAsia="zh-CN"/>
              </w:rPr>
              <w:t>约</w:t>
            </w:r>
            <w:r>
              <w:rPr>
                <w:rFonts w:hint="eastAsia" w:ascii="宋体" w:hAnsi="宋体" w:cs="宋体"/>
                <w:snapToGrid w:val="0"/>
                <w:szCs w:val="21"/>
              </w:rPr>
              <w:t>1200mm×800mm×1800mm（长×宽×高）；</w:t>
            </w:r>
          </w:p>
          <w:p w14:paraId="45916C3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（三）、实训项目</w:t>
            </w:r>
          </w:p>
          <w:p w14:paraId="17A69D1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1、安全钳连杆的安装；</w:t>
            </w:r>
          </w:p>
          <w:p w14:paraId="161350B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2、安全钳与下导靴的调整；</w:t>
            </w:r>
          </w:p>
          <w:p w14:paraId="3390EAB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3、安全钳的保养；</w:t>
            </w:r>
          </w:p>
          <w:p w14:paraId="369F0D2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八．电梯绳头锥套维保实训装置</w:t>
            </w:r>
          </w:p>
          <w:p w14:paraId="09F7CE1E">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（一）、装置概述</w:t>
            </w:r>
          </w:p>
          <w:p w14:paraId="6B7BD93F">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该装置主要有实训架、钢绳、锥套、绳头板、拉杆、组合铆钉、弹簧、楔形板等部分组成，主要器件均采用真实电梯部件。导轨接头处强度和刚度足以承受电梯的偏重力及安全钳动作时的冲击力。接头处的定位质量要求榫头完全楔入楔槽，且连接后接头处不应存在连续缝隙。</w:t>
            </w:r>
          </w:p>
          <w:p w14:paraId="3298B64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（二）、技术指标</w:t>
            </w:r>
          </w:p>
          <w:p w14:paraId="2952ABE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1、整机重量：≤150kg；</w:t>
            </w:r>
          </w:p>
          <w:p w14:paraId="04B47D4F">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2、外形尺寸：</w:t>
            </w:r>
            <w:r>
              <w:rPr>
                <w:rFonts w:hint="eastAsia" w:ascii="宋体" w:hAnsi="宋体" w:cs="宋体"/>
                <w:snapToGrid w:val="0"/>
                <w:szCs w:val="21"/>
                <w:lang w:val="en-US" w:eastAsia="zh-CN"/>
              </w:rPr>
              <w:t>约</w:t>
            </w:r>
            <w:r>
              <w:rPr>
                <w:rFonts w:hint="eastAsia" w:ascii="宋体" w:hAnsi="宋体" w:cs="宋体"/>
                <w:snapToGrid w:val="0"/>
                <w:szCs w:val="21"/>
              </w:rPr>
              <w:t>1200mm×800mm×1800mm（长×宽×高）；</w:t>
            </w:r>
          </w:p>
          <w:p w14:paraId="3F78061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（三）、实训项目</w:t>
            </w:r>
          </w:p>
          <w:p w14:paraId="5D91C62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1、曳引绳的悬挂；</w:t>
            </w:r>
          </w:p>
          <w:p w14:paraId="329F626A">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2、涨紧装置的安装与调整；</w:t>
            </w:r>
          </w:p>
          <w:p w14:paraId="47F3CD8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3、曳引绳的保养；</w:t>
            </w:r>
          </w:p>
          <w:p w14:paraId="305132D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九．电梯导轨垂直度测量仪</w:t>
            </w:r>
          </w:p>
          <w:p w14:paraId="17AEF37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产品概述</w:t>
            </w:r>
          </w:p>
          <w:p w14:paraId="48DAAD4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电梯导轨垂直度检测仪是光、机、电集于一身的高精度激光仪器。它是由激光器、光学准直系统、自动补偿系统、供电电源和电路系统以及包括专用卡具、调整手轮、圆水泡、外壳等机械部分所组成。它与数显光靶或其它光靶组成一个完整的电梯导轨测量系统。</w:t>
            </w:r>
          </w:p>
          <w:p w14:paraId="20F0E6E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电梯导轨垂直度检测仪采用直流电源，既方便又安全。</w:t>
            </w:r>
          </w:p>
          <w:p w14:paraId="0E7D17CB">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电梯导轨垂直度检测仪可供选择的配置及精度等级，设置了不同的精度等级和配置，用户可根据需要进行选择，本公司还可根据用户的特殊要求进行设计、制造。</w:t>
            </w:r>
          </w:p>
          <w:p w14:paraId="326D4AF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电梯导轨垂直度检测仪具有与电梯导轨牢固、方便的装卡接口，配有安全绳以防仪器坠落，并设置了主机与三角架的安装接口，以解决在其它场合的测量工作。</w:t>
            </w:r>
          </w:p>
          <w:p w14:paraId="60823C1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主机重量轻，便于携带。作为进行导轨垂直度和直线度的测量系统，显然除了主机外，其接收装置的性能将对整个系统的测量精度产生影响。 数显光靶经过科学地设计，集光机电与一身。它是由卡尺、数显游标、棱镜、分划板、托盘、激光指向器、专门的供电电源和电路系统以及专用卡具等机械部件组成，形成接收、发射激光两个系统的多功能数显光靶。</w:t>
            </w:r>
          </w:p>
          <w:p w14:paraId="1C4FE50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十．电梯限速器测试仪</w:t>
            </w:r>
          </w:p>
          <w:p w14:paraId="1C56EEA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产品概述</w:t>
            </w:r>
          </w:p>
          <w:p w14:paraId="70A5D91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电梯限速器测试仪是根据电梯安全检测的要求而研制开发的最新型便携式现场测试仪器，适用于电梯限速器的现场测试以及电梯和限速器生产厂家在生产线上测试使用。</w:t>
            </w:r>
          </w:p>
          <w:p w14:paraId="3ED0ABC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产品功能</w:t>
            </w:r>
          </w:p>
          <w:p w14:paraId="3ED9EB1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1、可测量动作速度范围广，适用于国内常见的多种限速器；</w:t>
            </w:r>
          </w:p>
          <w:p w14:paraId="0E322D4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2、可测量含有电触点开关的限速器在其开关动作时的限速器轮盘线速度；</w:t>
            </w:r>
          </w:p>
          <w:p w14:paraId="151A6B8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3、能自动捕捉限速器的动作速度，并立即停止电机的转动；</w:t>
            </w:r>
          </w:p>
          <w:p w14:paraId="2CBAD94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4、可打印出限速器的动作速度（包括电触点开关动作时轮盘线速度），并可重复打印；</w:t>
            </w:r>
          </w:p>
          <w:p w14:paraId="3F1836DB">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5、可选配不同转矩（功率）的电机，以满足各种限速器的检测要求；</w:t>
            </w:r>
          </w:p>
          <w:p w14:paraId="2C45BEF0">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6、可设置日期和时间，有掉电记忆功能。</w:t>
            </w:r>
          </w:p>
          <w:p w14:paraId="062BD04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7、可存储多组测试数据和相关信息，并可实时查询内存状态。</w:t>
            </w:r>
          </w:p>
          <w:p w14:paraId="1AE3E10B">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8、液晶显示，菜单化管理。</w:t>
            </w:r>
          </w:p>
          <w:p w14:paraId="23B82C5B">
            <w:pPr>
              <w:autoSpaceDE w:val="0"/>
              <w:autoSpaceDN w:val="0"/>
              <w:adjustRightInd w:val="0"/>
              <w:snapToGrid w:val="0"/>
              <w:spacing w:line="288" w:lineRule="auto"/>
              <w:rPr>
                <w:rFonts w:hint="eastAsia" w:ascii="宋体" w:hAnsi="宋体" w:eastAsia="宋体" w:cs="宋体"/>
                <w:snapToGrid w:val="0"/>
                <w:color w:val="FF0000"/>
                <w:szCs w:val="21"/>
              </w:rPr>
            </w:pPr>
            <w:r>
              <w:rPr>
                <w:rFonts w:hint="eastAsia" w:ascii="宋体" w:hAnsi="宋体" w:eastAsia="宋体" w:cs="宋体"/>
                <w:snapToGrid w:val="0"/>
                <w:szCs w:val="21"/>
                <w:lang w:val="en-US" w:eastAsia="zh-CN"/>
              </w:rPr>
              <w:t>十一</w:t>
            </w:r>
            <w:r>
              <w:rPr>
                <w:rFonts w:hint="eastAsia" w:ascii="宋体" w:hAnsi="宋体" w:eastAsia="宋体" w:cs="宋体"/>
                <w:snapToGrid w:val="0"/>
                <w:szCs w:val="21"/>
              </w:rPr>
              <w:t>.实训室设备监控平台（提供看板功能相应的截图</w:t>
            </w:r>
            <w:r>
              <w:rPr>
                <w:rFonts w:hint="eastAsia" w:ascii="宋体" w:hAnsi="宋体" w:eastAsia="宋体" w:cs="宋体"/>
                <w:snapToGrid w:val="0"/>
                <w:szCs w:val="21"/>
                <w:lang w:eastAsia="zh-CN"/>
              </w:rPr>
              <w:t>，</w:t>
            </w:r>
            <w:r>
              <w:rPr>
                <w:rFonts w:hint="eastAsia" w:ascii="宋体" w:hAnsi="宋体" w:eastAsia="宋体" w:cs="宋体"/>
                <w:snapToGrid w:val="0"/>
                <w:szCs w:val="21"/>
              </w:rPr>
              <w:t>要求图片质量清晰）</w:t>
            </w:r>
          </w:p>
          <w:p w14:paraId="542873B0">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（1）基础数据</w:t>
            </w:r>
          </w:p>
          <w:p w14:paraId="1B6D6D3F">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a.人员管理：用户可以利用人员管理模块维护班级内的人员基本信息；</w:t>
            </w:r>
          </w:p>
          <w:p w14:paraId="21512482">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b.设备管理：同步和维护设备信息；</w:t>
            </w:r>
          </w:p>
          <w:p w14:paraId="374B236E">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c.班制配置：配置看板的显示内容及显示方式。</w:t>
            </w:r>
          </w:p>
          <w:p w14:paraId="16E64E61">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(2)权限管理</w:t>
            </w:r>
          </w:p>
          <w:p w14:paraId="63FA6EF6">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a.角色类别管理：定义管理角色类别信息；</w:t>
            </w:r>
          </w:p>
          <w:p w14:paraId="55F1C1A3">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b.角色管理：定义管理实训室内角色信息；</w:t>
            </w:r>
          </w:p>
          <w:p w14:paraId="10CE6D0E">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c.角色权限配置：配置角色与功能的权限对应关系；</w:t>
            </w:r>
          </w:p>
          <w:p w14:paraId="403D63B7">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d.人员授权：管理系统内帐号的权限信息，可以对系统帐号设置可访问模块。</w:t>
            </w:r>
          </w:p>
          <w:p w14:paraId="32A8E29E">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（3）看板</w:t>
            </w:r>
          </w:p>
          <w:p w14:paraId="08A6F4F6">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设备看板：展示设备信息以及设备的详细状态信息。</w:t>
            </w:r>
          </w:p>
          <w:p w14:paraId="4F5F1B3B">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(4)查询统计</w:t>
            </w:r>
          </w:p>
          <w:p w14:paraId="65A052B8">
            <w:pPr>
              <w:autoSpaceDE w:val="0"/>
              <w:autoSpaceDN w:val="0"/>
              <w:adjustRightInd w:val="0"/>
              <w:snapToGrid w:val="0"/>
              <w:spacing w:line="288" w:lineRule="auto"/>
              <w:rPr>
                <w:rFonts w:hint="eastAsia" w:ascii="宋体" w:hAnsi="宋体" w:cs="宋体"/>
                <w:snapToGrid w:val="0"/>
                <w:szCs w:val="21"/>
              </w:rPr>
            </w:pPr>
            <w:r>
              <w:rPr>
                <w:rFonts w:hint="eastAsia" w:ascii="宋体" w:hAnsi="宋体" w:eastAsia="宋体" w:cs="宋体"/>
                <w:snapToGrid w:val="0"/>
                <w:szCs w:val="21"/>
              </w:rPr>
              <w:t>设备时长统计：统计设备每日的各状态时长情况。</w:t>
            </w:r>
          </w:p>
        </w:tc>
        <w:tc>
          <w:tcPr>
            <w:tcW w:w="836" w:type="dxa"/>
            <w:noWrap w:val="0"/>
            <w:vAlign w:val="center"/>
          </w:tcPr>
          <w:p w14:paraId="07549335">
            <w:pPr>
              <w:jc w:val="center"/>
              <w:rPr>
                <w:rFonts w:hint="eastAsia" w:ascii="宋体" w:hAnsi="宋体" w:eastAsia="宋体" w:cs="宋体"/>
                <w:szCs w:val="21"/>
                <w:lang w:val="en-US" w:eastAsia="zh-CN"/>
              </w:rPr>
            </w:pPr>
            <w:r>
              <w:rPr>
                <w:rFonts w:hint="eastAsia" w:ascii="宋体" w:hAnsi="宋体" w:cs="宋体"/>
                <w:szCs w:val="21"/>
                <w:lang w:val="en-US" w:eastAsia="zh-CN"/>
              </w:rPr>
              <w:t>套</w:t>
            </w:r>
          </w:p>
        </w:tc>
        <w:tc>
          <w:tcPr>
            <w:tcW w:w="836" w:type="dxa"/>
            <w:noWrap w:val="0"/>
            <w:vAlign w:val="center"/>
          </w:tcPr>
          <w:p w14:paraId="0A04BF7D">
            <w:pPr>
              <w:jc w:val="center"/>
              <w:rPr>
                <w:rFonts w:hint="eastAsia" w:ascii="宋体" w:hAnsi="宋体" w:cs="宋体"/>
                <w:szCs w:val="21"/>
              </w:rPr>
            </w:pPr>
            <w:r>
              <w:rPr>
                <w:rFonts w:hint="eastAsia" w:ascii="宋体" w:hAnsi="宋体" w:cs="宋体"/>
                <w:szCs w:val="21"/>
              </w:rPr>
              <w:t>1</w:t>
            </w:r>
          </w:p>
        </w:tc>
        <w:tc>
          <w:tcPr>
            <w:tcW w:w="1358" w:type="dxa"/>
            <w:noWrap w:val="0"/>
            <w:vAlign w:val="center"/>
          </w:tcPr>
          <w:p w14:paraId="4F6DB93A">
            <w:pPr>
              <w:jc w:val="center"/>
              <w:rPr>
                <w:rFonts w:hint="default" w:ascii="宋体" w:hAnsi="宋体" w:cs="宋体" w:eastAsiaTheme="minorEastAsia"/>
                <w:szCs w:val="21"/>
                <w:lang w:val="en-US" w:eastAsia="zh-CN"/>
              </w:rPr>
            </w:pPr>
            <w:r>
              <w:rPr>
                <w:rFonts w:hint="eastAsia" w:ascii="宋体" w:hAnsi="宋体" w:cs="宋体"/>
                <w:szCs w:val="21"/>
                <w:lang w:val="en-US" w:eastAsia="zh-CN"/>
              </w:rPr>
              <w:t>工业</w:t>
            </w:r>
          </w:p>
        </w:tc>
      </w:tr>
      <w:tr w14:paraId="7354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14:paraId="27C94462">
            <w:pPr>
              <w:jc w:val="center"/>
              <w:rPr>
                <w:rFonts w:ascii="仿宋" w:hAnsi="仿宋" w:eastAsia="仿宋" w:cs="宋体"/>
                <w:szCs w:val="21"/>
              </w:rPr>
            </w:pPr>
            <w:r>
              <w:rPr>
                <w:rFonts w:hint="eastAsia" w:ascii="仿宋" w:hAnsi="仿宋" w:eastAsia="仿宋" w:cs="宋体"/>
                <w:szCs w:val="21"/>
              </w:rPr>
              <w:t>3</w:t>
            </w:r>
          </w:p>
        </w:tc>
        <w:tc>
          <w:tcPr>
            <w:tcW w:w="736" w:type="dxa"/>
            <w:noWrap w:val="0"/>
            <w:vAlign w:val="center"/>
          </w:tcPr>
          <w:p w14:paraId="7849ABA6">
            <w:pPr>
              <w:jc w:val="center"/>
            </w:pPr>
            <w:r>
              <w:rPr>
                <w:rFonts w:hint="eastAsia"/>
              </w:rPr>
              <w:t>电梯电气实训及考核装置</w:t>
            </w:r>
          </w:p>
        </w:tc>
        <w:tc>
          <w:tcPr>
            <w:tcW w:w="5191" w:type="dxa"/>
            <w:noWrap w:val="0"/>
            <w:vAlign w:val="center"/>
          </w:tcPr>
          <w:p w14:paraId="094387D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该设备适合各职业院校、技工类学校的楼宇自动化、机电自动化等电梯相关专业及职业资格鉴定中心和培训考核机构使用。</w:t>
            </w:r>
          </w:p>
          <w:p w14:paraId="1A2BE42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电梯电气实训及考核装置</w:t>
            </w:r>
          </w:p>
          <w:p w14:paraId="1EC97EF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1.1.控制柜主要技术参数</w:t>
            </w:r>
          </w:p>
          <w:p w14:paraId="4740C93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 电梯控制柜需为真实的电梯控制柜；</w:t>
            </w:r>
          </w:p>
          <w:p w14:paraId="198B1A5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 控制柜需取得符合国家标准《电梯制造与安装安全规范》要求的“特种设备型式试验合格证”；</w:t>
            </w:r>
          </w:p>
          <w:p w14:paraId="20DE887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 工作电源：三相五线 AC380V±7% 或单相AC220V±4%；</w:t>
            </w:r>
          </w:p>
          <w:p w14:paraId="3FC2AD3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 控制方式：一体化控制器</w:t>
            </w:r>
          </w:p>
          <w:p w14:paraId="7D2374D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 额定功率： ≤5.5KW。</w:t>
            </w:r>
          </w:p>
          <w:p w14:paraId="59E13B15">
            <w:pPr>
              <w:rPr>
                <w:rFonts w:hint="eastAsia" w:ascii="宋体" w:hAnsi="宋体" w:eastAsia="宋体" w:cs="宋体"/>
                <w:snapToGrid w:val="0"/>
                <w:color w:val="FF0000"/>
                <w:szCs w:val="21"/>
              </w:rPr>
            </w:pPr>
            <w:r>
              <w:rPr>
                <w:rFonts w:hint="eastAsia" w:ascii="宋体" w:hAnsi="宋体" w:cs="宋体"/>
                <w:snapToGrid w:val="0"/>
                <w:szCs w:val="21"/>
              </w:rPr>
              <w:t>(6)配套有实验设备和易损品管理软件系统，需为带加密系统的正版软件（验收时验证），可对购入的设备进行标定录入（具有编号、出厂序号、启用日期、设备位置、出厂序号、厂家产地、设备条形码明细等），对设备维修和保养进行相关的录入和在线管理（设备维修：维修日期、条形码编号、仪器名称、损坏原因、维修详细、维修结果、维修费用、经办人；设备保养：保养日期、条形码、设备名称、出厂序号、保养内容等），具有一键统计功能，可随时查询实验项目类锁定相关硬件设备，具有项目查询功能，可根据人员或者实验室等信息进行实时检索（提供人员登记界面：编号、姓名、毕业院校、专业、学历、学位、部门名称、实验室名称、奖罚情况、简历等信息），方便看学校和使用老师对液压设备进行在线管理，实训室共配1套。</w:t>
            </w:r>
            <w:r>
              <w:rPr>
                <w:rFonts w:hint="eastAsia" w:ascii="宋体" w:hAnsi="宋体" w:eastAsia="宋体" w:cs="宋体"/>
                <w:snapToGrid w:val="0"/>
                <w:szCs w:val="21"/>
                <w:lang w:val="en-US" w:eastAsia="zh-CN"/>
              </w:rPr>
              <w:t>（需提供符合要求的软件界面功能截图）。</w:t>
            </w:r>
          </w:p>
          <w:p w14:paraId="7711A5EF">
            <w:pPr>
              <w:rPr>
                <w:rFonts w:hint="eastAsia" w:ascii="宋体" w:hAnsi="宋体" w:eastAsia="宋体" w:cs="宋体"/>
                <w:snapToGrid w:val="0"/>
                <w:szCs w:val="21"/>
              </w:rPr>
            </w:pPr>
            <w:bookmarkStart w:id="4" w:name="OLE_LINK9"/>
            <w:bookmarkStart w:id="5" w:name="OLE_LINK8"/>
            <w:r>
              <w:rPr>
                <w:rFonts w:hint="eastAsia" w:ascii="宋体" w:hAnsi="宋体" w:eastAsia="宋体" w:cs="宋体"/>
                <w:snapToGrid w:val="0"/>
                <w:szCs w:val="21"/>
              </w:rPr>
              <w:t>(7)、需提供真实电梯高层民用楼电气施工图学习资源（</w:t>
            </w:r>
            <w:r>
              <w:rPr>
                <w:rFonts w:hint="eastAsia" w:ascii="宋体" w:hAnsi="宋体" w:eastAsia="宋体" w:cs="宋体"/>
                <w:snapToGrid w:val="0"/>
                <w:szCs w:val="21"/>
                <w:lang w:val="en-US" w:eastAsia="zh-CN"/>
              </w:rPr>
              <w:t>投标时提供学习资源截图</w:t>
            </w:r>
            <w:r>
              <w:rPr>
                <w:rFonts w:hint="eastAsia" w:ascii="宋体" w:hAnsi="宋体" w:eastAsia="宋体" w:cs="宋体"/>
                <w:snapToGrid w:val="0"/>
                <w:szCs w:val="21"/>
              </w:rPr>
              <w:t>）</w:t>
            </w:r>
          </w:p>
          <w:p w14:paraId="2961BA49">
            <w:pPr>
              <w:rPr>
                <w:rFonts w:hint="eastAsia" w:ascii="宋体" w:hAnsi="宋体" w:eastAsia="宋体" w:cs="宋体"/>
                <w:snapToGrid w:val="0"/>
                <w:szCs w:val="21"/>
              </w:rPr>
            </w:pPr>
            <w:bookmarkStart w:id="6" w:name="OLE_LINK1"/>
            <w:r>
              <w:rPr>
                <w:rFonts w:hint="eastAsia" w:ascii="宋体" w:hAnsi="宋体" w:eastAsia="宋体" w:cs="宋体"/>
                <w:snapToGrid w:val="0"/>
                <w:szCs w:val="21"/>
              </w:rPr>
              <w:t>(8)、</w:t>
            </w:r>
            <w:bookmarkEnd w:id="6"/>
            <w:r>
              <w:rPr>
                <w:rFonts w:hint="eastAsia" w:ascii="宋体" w:hAnsi="宋体" w:eastAsia="宋体" w:cs="宋体"/>
                <w:snapToGrid w:val="0"/>
                <w:szCs w:val="21"/>
              </w:rPr>
              <w:t>需提供电梯设计图三维图，包含轿厢、配重、轨道、曳引机、地坑缓冲机构等全部图纸，含1000多个零件三维图，带参数并可以进行编辑。（</w:t>
            </w:r>
            <w:r>
              <w:rPr>
                <w:rFonts w:hint="eastAsia" w:ascii="宋体" w:hAnsi="宋体" w:eastAsia="宋体" w:cs="宋体"/>
                <w:snapToGrid w:val="0"/>
                <w:szCs w:val="21"/>
                <w:lang w:val="en-US" w:eastAsia="zh-CN"/>
              </w:rPr>
              <w:t>提供学习资源截图</w:t>
            </w:r>
            <w:r>
              <w:rPr>
                <w:rFonts w:hint="eastAsia" w:ascii="宋体" w:hAnsi="宋体" w:eastAsia="宋体" w:cs="宋体"/>
                <w:snapToGrid w:val="0"/>
                <w:szCs w:val="21"/>
              </w:rPr>
              <w:t>）</w:t>
            </w:r>
          </w:p>
          <w:p w14:paraId="32CF97DA">
            <w:pPr>
              <w:rPr>
                <w:rFonts w:hint="eastAsia" w:ascii="宋体" w:hAnsi="宋体" w:eastAsia="宋体" w:cs="宋体"/>
                <w:snapToGrid w:val="0"/>
                <w:szCs w:val="21"/>
              </w:rPr>
            </w:pPr>
            <w:r>
              <w:rPr>
                <w:rFonts w:hint="eastAsia" w:ascii="宋体" w:hAnsi="宋体" w:eastAsia="宋体" w:cs="宋体"/>
                <w:snapToGrid w:val="0"/>
                <w:szCs w:val="21"/>
              </w:rPr>
              <w:t>(9)、配套有</w:t>
            </w:r>
            <w:bookmarkStart w:id="7" w:name="_Hlk520813008"/>
            <w:bookmarkStart w:id="8" w:name="_Hlk520813822"/>
            <w:r>
              <w:rPr>
                <w:rFonts w:hint="eastAsia" w:ascii="宋体" w:hAnsi="宋体" w:eastAsia="宋体" w:cs="宋体"/>
                <w:snapToGrid w:val="0"/>
                <w:szCs w:val="21"/>
              </w:rPr>
              <w:t>《维保量具概要》</w:t>
            </w:r>
            <w:bookmarkEnd w:id="7"/>
            <w:bookmarkStart w:id="9" w:name="_Hlk520813027"/>
            <w:r>
              <w:rPr>
                <w:rFonts w:hint="eastAsia" w:ascii="宋体" w:hAnsi="宋体" w:eastAsia="宋体" w:cs="宋体"/>
                <w:snapToGrid w:val="0"/>
                <w:szCs w:val="21"/>
              </w:rPr>
              <w:t>教材版本</w:t>
            </w:r>
            <w:bookmarkEnd w:id="9"/>
            <w:r>
              <w:rPr>
                <w:rFonts w:hint="eastAsia" w:ascii="宋体" w:hAnsi="宋体" w:eastAsia="宋体" w:cs="宋体"/>
                <w:snapToGrid w:val="0"/>
                <w:szCs w:val="21"/>
              </w:rPr>
              <w:t>：内容涵盖钳工常用的长度卡尺、深度卡尺、高度尺、万能角度尺、百分表、千分表、端面百分表、杠杆百分表、杠杆千分表、百分表测头、杠杆表测头、内径量表、外卡规、内卡规、测厚规、测深规、外径千分尺、深度千分尺、内径千分尺、螺纹千分尺、齿轮千分尺、公法线千分尺、矩形量块、角度量块、粗糙度对比样块、塞尺、螺距规、半径规、正弦规、光滑极限塞规、针规、表座、小表座、测量台、直角尺、方箱、V型块、钳工工作平板、平板支架、可调支撑（千斤顶）、正弦精密平口钳、水平仪、便携式放大镜等内容，需配有彩图和各量具功能介绍、常用选型标准及数据等内容。（实训室共1套</w:t>
            </w:r>
            <w:r>
              <w:rPr>
                <w:rFonts w:hint="eastAsia" w:ascii="宋体" w:hAnsi="宋体" w:eastAsia="宋体" w:cs="宋体"/>
                <w:snapToGrid w:val="0"/>
                <w:szCs w:val="21"/>
                <w:lang w:eastAsia="zh-CN"/>
              </w:rPr>
              <w:t>，</w:t>
            </w:r>
            <w:r>
              <w:rPr>
                <w:rFonts w:hint="eastAsia" w:ascii="宋体" w:hAnsi="宋体" w:eastAsia="宋体" w:cs="宋体"/>
                <w:snapToGrid w:val="0"/>
                <w:szCs w:val="21"/>
                <w:lang w:val="en-US" w:eastAsia="zh-CN"/>
              </w:rPr>
              <w:t>提供教材截图</w:t>
            </w:r>
            <w:r>
              <w:rPr>
                <w:rFonts w:hint="eastAsia" w:ascii="宋体" w:hAnsi="宋体" w:eastAsia="宋体" w:cs="宋体"/>
                <w:snapToGrid w:val="0"/>
                <w:szCs w:val="21"/>
              </w:rPr>
              <w:t>）</w:t>
            </w:r>
            <w:bookmarkEnd w:id="8"/>
          </w:p>
          <w:bookmarkEnd w:id="4"/>
          <w:bookmarkEnd w:id="5"/>
          <w:p w14:paraId="0AF6851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1.2．曳引机主要技术参数</w:t>
            </w:r>
          </w:p>
          <w:p w14:paraId="2AD6FB3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 曳引机为真实的电梯用曳引机；</w:t>
            </w:r>
          </w:p>
          <w:p w14:paraId="7776D0EF">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 曳引机需取得符合国家标准GB 7588-2003《电梯制造与安装安全规范》要求的“特种设备型式试验合格证”，供货时供业主查验；</w:t>
            </w:r>
          </w:p>
          <w:p w14:paraId="666BCDAA">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 额定电压：AC380V±7% 或 AC220V±4%；</w:t>
            </w:r>
          </w:p>
          <w:p w14:paraId="36B6CA3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 曳引装置：国内行业主流应用的永磁同步曳引机或异步有齿轮曳引机；</w:t>
            </w:r>
          </w:p>
          <w:p w14:paraId="3AE9ABE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 额定功率：≤5.5KW；</w:t>
            </w:r>
          </w:p>
          <w:p w14:paraId="6A78052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 额定载重：不大于800Kg；</w:t>
            </w:r>
          </w:p>
          <w:p w14:paraId="2B97E4D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(7) 额定速度：不大于1.0m/s。</w:t>
            </w:r>
          </w:p>
          <w:p w14:paraId="780CB47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1.3．电梯控制柜检测调试台主要技术参数</w:t>
            </w:r>
          </w:p>
          <w:p w14:paraId="1C4E2C2E">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 供电电压：AC380V±7% 或 AC220V±4%。</w:t>
            </w:r>
          </w:p>
          <w:p w14:paraId="1F0A27B8">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 轿内楼层显示采用7寸多媒体液晶。</w:t>
            </w:r>
          </w:p>
          <w:p w14:paraId="7040741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 控制装置采用一体机装置。</w:t>
            </w:r>
          </w:p>
          <w:p w14:paraId="1A7692C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 可通过指示灯显示曳引机运转方向。</w:t>
            </w:r>
          </w:p>
          <w:p w14:paraId="19FC221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 采用真实的电梯轿厢内选按钮和楼层召唤按钮。</w:t>
            </w:r>
          </w:p>
          <w:p w14:paraId="6AB0672F">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 设计有台式计算机液晶显示器安装位置。</w:t>
            </w:r>
          </w:p>
          <w:p w14:paraId="15566A5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(7) 检测对象：国内行业主流应用的一体化控制器</w:t>
            </w:r>
          </w:p>
          <w:p w14:paraId="02BAA8E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控制柜检测台主要功能：</w:t>
            </w:r>
          </w:p>
          <w:p w14:paraId="437F9D6F">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 可向控制柜提供1～10楼的内选及外呼指令；</w:t>
            </w:r>
          </w:p>
          <w:p w14:paraId="1854A7E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 可向控制柜提供1～10楼的模拟井道信息，模拟井道信息可通过软件编程（电梯控制柜控制装置采用PLC模拟仿真）；</w:t>
            </w:r>
          </w:p>
          <w:p w14:paraId="33471C7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(3)可与控制柜交互电梯开关门指令及反馈信号；</w:t>
            </w:r>
          </w:p>
          <w:p w14:paraId="055A2D2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(4)可与控制柜交互超载、满载、锁梯、消防、司机等信号；</w:t>
            </w:r>
          </w:p>
          <w:p w14:paraId="3AD6BBB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(5)进线电源电压通过数字显示，有错相、缺相保护；</w:t>
            </w:r>
          </w:p>
          <w:p w14:paraId="36BD3A3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(6)控制柜进线主电源通过检测台控制，紧急情况下，可方便切断主电源；</w:t>
            </w:r>
          </w:p>
          <w:p w14:paraId="51337D2E">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(7)可通过上位机软件监控电梯运行状态。</w:t>
            </w:r>
          </w:p>
          <w:p w14:paraId="456F45E1">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1.4．上位机专用软件编程设备</w:t>
            </w:r>
          </w:p>
          <w:p w14:paraId="5C5417CA">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可与控制系统通讯，查看电梯基本参数信息。</w:t>
            </w:r>
          </w:p>
          <w:p w14:paraId="3B8C6F55">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1.5．“层轿门开门机”设备主要技术参数</w:t>
            </w:r>
          </w:p>
          <w:p w14:paraId="69F8DDEB">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主要组成部分：门机结构框架（含门套），门机控制器和交流变频门电机，门机演示装置组件（包括但不限于主要电线电缆）等。</w:t>
            </w:r>
          </w:p>
          <w:p w14:paraId="32664E1A">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 工作电源：单相 AC220V ±4% ，50Hz；</w:t>
            </w:r>
          </w:p>
          <w:p w14:paraId="5D52C0CE">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2) 开门尺寸：不大于800mm；</w:t>
            </w:r>
          </w:p>
          <w:p w14:paraId="501FE7C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3) 开门形式：中分双扇，门扇高度不高于1200mm；</w:t>
            </w:r>
          </w:p>
          <w:p w14:paraId="181D1D79">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4) 驱动控制：国内主流品牌；</w:t>
            </w:r>
          </w:p>
          <w:p w14:paraId="3CBA8443">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5) 外形尺寸：不大于1600*1800*500 mm (W*H*D)</w:t>
            </w:r>
          </w:p>
          <w:p w14:paraId="1EB1D4B2">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6）采用为国内主流结构型式，完全采用真实电梯门机构及部件组成。</w:t>
            </w:r>
          </w:p>
          <w:p w14:paraId="7C115D14">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7）层门和轿门可分开，单独进行调整和实训，组合后可进行厅门轿门联动实训。</w:t>
            </w:r>
          </w:p>
          <w:p w14:paraId="6C8172CD">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8）采用电气或机械联锁，防止误操作。安全标示，信号和显示清晰易辨，预防由于人为的误操作而引起安全事故。</w:t>
            </w:r>
          </w:p>
          <w:p w14:paraId="0354C96A">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1.6．电梯电气实训考核装置组件</w:t>
            </w:r>
          </w:p>
          <w:p w14:paraId="0412C6EC">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采用电梯上用1:1的完全真实的机房电源箱、轿顶检修箱、轿顶接线箱、底坑检修箱、底坑开关盒、井道照明、机房照明等。</w:t>
            </w:r>
          </w:p>
          <w:p w14:paraId="08AD8CCF">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1.7．电气故障快速设置和恢复系统</w:t>
            </w:r>
          </w:p>
          <w:p w14:paraId="38AB3607">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同时满足职业技能鉴定和竞赛需求、《电梯安装工》与《电梯维修工》标准要求，不少于40个的典型电梯电气故障设置开关。</w:t>
            </w:r>
          </w:p>
          <w:p w14:paraId="30299F96">
            <w:pPr>
              <w:autoSpaceDE w:val="0"/>
              <w:autoSpaceDN w:val="0"/>
              <w:adjustRightInd w:val="0"/>
              <w:snapToGrid w:val="0"/>
              <w:spacing w:line="288" w:lineRule="auto"/>
              <w:rPr>
                <w:rFonts w:hint="eastAsia" w:ascii="宋体" w:hAnsi="宋体" w:cs="宋体"/>
                <w:snapToGrid w:val="0"/>
                <w:szCs w:val="21"/>
              </w:rPr>
            </w:pPr>
            <w:r>
              <w:rPr>
                <w:rFonts w:hint="eastAsia" w:ascii="宋体" w:hAnsi="宋体" w:cs="宋体"/>
                <w:snapToGrid w:val="0"/>
                <w:szCs w:val="21"/>
              </w:rPr>
              <w:t>1.8．实训项目</w:t>
            </w:r>
          </w:p>
          <w:p w14:paraId="0907EFB4">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1.</w:t>
            </w:r>
            <w:r>
              <w:rPr>
                <w:rFonts w:hint="eastAsia" w:ascii="宋体" w:hAnsi="宋体" w:cs="宋体"/>
                <w:snapToGrid w:val="0"/>
                <w:szCs w:val="21"/>
              </w:rPr>
              <w:t>电梯电气系统主要组成部件认知实训；</w:t>
            </w:r>
          </w:p>
          <w:p w14:paraId="70EF7D04">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2.</w:t>
            </w:r>
            <w:r>
              <w:rPr>
                <w:rFonts w:hint="eastAsia" w:ascii="宋体" w:hAnsi="宋体" w:cs="宋体"/>
                <w:snapToGrid w:val="0"/>
                <w:szCs w:val="21"/>
              </w:rPr>
              <w:t>控制器参数设置；</w:t>
            </w:r>
          </w:p>
          <w:p w14:paraId="7B1AB087">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3.</w:t>
            </w:r>
            <w:r>
              <w:rPr>
                <w:rFonts w:hint="eastAsia" w:ascii="宋体" w:hAnsi="宋体" w:cs="宋体"/>
                <w:snapToGrid w:val="0"/>
                <w:szCs w:val="21"/>
              </w:rPr>
              <w:t>永磁同步曳引机磁极角度位置辨识；</w:t>
            </w:r>
          </w:p>
          <w:p w14:paraId="2362C270">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4.</w:t>
            </w:r>
            <w:r>
              <w:rPr>
                <w:rFonts w:hint="eastAsia" w:ascii="宋体" w:hAnsi="宋体" w:cs="宋体"/>
                <w:snapToGrid w:val="0"/>
                <w:szCs w:val="21"/>
              </w:rPr>
              <w:t>电梯井道参数自学习；</w:t>
            </w:r>
          </w:p>
          <w:p w14:paraId="3EC26986">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5.</w:t>
            </w:r>
            <w:r>
              <w:rPr>
                <w:rFonts w:hint="eastAsia" w:ascii="宋体" w:hAnsi="宋体" w:cs="宋体"/>
                <w:snapToGrid w:val="0"/>
                <w:szCs w:val="21"/>
              </w:rPr>
              <w:t>曳引电动机变频驱动控制电路检测调节及故障查找实训；</w:t>
            </w:r>
          </w:p>
          <w:p w14:paraId="121C9443">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6.</w:t>
            </w:r>
            <w:r>
              <w:rPr>
                <w:rFonts w:hint="eastAsia" w:ascii="宋体" w:hAnsi="宋体" w:cs="宋体"/>
                <w:snapToGrid w:val="0"/>
                <w:szCs w:val="21"/>
              </w:rPr>
              <w:t>曳引机制动器机械调节及故障查找实训；</w:t>
            </w:r>
          </w:p>
          <w:p w14:paraId="5444D0AE">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7.</w:t>
            </w:r>
            <w:r>
              <w:rPr>
                <w:rFonts w:hint="eastAsia" w:ascii="宋体" w:hAnsi="宋体" w:cs="宋体"/>
                <w:snapToGrid w:val="0"/>
                <w:szCs w:val="21"/>
              </w:rPr>
              <w:t>轿内操纵箱控制电路故障查找及排除实训；</w:t>
            </w:r>
          </w:p>
          <w:p w14:paraId="3AA8F89D">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8.</w:t>
            </w:r>
            <w:r>
              <w:rPr>
                <w:rFonts w:hint="eastAsia" w:ascii="宋体" w:hAnsi="宋体" w:cs="宋体"/>
                <w:snapToGrid w:val="0"/>
                <w:szCs w:val="21"/>
              </w:rPr>
              <w:t>厅外召唤盒控制电路故障查找及排除实训；</w:t>
            </w:r>
          </w:p>
          <w:p w14:paraId="5AF77FFC">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9.</w:t>
            </w:r>
            <w:r>
              <w:rPr>
                <w:rFonts w:hint="eastAsia" w:ascii="宋体" w:hAnsi="宋体" w:cs="宋体"/>
                <w:snapToGrid w:val="0"/>
                <w:szCs w:val="21"/>
              </w:rPr>
              <w:t>轿顶检修箱控制电路故障查找及排除实训；</w:t>
            </w:r>
          </w:p>
          <w:p w14:paraId="1B46D2B2">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10.</w:t>
            </w:r>
            <w:r>
              <w:rPr>
                <w:rFonts w:hint="eastAsia" w:ascii="宋体" w:hAnsi="宋体" w:cs="宋体"/>
                <w:snapToGrid w:val="0"/>
                <w:szCs w:val="21"/>
              </w:rPr>
              <w:t>照明控制电路故障查找及排除实训；</w:t>
            </w:r>
          </w:p>
          <w:p w14:paraId="2BC9D126">
            <w:pPr>
              <w:autoSpaceDE w:val="0"/>
              <w:autoSpaceDN w:val="0"/>
              <w:adjustRightInd w:val="0"/>
              <w:snapToGrid w:val="0"/>
              <w:spacing w:line="288" w:lineRule="auto"/>
              <w:rPr>
                <w:rFonts w:hint="eastAsia" w:ascii="宋体" w:hAnsi="宋体" w:cs="宋体"/>
                <w:snapToGrid w:val="0"/>
                <w:szCs w:val="21"/>
              </w:rPr>
            </w:pPr>
            <w:r>
              <w:rPr>
                <w:rFonts w:hint="default" w:ascii="宋体" w:hAnsi="宋体" w:cs="宋体"/>
                <w:snapToGrid w:val="0"/>
                <w:szCs w:val="21"/>
                <w:lang w:val="en-US"/>
              </w:rPr>
              <w:t>11.</w:t>
            </w:r>
            <w:r>
              <w:rPr>
                <w:rFonts w:hint="eastAsia" w:ascii="宋体" w:hAnsi="宋体" w:cs="宋体"/>
                <w:snapToGrid w:val="0"/>
                <w:szCs w:val="21"/>
              </w:rPr>
              <w:t>通讯电路故障查找及排除实训。</w:t>
            </w:r>
          </w:p>
        </w:tc>
        <w:tc>
          <w:tcPr>
            <w:tcW w:w="836" w:type="dxa"/>
            <w:noWrap w:val="0"/>
            <w:vAlign w:val="center"/>
          </w:tcPr>
          <w:p w14:paraId="642ED799">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836" w:type="dxa"/>
            <w:noWrap w:val="0"/>
            <w:vAlign w:val="center"/>
          </w:tcPr>
          <w:p w14:paraId="52CA23AD">
            <w:pPr>
              <w:jc w:val="center"/>
              <w:rPr>
                <w:rFonts w:hint="eastAsia" w:ascii="宋体" w:hAnsi="宋体" w:eastAsia="宋体" w:cs="宋体"/>
                <w:szCs w:val="21"/>
                <w:lang w:val="en-US" w:eastAsia="zh-CN"/>
              </w:rPr>
            </w:pPr>
            <w:r>
              <w:rPr>
                <w:rFonts w:hint="eastAsia" w:ascii="宋体" w:hAnsi="宋体" w:eastAsia="宋体" w:cs="宋体"/>
                <w:szCs w:val="21"/>
              </w:rPr>
              <w:t>3</w:t>
            </w:r>
          </w:p>
        </w:tc>
        <w:tc>
          <w:tcPr>
            <w:tcW w:w="1358" w:type="dxa"/>
            <w:noWrap w:val="0"/>
            <w:vAlign w:val="center"/>
          </w:tcPr>
          <w:p w14:paraId="2B41C275">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工业</w:t>
            </w:r>
          </w:p>
        </w:tc>
      </w:tr>
      <w:tr w14:paraId="2B86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14:paraId="7B31079C">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4</w:t>
            </w:r>
          </w:p>
        </w:tc>
        <w:tc>
          <w:tcPr>
            <w:tcW w:w="736" w:type="dxa"/>
            <w:noWrap w:val="0"/>
            <w:vAlign w:val="center"/>
          </w:tcPr>
          <w:p w14:paraId="187F5E66">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柜式空调</w:t>
            </w:r>
          </w:p>
        </w:tc>
        <w:tc>
          <w:tcPr>
            <w:tcW w:w="5191" w:type="dxa"/>
            <w:noWrap w:val="0"/>
            <w:vAlign w:val="center"/>
          </w:tcPr>
          <w:p w14:paraId="22846B42">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1.变频冷暖柜式空调；</w:t>
            </w:r>
          </w:p>
          <w:p w14:paraId="02D199AB">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2.≥3P，一级能效；</w:t>
            </w:r>
          </w:p>
          <w:p w14:paraId="10B9786B">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3.额定制冷量：≥7</w:t>
            </w:r>
            <w:r>
              <w:rPr>
                <w:rFonts w:hint="eastAsia" w:ascii="宋体" w:hAnsi="宋体" w:eastAsia="宋体" w:cs="宋体"/>
                <w:snapToGrid w:val="0"/>
                <w:szCs w:val="21"/>
                <w:lang w:val="en-US" w:eastAsia="zh-CN"/>
              </w:rPr>
              <w:t>32</w:t>
            </w:r>
            <w:r>
              <w:rPr>
                <w:rFonts w:hint="eastAsia" w:ascii="宋体" w:hAnsi="宋体" w:eastAsia="宋体" w:cs="宋体"/>
                <w:snapToGrid w:val="0"/>
                <w:szCs w:val="21"/>
              </w:rPr>
              <w:t>0W；</w:t>
            </w:r>
          </w:p>
          <w:p w14:paraId="4DFD4852">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4.额定制热量：≥</w:t>
            </w:r>
            <w:r>
              <w:rPr>
                <w:rFonts w:hint="eastAsia" w:ascii="宋体" w:hAnsi="宋体" w:eastAsia="宋体" w:cs="宋体"/>
                <w:snapToGrid w:val="0"/>
                <w:szCs w:val="21"/>
                <w:lang w:val="en-US" w:eastAsia="zh-CN"/>
              </w:rPr>
              <w:t>995</w:t>
            </w:r>
            <w:r>
              <w:rPr>
                <w:rFonts w:hint="eastAsia" w:ascii="宋体" w:hAnsi="宋体" w:eastAsia="宋体" w:cs="宋体"/>
                <w:snapToGrid w:val="0"/>
                <w:szCs w:val="21"/>
              </w:rPr>
              <w:t>0W；</w:t>
            </w:r>
          </w:p>
          <w:p w14:paraId="1E8C0A5F">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5.循环风量：≥1</w:t>
            </w:r>
            <w:r>
              <w:rPr>
                <w:rFonts w:hint="eastAsia" w:ascii="宋体" w:hAnsi="宋体" w:eastAsia="宋体" w:cs="宋体"/>
                <w:snapToGrid w:val="0"/>
                <w:szCs w:val="21"/>
                <w:lang w:val="en-US" w:eastAsia="zh-CN"/>
              </w:rPr>
              <w:t>4</w:t>
            </w:r>
            <w:r>
              <w:rPr>
                <w:rFonts w:hint="eastAsia" w:ascii="宋体" w:hAnsi="宋体" w:eastAsia="宋体" w:cs="宋体"/>
                <w:snapToGrid w:val="0"/>
                <w:szCs w:val="21"/>
              </w:rPr>
              <w:t>00m³/h；</w:t>
            </w:r>
          </w:p>
          <w:p w14:paraId="2EB3EE33">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6.制冷功率：≥</w:t>
            </w:r>
            <w:r>
              <w:rPr>
                <w:rFonts w:hint="eastAsia" w:ascii="宋体" w:hAnsi="宋体" w:eastAsia="宋体" w:cs="宋体"/>
                <w:snapToGrid w:val="0"/>
                <w:szCs w:val="21"/>
                <w:lang w:val="en-US" w:eastAsia="zh-CN"/>
              </w:rPr>
              <w:t>1945</w:t>
            </w:r>
            <w:r>
              <w:rPr>
                <w:rFonts w:hint="eastAsia" w:ascii="宋体" w:hAnsi="宋体" w:eastAsia="宋体" w:cs="宋体"/>
                <w:snapToGrid w:val="0"/>
                <w:szCs w:val="21"/>
              </w:rPr>
              <w:t>W；</w:t>
            </w:r>
          </w:p>
        </w:tc>
        <w:tc>
          <w:tcPr>
            <w:tcW w:w="836" w:type="dxa"/>
            <w:noWrap w:val="0"/>
            <w:vAlign w:val="center"/>
          </w:tcPr>
          <w:p w14:paraId="32772F3F">
            <w:pPr>
              <w:autoSpaceDE w:val="0"/>
              <w:autoSpaceDN w:val="0"/>
              <w:adjustRightInd w:val="0"/>
              <w:snapToGrid w:val="0"/>
              <w:spacing w:line="288"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36" w:type="dxa"/>
            <w:noWrap w:val="0"/>
            <w:vAlign w:val="center"/>
          </w:tcPr>
          <w:p w14:paraId="712CB516">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358" w:type="dxa"/>
            <w:noWrap w:val="0"/>
            <w:vAlign w:val="center"/>
          </w:tcPr>
          <w:p w14:paraId="32A21495">
            <w:pPr>
              <w:autoSpaceDE w:val="0"/>
              <w:autoSpaceDN w:val="0"/>
              <w:adjustRightInd w:val="0"/>
              <w:snapToGrid w:val="0"/>
              <w:spacing w:line="288"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工业</w:t>
            </w:r>
          </w:p>
        </w:tc>
      </w:tr>
      <w:tr w14:paraId="0B36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14:paraId="4184C610">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5</w:t>
            </w:r>
          </w:p>
        </w:tc>
        <w:tc>
          <w:tcPr>
            <w:tcW w:w="736" w:type="dxa"/>
            <w:noWrap w:val="0"/>
            <w:vAlign w:val="center"/>
          </w:tcPr>
          <w:p w14:paraId="568297C6">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学生椅</w:t>
            </w:r>
          </w:p>
        </w:tc>
        <w:tc>
          <w:tcPr>
            <w:tcW w:w="5191" w:type="dxa"/>
            <w:noWrap w:val="0"/>
            <w:vAlign w:val="center"/>
          </w:tcPr>
          <w:p w14:paraId="1C2E5FCC">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凳子外形尺寸：≥340×240×450mm（长×宽×高）；凳子框架为钢管焊接结构，表面进行了防锈处理，凳子腿采用≥20*40的厚壁钢管，壁厚≥0.9mm。凳子面板颜色为灰白色，厚度≥15mm,采用内嵌式结构，免安装。凳子底部配有4个黑色的防滑橡胶脚垫，具有静音和防止地板划伤的作用。</w:t>
            </w:r>
          </w:p>
        </w:tc>
        <w:tc>
          <w:tcPr>
            <w:tcW w:w="836" w:type="dxa"/>
            <w:noWrap w:val="0"/>
            <w:vAlign w:val="center"/>
          </w:tcPr>
          <w:p w14:paraId="703F2FB9">
            <w:pPr>
              <w:autoSpaceDE w:val="0"/>
              <w:autoSpaceDN w:val="0"/>
              <w:adjustRightInd w:val="0"/>
              <w:snapToGrid w:val="0"/>
              <w:spacing w:line="288"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36" w:type="dxa"/>
            <w:noWrap w:val="0"/>
            <w:vAlign w:val="center"/>
          </w:tcPr>
          <w:p w14:paraId="08E21F12">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20</w:t>
            </w:r>
          </w:p>
        </w:tc>
        <w:tc>
          <w:tcPr>
            <w:tcW w:w="1358" w:type="dxa"/>
            <w:noWrap w:val="0"/>
            <w:vAlign w:val="center"/>
          </w:tcPr>
          <w:p w14:paraId="3C532A65">
            <w:pPr>
              <w:autoSpaceDE w:val="0"/>
              <w:autoSpaceDN w:val="0"/>
              <w:adjustRightInd w:val="0"/>
              <w:snapToGrid w:val="0"/>
              <w:spacing w:line="288"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工业</w:t>
            </w:r>
          </w:p>
        </w:tc>
      </w:tr>
      <w:tr w14:paraId="37C9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14:paraId="131156A3">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6</w:t>
            </w:r>
          </w:p>
        </w:tc>
        <w:tc>
          <w:tcPr>
            <w:tcW w:w="736" w:type="dxa"/>
            <w:noWrap w:val="0"/>
            <w:vAlign w:val="center"/>
          </w:tcPr>
          <w:p w14:paraId="5C57CE9D">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实训桌</w:t>
            </w:r>
          </w:p>
        </w:tc>
        <w:tc>
          <w:tcPr>
            <w:tcW w:w="5191" w:type="dxa"/>
            <w:noWrap w:val="0"/>
            <w:vAlign w:val="center"/>
          </w:tcPr>
          <w:p w14:paraId="0569358A">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外形尺寸≥1400×600×750 mm，桌子框架采用优质钢管焊接，桌面为厚度≥15mm的实木板。</w:t>
            </w:r>
          </w:p>
        </w:tc>
        <w:tc>
          <w:tcPr>
            <w:tcW w:w="836" w:type="dxa"/>
            <w:noWrap w:val="0"/>
            <w:vAlign w:val="center"/>
          </w:tcPr>
          <w:p w14:paraId="641D8E11">
            <w:pPr>
              <w:autoSpaceDE w:val="0"/>
              <w:autoSpaceDN w:val="0"/>
              <w:adjustRightInd w:val="0"/>
              <w:snapToGrid w:val="0"/>
              <w:spacing w:line="288"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36" w:type="dxa"/>
            <w:noWrap w:val="0"/>
            <w:vAlign w:val="center"/>
          </w:tcPr>
          <w:p w14:paraId="43206CD2">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10</w:t>
            </w:r>
          </w:p>
        </w:tc>
        <w:tc>
          <w:tcPr>
            <w:tcW w:w="1358" w:type="dxa"/>
            <w:noWrap w:val="0"/>
            <w:vAlign w:val="center"/>
          </w:tcPr>
          <w:p w14:paraId="2BBFEF88">
            <w:pPr>
              <w:autoSpaceDE w:val="0"/>
              <w:autoSpaceDN w:val="0"/>
              <w:adjustRightInd w:val="0"/>
              <w:snapToGrid w:val="0"/>
              <w:spacing w:line="288"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工业</w:t>
            </w:r>
          </w:p>
        </w:tc>
      </w:tr>
      <w:tr w14:paraId="2A14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14:paraId="2E49379A">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7</w:t>
            </w:r>
          </w:p>
        </w:tc>
        <w:tc>
          <w:tcPr>
            <w:tcW w:w="736" w:type="dxa"/>
            <w:noWrap w:val="0"/>
            <w:vAlign w:val="center"/>
          </w:tcPr>
          <w:p w14:paraId="1CDCFE3A">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工具柜</w:t>
            </w:r>
          </w:p>
        </w:tc>
        <w:tc>
          <w:tcPr>
            <w:tcW w:w="5191" w:type="dxa"/>
            <w:noWrap w:val="0"/>
            <w:vAlign w:val="center"/>
          </w:tcPr>
          <w:p w14:paraId="4E8991C4">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工具柜整体采用金属材质，经过优质冷轧钢板折弯、焊接、组装而成，双开门结构，门上配有天地锁，内置≥4层金属隔板，隔板安装高度可自行调节。柜子外形尺寸≥1800×1000×500mm（高×宽×深），柜子所用钢板厚度≥1.</w:t>
            </w:r>
            <w:r>
              <w:rPr>
                <w:rFonts w:hint="eastAsia" w:ascii="宋体" w:hAnsi="宋体" w:eastAsia="宋体" w:cs="宋体"/>
                <w:snapToGrid w:val="0"/>
                <w:szCs w:val="21"/>
                <w:lang w:val="en-US" w:eastAsia="zh-CN"/>
              </w:rPr>
              <w:t>2</w:t>
            </w:r>
            <w:r>
              <w:rPr>
                <w:rFonts w:hint="eastAsia" w:ascii="宋体" w:hAnsi="宋体" w:eastAsia="宋体" w:cs="宋体"/>
                <w:snapToGrid w:val="0"/>
                <w:szCs w:val="21"/>
              </w:rPr>
              <w:t>mm，表面整体进行静电喷粉防锈处理。</w:t>
            </w:r>
          </w:p>
        </w:tc>
        <w:tc>
          <w:tcPr>
            <w:tcW w:w="836" w:type="dxa"/>
            <w:noWrap w:val="0"/>
            <w:vAlign w:val="center"/>
          </w:tcPr>
          <w:p w14:paraId="102A163B">
            <w:pPr>
              <w:autoSpaceDE w:val="0"/>
              <w:autoSpaceDN w:val="0"/>
              <w:adjustRightInd w:val="0"/>
              <w:snapToGrid w:val="0"/>
              <w:spacing w:line="288"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36" w:type="dxa"/>
            <w:noWrap w:val="0"/>
            <w:vAlign w:val="center"/>
          </w:tcPr>
          <w:p w14:paraId="46B8EA6E">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个</w:t>
            </w:r>
          </w:p>
        </w:tc>
        <w:tc>
          <w:tcPr>
            <w:tcW w:w="1358" w:type="dxa"/>
            <w:noWrap w:val="0"/>
            <w:vAlign w:val="center"/>
          </w:tcPr>
          <w:p w14:paraId="29F73CD3">
            <w:pPr>
              <w:autoSpaceDE w:val="0"/>
              <w:autoSpaceDN w:val="0"/>
              <w:adjustRightInd w:val="0"/>
              <w:snapToGrid w:val="0"/>
              <w:spacing w:line="288"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工业</w:t>
            </w:r>
          </w:p>
        </w:tc>
      </w:tr>
      <w:tr w14:paraId="4376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14:paraId="6CAF4686">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8</w:t>
            </w:r>
          </w:p>
        </w:tc>
        <w:tc>
          <w:tcPr>
            <w:tcW w:w="736" w:type="dxa"/>
            <w:noWrap w:val="0"/>
            <w:vAlign w:val="center"/>
          </w:tcPr>
          <w:p w14:paraId="10319FAF">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文件柜</w:t>
            </w:r>
          </w:p>
        </w:tc>
        <w:tc>
          <w:tcPr>
            <w:tcW w:w="5191" w:type="dxa"/>
            <w:noWrap w:val="0"/>
            <w:vAlign w:val="center"/>
          </w:tcPr>
          <w:p w14:paraId="79776604">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文件柜为落地式结构，外形尺寸≥1800×900×</w:t>
            </w:r>
            <w:r>
              <w:rPr>
                <w:rFonts w:hint="eastAsia" w:ascii="宋体" w:hAnsi="宋体" w:eastAsia="宋体" w:cs="宋体"/>
                <w:snapToGrid w:val="0"/>
                <w:szCs w:val="21"/>
                <w:lang w:val="en-US" w:eastAsia="zh-CN"/>
              </w:rPr>
              <w:t>39</w:t>
            </w:r>
            <w:r>
              <w:rPr>
                <w:rFonts w:hint="eastAsia" w:ascii="宋体" w:hAnsi="宋体" w:eastAsia="宋体" w:cs="宋体"/>
                <w:snapToGrid w:val="0"/>
                <w:szCs w:val="21"/>
              </w:rPr>
              <w:t>0mm（高×宽×深）；柜体采用优质冷轧钢板制作，柜子上层柜门带有透明玻璃；柜子中间配有两个抽屉。</w:t>
            </w:r>
          </w:p>
        </w:tc>
        <w:tc>
          <w:tcPr>
            <w:tcW w:w="836" w:type="dxa"/>
            <w:noWrap w:val="0"/>
            <w:vAlign w:val="center"/>
          </w:tcPr>
          <w:p w14:paraId="296EE52D">
            <w:pPr>
              <w:autoSpaceDE w:val="0"/>
              <w:autoSpaceDN w:val="0"/>
              <w:adjustRightInd w:val="0"/>
              <w:snapToGrid w:val="0"/>
              <w:spacing w:line="288"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36" w:type="dxa"/>
            <w:noWrap w:val="0"/>
            <w:vAlign w:val="center"/>
          </w:tcPr>
          <w:p w14:paraId="0F1563EA">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358" w:type="dxa"/>
            <w:noWrap w:val="0"/>
            <w:vAlign w:val="center"/>
          </w:tcPr>
          <w:p w14:paraId="365EEB12">
            <w:pPr>
              <w:autoSpaceDE w:val="0"/>
              <w:autoSpaceDN w:val="0"/>
              <w:adjustRightInd w:val="0"/>
              <w:snapToGrid w:val="0"/>
              <w:spacing w:line="288"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工业</w:t>
            </w:r>
          </w:p>
        </w:tc>
      </w:tr>
      <w:tr w14:paraId="2CA6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 w:type="dxa"/>
            <w:noWrap w:val="0"/>
            <w:vAlign w:val="center"/>
          </w:tcPr>
          <w:p w14:paraId="14A8C3F4">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9</w:t>
            </w:r>
          </w:p>
        </w:tc>
        <w:tc>
          <w:tcPr>
            <w:tcW w:w="736" w:type="dxa"/>
            <w:noWrap w:val="0"/>
            <w:vAlign w:val="center"/>
          </w:tcPr>
          <w:p w14:paraId="09F8231D">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货柜</w:t>
            </w:r>
          </w:p>
        </w:tc>
        <w:tc>
          <w:tcPr>
            <w:tcW w:w="5191" w:type="dxa"/>
            <w:noWrap w:val="0"/>
            <w:vAlign w:val="center"/>
          </w:tcPr>
          <w:p w14:paraId="2C4939B7">
            <w:pPr>
              <w:autoSpaceDE w:val="0"/>
              <w:autoSpaceDN w:val="0"/>
              <w:adjustRightInd w:val="0"/>
              <w:snapToGrid w:val="0"/>
              <w:spacing w:line="288" w:lineRule="auto"/>
              <w:rPr>
                <w:rFonts w:hint="eastAsia" w:ascii="宋体" w:hAnsi="宋体" w:eastAsia="宋体" w:cs="宋体"/>
                <w:snapToGrid w:val="0"/>
                <w:szCs w:val="21"/>
              </w:rPr>
            </w:pPr>
            <w:r>
              <w:rPr>
                <w:rFonts w:hint="eastAsia" w:ascii="宋体" w:hAnsi="宋体" w:eastAsia="宋体" w:cs="宋体"/>
                <w:snapToGrid w:val="0"/>
                <w:szCs w:val="21"/>
              </w:rPr>
              <w:t>货架外形尺寸≥2000×600×2000mm（长×宽×高），共有≥4个层板；货架采用优质冷轧钢板材质，表面经过酸洗、磷化、喷塑处理，颜色为灰白色，防锈、耐腐蚀效果好。</w:t>
            </w:r>
          </w:p>
        </w:tc>
        <w:tc>
          <w:tcPr>
            <w:tcW w:w="836" w:type="dxa"/>
            <w:noWrap w:val="0"/>
            <w:vAlign w:val="center"/>
          </w:tcPr>
          <w:p w14:paraId="27607B43">
            <w:pPr>
              <w:autoSpaceDE w:val="0"/>
              <w:autoSpaceDN w:val="0"/>
              <w:adjustRightInd w:val="0"/>
              <w:snapToGrid w:val="0"/>
              <w:spacing w:line="288" w:lineRule="auto"/>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836" w:type="dxa"/>
            <w:noWrap w:val="0"/>
            <w:vAlign w:val="center"/>
          </w:tcPr>
          <w:p w14:paraId="05E3C611">
            <w:pPr>
              <w:autoSpaceDE w:val="0"/>
              <w:autoSpaceDN w:val="0"/>
              <w:adjustRightInd w:val="0"/>
              <w:snapToGrid w:val="0"/>
              <w:spacing w:line="288" w:lineRule="auto"/>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358" w:type="dxa"/>
            <w:noWrap w:val="0"/>
            <w:vAlign w:val="center"/>
          </w:tcPr>
          <w:p w14:paraId="5604818B">
            <w:pPr>
              <w:autoSpaceDE w:val="0"/>
              <w:autoSpaceDN w:val="0"/>
              <w:adjustRightInd w:val="0"/>
              <w:snapToGrid w:val="0"/>
              <w:spacing w:line="288" w:lineRule="auto"/>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工业</w:t>
            </w:r>
          </w:p>
        </w:tc>
      </w:tr>
    </w:tbl>
    <w:p w14:paraId="3451BA01">
      <w:pPr>
        <w:autoSpaceDE w:val="0"/>
        <w:autoSpaceDN w:val="0"/>
        <w:adjustRightInd w:val="0"/>
        <w:snapToGrid w:val="0"/>
        <w:spacing w:line="288" w:lineRule="auto"/>
        <w:ind w:firstLine="210" w:firstLineChars="100"/>
        <w:rPr>
          <w:rFonts w:hint="default" w:asciiTheme="minorEastAsia" w:hAnsiTheme="minorEastAsia" w:cstheme="minorEastAsia"/>
          <w:b/>
          <w:bCs/>
          <w:sz w:val="24"/>
          <w:szCs w:val="24"/>
          <w:shd w:val="clear" w:color="auto" w:fill="FFFFFF"/>
          <w:lang w:val="en-US" w:eastAsia="zh-CN"/>
        </w:rPr>
      </w:pPr>
      <w:r>
        <w:rPr>
          <w:rFonts w:hint="eastAsia" w:ascii="宋体" w:hAnsi="宋体" w:eastAsia="宋体" w:cs="宋体"/>
          <w:snapToGrid w:val="0"/>
          <w:szCs w:val="21"/>
          <w:lang w:val="en-US" w:eastAsia="zh-CN"/>
        </w:rPr>
        <w:t>备注：本采购清单中所列技术规格或主要参数为最低要求，不允许负偏离，否则为无效响应文件。</w:t>
      </w:r>
    </w:p>
    <w:p w14:paraId="000DD4B0">
      <w:pPr>
        <w:tabs>
          <w:tab w:val="left" w:pos="7095"/>
        </w:tabs>
        <w:spacing w:line="440" w:lineRule="exact"/>
        <w:ind w:firstLine="241" w:firstLineChars="1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b/>
          <w:bCs/>
          <w:sz w:val="24"/>
          <w:szCs w:val="24"/>
          <w:shd w:val="clear" w:color="auto" w:fill="FFFFFF"/>
          <w:lang w:val="en-US" w:eastAsia="zh-CN"/>
        </w:rPr>
        <w:t>三、</w:t>
      </w:r>
      <w:r>
        <w:rPr>
          <w:rFonts w:hint="eastAsia" w:asciiTheme="minorEastAsia" w:hAnsiTheme="minorEastAsia" w:eastAsiaTheme="minorEastAsia" w:cstheme="minorEastAsia"/>
          <w:b/>
          <w:bCs/>
          <w:sz w:val="24"/>
          <w:szCs w:val="24"/>
          <w:shd w:val="clear" w:color="auto" w:fill="FFFFFF"/>
          <w:lang w:val="en-US" w:eastAsia="zh-CN"/>
        </w:rPr>
        <w:t>采购标的执行标准：</w:t>
      </w:r>
      <w:r>
        <w:rPr>
          <w:rFonts w:hint="eastAsia" w:asciiTheme="minorEastAsia" w:hAnsiTheme="minorEastAsia" w:eastAsiaTheme="minorEastAsia" w:cstheme="minorEastAsia"/>
          <w:kern w:val="2"/>
          <w:sz w:val="21"/>
          <w:szCs w:val="21"/>
          <w:lang w:val="en-US" w:eastAsia="zh-CN" w:bidi="ar-SA"/>
        </w:rPr>
        <w:t xml:space="preserve">需执行的国家相关标准、规范。 </w:t>
      </w:r>
    </w:p>
    <w:p w14:paraId="70EAD186">
      <w:pPr>
        <w:spacing w:line="360" w:lineRule="auto"/>
        <w:ind w:firstLine="241" w:firstLineChars="100"/>
        <w:jc w:val="left"/>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四、服务标准、期限、效率等要求：</w:t>
      </w:r>
    </w:p>
    <w:p w14:paraId="7071FCE3">
      <w:pPr>
        <w:spacing w:line="360" w:lineRule="auto"/>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cstheme="minorEastAsia"/>
          <w:kern w:val="2"/>
          <w:sz w:val="21"/>
          <w:szCs w:val="21"/>
          <w:lang w:val="en-US" w:eastAsia="zh-CN" w:bidi="ar-SA"/>
        </w:rPr>
        <w:t>供应商</w:t>
      </w:r>
      <w:r>
        <w:rPr>
          <w:rFonts w:hint="eastAsia" w:asciiTheme="minorEastAsia" w:hAnsiTheme="minorEastAsia" w:eastAsiaTheme="minorEastAsia" w:cstheme="minorEastAsia"/>
          <w:kern w:val="2"/>
          <w:sz w:val="21"/>
          <w:szCs w:val="21"/>
          <w:lang w:val="en-US" w:eastAsia="zh-CN" w:bidi="ar-SA"/>
        </w:rPr>
        <w:t>响应文件中须有详细的实施（技术）方案。</w:t>
      </w:r>
    </w:p>
    <w:p w14:paraId="435893EA">
      <w:pPr>
        <w:spacing w:line="360" w:lineRule="auto"/>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2、产品必须符合国家相关标准和本招标文件规定标准。</w:t>
      </w:r>
    </w:p>
    <w:p w14:paraId="6915B931">
      <w:pPr>
        <w:spacing w:line="360" w:lineRule="auto"/>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3、本项目为交钥匙工程，采购方不再承当费用。</w:t>
      </w:r>
    </w:p>
    <w:p w14:paraId="5057D3D5">
      <w:pPr>
        <w:tabs>
          <w:tab w:val="left" w:pos="7095"/>
        </w:tabs>
        <w:spacing w:line="440" w:lineRule="exact"/>
        <w:outlineLvl w:val="1"/>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五、采购标的的其他技术、服务等要求：</w:t>
      </w:r>
    </w:p>
    <w:p w14:paraId="28FF14E5">
      <w:pPr>
        <w:spacing w:line="360" w:lineRule="auto"/>
        <w:jc w:val="left"/>
        <w:rPr>
          <w:rFonts w:hint="eastAsia" w:asciiTheme="minorEastAsia" w:hAnsiTheme="minorEastAsia" w:eastAsiaTheme="minorEastAsia" w:cstheme="minorEastAsia"/>
          <w:kern w:val="2"/>
          <w:sz w:val="21"/>
          <w:szCs w:val="21"/>
          <w:lang w:val="en-US" w:eastAsia="zh-CN" w:bidi="ar-SA"/>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cstheme="minorEastAsia"/>
          <w:kern w:val="2"/>
          <w:sz w:val="21"/>
          <w:szCs w:val="21"/>
          <w:lang w:val="en-US" w:eastAsia="zh-CN" w:bidi="ar-SA"/>
        </w:rPr>
        <w:t>供应商</w:t>
      </w:r>
      <w:r>
        <w:rPr>
          <w:rFonts w:hint="eastAsia" w:asciiTheme="minorEastAsia" w:hAnsiTheme="minorEastAsia" w:eastAsiaTheme="minorEastAsia" w:cstheme="minorEastAsia"/>
          <w:kern w:val="2"/>
          <w:sz w:val="21"/>
          <w:szCs w:val="21"/>
          <w:lang w:val="en-US" w:eastAsia="zh-CN" w:bidi="ar-SA"/>
        </w:rPr>
        <w:t>须明确投标产品的厂家、品牌、型号等详细参数，否则为无效</w:t>
      </w:r>
      <w:r>
        <w:rPr>
          <w:rFonts w:hint="eastAsia" w:asciiTheme="minorEastAsia" w:hAnsiTheme="minorEastAsia" w:cstheme="minorEastAsia"/>
          <w:kern w:val="2"/>
          <w:sz w:val="21"/>
          <w:szCs w:val="21"/>
          <w:lang w:val="en-US" w:eastAsia="zh-CN" w:bidi="ar-SA"/>
        </w:rPr>
        <w:t>响应文件</w:t>
      </w:r>
      <w:r>
        <w:rPr>
          <w:rFonts w:hint="eastAsia" w:asciiTheme="minorEastAsia" w:hAnsiTheme="minorEastAsia" w:eastAsiaTheme="minorEastAsia" w:cstheme="minorEastAsia"/>
          <w:kern w:val="2"/>
          <w:sz w:val="21"/>
          <w:szCs w:val="21"/>
          <w:lang w:val="en-US" w:eastAsia="zh-CN" w:bidi="ar-SA"/>
        </w:rPr>
        <w:t>。</w:t>
      </w:r>
    </w:p>
    <w:p w14:paraId="74EA4F94">
      <w:pPr>
        <w:spacing w:line="360" w:lineRule="auto"/>
        <w:ind w:firstLine="420" w:firstLineChars="200"/>
        <w:jc w:val="left"/>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cstheme="minorEastAsia"/>
          <w:kern w:val="2"/>
          <w:sz w:val="21"/>
          <w:szCs w:val="21"/>
          <w:lang w:val="en-US" w:eastAsia="zh-CN" w:bidi="ar-SA"/>
        </w:rPr>
        <w:t>供应商</w:t>
      </w:r>
      <w:r>
        <w:rPr>
          <w:rFonts w:hint="eastAsia" w:asciiTheme="minorEastAsia" w:hAnsiTheme="minorEastAsia" w:eastAsiaTheme="minorEastAsia" w:cstheme="minorEastAsia"/>
          <w:kern w:val="2"/>
          <w:sz w:val="21"/>
          <w:szCs w:val="21"/>
          <w:lang w:val="zh-CN" w:eastAsia="zh-CN" w:bidi="ar-SA"/>
        </w:rPr>
        <w:t>应就该项目完整投标（报价包括但不限于完成本项目材料费、人工费、管理费、维护费、保险费、利润、税费等所有费用），否则为无效</w:t>
      </w:r>
      <w:r>
        <w:rPr>
          <w:rFonts w:hint="eastAsia" w:asciiTheme="minorEastAsia" w:hAnsiTheme="minorEastAsia" w:cstheme="minorEastAsia"/>
          <w:kern w:val="2"/>
          <w:sz w:val="21"/>
          <w:szCs w:val="21"/>
          <w:lang w:val="en-US" w:eastAsia="zh-CN" w:bidi="ar-SA"/>
        </w:rPr>
        <w:t>响应文件</w:t>
      </w:r>
      <w:r>
        <w:rPr>
          <w:rFonts w:hint="eastAsia" w:asciiTheme="minorEastAsia" w:hAnsiTheme="minorEastAsia" w:eastAsiaTheme="minorEastAsia" w:cstheme="minorEastAsia"/>
          <w:kern w:val="2"/>
          <w:sz w:val="21"/>
          <w:szCs w:val="21"/>
          <w:lang w:val="zh-CN" w:eastAsia="zh-CN" w:bidi="ar-SA"/>
        </w:rPr>
        <w:t>。</w:t>
      </w:r>
    </w:p>
    <w:p w14:paraId="6692014B">
      <w:pPr>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3.所投产品要求质保三年，供应商接到通知后1小时进行响应，4小时到达，24小时内处理问题，否则需提供备用机直至原设备修好为止。</w:t>
      </w:r>
    </w:p>
    <w:p w14:paraId="3B05EABC">
      <w:pPr>
        <w:widowControl/>
        <w:shd w:val="clear" w:color="auto" w:fill="FFFFFF"/>
        <w:spacing w:line="360" w:lineRule="auto"/>
        <w:ind w:firstLine="422" w:firstLineChars="200"/>
        <w:contextualSpacing/>
        <w:jc w:val="left"/>
        <w:rPr>
          <w:rFonts w:hint="default" w:asciiTheme="minorEastAsia" w:hAnsiTheme="minorEastAsia" w:eastAsiaTheme="minorEastAsia" w:cstheme="minorEastAsia"/>
          <w:kern w:val="2"/>
          <w:sz w:val="21"/>
          <w:szCs w:val="21"/>
          <w:lang w:val="en-US" w:eastAsia="zh-CN" w:bidi="ar-SA"/>
        </w:rPr>
      </w:pPr>
      <w:r>
        <w:rPr>
          <w:rFonts w:hint="eastAsia" w:ascii="新宋体" w:hAnsi="新宋体" w:eastAsia="新宋体" w:cs="新宋体"/>
          <w:b/>
          <w:bCs/>
          <w:szCs w:val="21"/>
        </w:rPr>
        <w:t>注：</w:t>
      </w:r>
      <w:r>
        <w:rPr>
          <w:rFonts w:hint="eastAsia" w:ascii="新宋体" w:hAnsi="新宋体" w:eastAsia="新宋体" w:cs="新宋体"/>
          <w:b/>
          <w:bCs/>
          <w:szCs w:val="21"/>
          <w:lang w:val="zh-CN"/>
        </w:rPr>
        <w:t>中标</w:t>
      </w:r>
      <w:r>
        <w:rPr>
          <w:rFonts w:hint="eastAsia" w:ascii="新宋体" w:hAnsi="新宋体" w:eastAsia="新宋体" w:cs="新宋体"/>
          <w:b/>
          <w:bCs/>
          <w:szCs w:val="21"/>
          <w:lang w:val="en-US" w:eastAsia="zh-CN"/>
        </w:rPr>
        <w:t>供应商</w:t>
      </w:r>
      <w:r>
        <w:rPr>
          <w:rFonts w:hint="eastAsia" w:ascii="新宋体" w:hAnsi="新宋体" w:eastAsia="新宋体" w:cs="新宋体"/>
          <w:b/>
          <w:bCs/>
          <w:szCs w:val="21"/>
          <w:lang w:val="zh-CN"/>
        </w:rPr>
        <w:t>须向禹州市政府采购中心发送投</w:t>
      </w:r>
      <w:r>
        <w:rPr>
          <w:rFonts w:hint="eastAsia" w:ascii="宋体" w:hAnsi="宋体" w:eastAsia="宋体"/>
          <w:b/>
          <w:bCs/>
          <w:szCs w:val="21"/>
          <w:lang w:val="zh-CN"/>
        </w:rPr>
        <w:t>标报价及分项报价（如果货物需求中有分项的话）一览表电子档，并同时通知采购中心。邮箱：</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color w:val="auto"/>
          <w:sz w:val="24"/>
          <w:lang w:val="zh-CN"/>
        </w:rPr>
        <w:t>YZGGZY2076770@163.com</w:t>
      </w:r>
      <w:r>
        <w:rPr>
          <w:rStyle w:val="31"/>
          <w:rFonts w:hint="eastAsia" w:ascii="宋体" w:cs="宋体"/>
          <w:b/>
          <w:bCs/>
          <w:color w:val="auto"/>
          <w:sz w:val="24"/>
          <w:lang w:val="zh-CN"/>
        </w:rPr>
        <w:fldChar w:fldCharType="end"/>
      </w:r>
      <w:r>
        <w:rPr>
          <w:rStyle w:val="31"/>
          <w:rFonts w:hint="eastAsia" w:ascii="宋体" w:cs="宋体"/>
          <w:b/>
          <w:bCs/>
          <w:color w:val="auto"/>
          <w:sz w:val="24"/>
          <w:lang w:val="zh-CN"/>
        </w:rPr>
        <w:t>。</w:t>
      </w:r>
    </w:p>
    <w:p w14:paraId="49FBD2DC">
      <w:pPr>
        <w:tabs>
          <w:tab w:val="left" w:pos="7095"/>
        </w:tabs>
        <w:spacing w:line="440" w:lineRule="exact"/>
        <w:ind w:firstLine="482" w:firstLineChars="200"/>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4DEABFC2">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由采购人成立验收小组,按照采购合同的约定对</w:t>
      </w:r>
      <w:r>
        <w:rPr>
          <w:rFonts w:hint="eastAsia" w:ascii="宋体" w:hAnsi="宋体" w:eastAsia="宋体"/>
          <w:szCs w:val="21"/>
          <w:lang w:eastAsia="zh-CN"/>
        </w:rPr>
        <w:t>中标供应商</w:t>
      </w:r>
      <w:r>
        <w:rPr>
          <w:rFonts w:hint="eastAsia" w:ascii="宋体" w:hAnsi="宋体" w:eastAsia="宋体"/>
          <w:szCs w:val="21"/>
        </w:rPr>
        <w:t>履约情况进行验收。验收时,按照采购合同的约定对每一项技术、服务、安全标准的履约情况进行确认。验收结束后由验收小组出具验收报告,列明各项标准的验收情况及项目总体评价,由验收双方共同签署。</w:t>
      </w:r>
    </w:p>
    <w:p w14:paraId="2AD3898D">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1、项目质量按照国家相关标准、行业标准、地方标准或者其他标准、规范验收；</w:t>
      </w:r>
    </w:p>
    <w:p w14:paraId="3BD9C706">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2、按照招标文件要求、投标文件响应和承诺验收；</w:t>
      </w:r>
    </w:p>
    <w:p w14:paraId="0328F46C">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lang w:val="en-US" w:eastAsia="zh-CN"/>
        </w:rPr>
        <w:t>3.本项目验收如需要第三方验收，中标方将承担所有产生的费用。</w:t>
      </w:r>
    </w:p>
    <w:p w14:paraId="72EBB446">
      <w:pPr>
        <w:tabs>
          <w:tab w:val="left" w:pos="7095"/>
        </w:tabs>
        <w:spacing w:line="440" w:lineRule="exact"/>
        <w:ind w:firstLine="482" w:firstLineChars="200"/>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2C56C0C5">
      <w:pPr>
        <w:widowControl/>
        <w:shd w:val="clear" w:color="auto" w:fill="FFFFFF"/>
        <w:spacing w:line="560" w:lineRule="exact"/>
        <w:ind w:firstLine="420" w:firstLineChars="200"/>
        <w:jc w:val="left"/>
        <w:rPr>
          <w:rFonts w:hint="eastAsia" w:ascii="宋体" w:hAnsi="宋体" w:eastAsia="宋体"/>
          <w:szCs w:val="21"/>
        </w:rPr>
      </w:pPr>
      <w:r>
        <w:rPr>
          <w:rFonts w:hint="eastAsia" w:ascii="宋体" w:hAnsi="宋体" w:eastAsia="宋体"/>
          <w:szCs w:val="21"/>
        </w:rPr>
        <w:t>（一）支付方式：</w:t>
      </w:r>
      <w:r>
        <w:rPr>
          <w:rFonts w:hint="eastAsia" w:ascii="宋体" w:hAnsi="宋体" w:eastAsia="宋体"/>
          <w:szCs w:val="21"/>
          <w:lang w:val="en-US" w:eastAsia="zh-CN"/>
        </w:rPr>
        <w:t>财政支付，银行转账。</w:t>
      </w:r>
    </w:p>
    <w:p w14:paraId="085D0914">
      <w:pPr>
        <w:widowControl/>
        <w:shd w:val="clear" w:color="auto" w:fill="FFFFFF"/>
        <w:spacing w:line="440" w:lineRule="exact"/>
        <w:ind w:firstLine="420" w:firstLineChars="200"/>
        <w:jc w:val="left"/>
        <w:rPr>
          <w:rFonts w:hint="eastAsia" w:ascii="宋体" w:hAnsi="宋体" w:eastAsia="宋体"/>
          <w:szCs w:val="21"/>
          <w:lang w:val="en-US" w:eastAsia="zh-CN"/>
        </w:rPr>
      </w:pPr>
      <w:r>
        <w:rPr>
          <w:rFonts w:hint="eastAsia" w:ascii="宋体" w:hAnsi="宋体" w:eastAsia="宋体"/>
          <w:szCs w:val="21"/>
        </w:rPr>
        <w:t>（二）支付时间及条件：</w:t>
      </w:r>
      <w:r>
        <w:rPr>
          <w:rFonts w:hint="eastAsia" w:ascii="宋体" w:hAnsi="宋体" w:eastAsia="宋体"/>
          <w:szCs w:val="21"/>
          <w:lang w:val="en-US" w:eastAsia="zh-CN"/>
        </w:rPr>
        <w:t>项目验收合格后，</w:t>
      </w:r>
      <w:r>
        <w:rPr>
          <w:rFonts w:hint="eastAsia" w:ascii="宋体" w:hAnsi="宋体" w:eastAsia="宋体"/>
          <w:szCs w:val="21"/>
          <w:lang w:val="zh-CN" w:eastAsia="zh-CN"/>
        </w:rPr>
        <w:t>按政府采购资金拨付程序执行</w:t>
      </w:r>
      <w:r>
        <w:rPr>
          <w:rFonts w:hint="eastAsia" w:ascii="宋体" w:hAnsi="宋体" w:eastAsia="宋体"/>
          <w:szCs w:val="21"/>
          <w:lang w:val="en-US" w:eastAsia="zh-CN"/>
        </w:rPr>
        <w:t>。</w:t>
      </w:r>
    </w:p>
    <w:p w14:paraId="35E59D91">
      <w:pPr>
        <w:tabs>
          <w:tab w:val="left" w:pos="7095"/>
        </w:tabs>
        <w:spacing w:line="440" w:lineRule="exact"/>
        <w:ind w:firstLine="420" w:firstLineChars="200"/>
        <w:rPr>
          <w:rFonts w:ascii="宋体" w:hAnsi="宋体" w:eastAsia="宋体"/>
          <w:szCs w:val="21"/>
        </w:rPr>
      </w:pPr>
    </w:p>
    <w:p w14:paraId="60185310">
      <w:pPr>
        <w:pStyle w:val="35"/>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C7B59CA">
            <w:pPr>
              <w:rPr>
                <w:rFonts w:cs="仿宋_GB2312" w:asciiTheme="minorEastAsia" w:hAnsiTheme="minorEastAsia"/>
                <w:szCs w:val="21"/>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禹州市中等专业学校电梯安装与维护保养实训室项目</w:t>
            </w:r>
            <w:r>
              <w:rPr>
                <w:rFonts w:hint="eastAsia" w:cs="仿宋_GB2312" w:asciiTheme="minorEastAsia" w:hAnsiTheme="minorEastAsia"/>
                <w:color w:val="000000"/>
                <w:szCs w:val="21"/>
                <w:shd w:val="clear" w:color="auto" w:fill="FFFFFF"/>
              </w:rPr>
              <w:t>（不见面开标）</w:t>
            </w:r>
          </w:p>
          <w:p w14:paraId="4DC5D800">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采购编号：YZCG-T202</w:t>
            </w:r>
            <w:r>
              <w:rPr>
                <w:rFonts w:hint="eastAsia" w:cs="仿宋_GB2312" w:asciiTheme="minorEastAsia" w:hAnsiTheme="minorEastAsia"/>
                <w:szCs w:val="21"/>
                <w:lang w:val="en-US" w:eastAsia="zh-CN"/>
              </w:rPr>
              <w:t>5003</w:t>
            </w:r>
          </w:p>
          <w:p w14:paraId="2EC13B5B">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交付（服务、完工）时间：合同签订后</w:t>
            </w:r>
            <w:r>
              <w:rPr>
                <w:rFonts w:hint="eastAsia" w:cs="仿宋_GB2312" w:asciiTheme="minorEastAsia" w:hAnsiTheme="minorEastAsia"/>
                <w:szCs w:val="21"/>
                <w:lang w:val="en-US" w:eastAsia="zh-CN"/>
              </w:rPr>
              <w:t>40</w:t>
            </w:r>
            <w:r>
              <w:rPr>
                <w:rFonts w:hint="eastAsia" w:cs="仿宋_GB2312" w:asciiTheme="minorEastAsia" w:hAnsiTheme="minorEastAsia"/>
                <w:szCs w:val="21"/>
              </w:rPr>
              <w:t>日历天内完成</w:t>
            </w:r>
          </w:p>
          <w:p w14:paraId="0AA6FA72">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履约地点：禹州市职中等专业学校</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FEF33D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采购人名称：禹州市中等专业学校</w:t>
            </w:r>
          </w:p>
          <w:p w14:paraId="59216A7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地址：禹州市药城路北段</w:t>
            </w:r>
          </w:p>
          <w:p w14:paraId="78BCA1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000000"/>
                <w:szCs w:val="21"/>
                <w:shd w:val="clear" w:color="auto" w:fill="FFFFFF"/>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eastAsiaTheme="minorEastAsia" w:cstheme="minorEastAsia"/>
                <w:color w:val="000000"/>
                <w:szCs w:val="21"/>
                <w:shd w:val="clear" w:color="auto" w:fill="FFFFFF"/>
                <w:lang w:val="en-US" w:eastAsia="zh-CN"/>
              </w:rPr>
              <w:t>谷先生</w:t>
            </w:r>
            <w:r>
              <w:rPr>
                <w:rFonts w:hint="eastAsia" w:asciiTheme="minorEastAsia" w:hAnsiTheme="minorEastAsia" w:eastAsiaTheme="minorEastAsia" w:cstheme="minorEastAsia"/>
                <w:color w:val="000000"/>
                <w:szCs w:val="21"/>
                <w:shd w:val="clear" w:color="auto" w:fill="FFFFFF"/>
              </w:rPr>
              <w:t xml:space="preserve">  </w:t>
            </w:r>
          </w:p>
          <w:p w14:paraId="6A463258">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kern w:val="2"/>
                <w:sz w:val="21"/>
                <w:szCs w:val="21"/>
                <w:lang w:val="en-US" w:eastAsia="zh-CN" w:bidi="ar-SA"/>
              </w:rPr>
              <w:t>0374-8816982</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en-US" w:eastAsia="zh-CN"/>
              </w:rPr>
              <w:t>790000</w:t>
            </w:r>
            <w:r>
              <w:rPr>
                <w:rFonts w:cs="宋体" w:asciiTheme="minorEastAsia" w:hAnsiTheme="minorEastAsia"/>
                <w:bCs/>
                <w:szCs w:val="21"/>
              </w:rPr>
              <w:t>.00</w:t>
            </w:r>
            <w:r>
              <w:rPr>
                <w:rFonts w:hint="eastAsia" w:cs="宋体" w:asciiTheme="minorEastAsia" w:hAnsiTheme="minorEastAsia"/>
                <w:bCs/>
                <w:szCs w:val="21"/>
                <w:lang w:val="zh-CN"/>
              </w:rPr>
              <w:t>元，超出预算金额的响应无效。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16</w:t>
            </w:r>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7"/>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3500E4BC">
            <w:pPr>
              <w:pStyle w:val="35"/>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r>
              <w:rPr>
                <w:rFonts w:hint="eastAsia" w:ascii="ˎ̥" w:hAnsi="ˎ̥" w:eastAsiaTheme="minorEastAsia" w:cstheme="minorBidi"/>
                <w:kern w:val="2"/>
                <w:sz w:val="21"/>
                <w:szCs w:val="22"/>
                <w:lang w:val="en-US" w:eastAsia="zh-CN" w:bidi="ar-SA"/>
              </w:rPr>
              <w:t>：</w:t>
            </w:r>
            <w:r>
              <w:rPr>
                <w:rFonts w:hint="eastAsia"/>
                <w:lang w:val="en-US" w:eastAsia="zh-CN"/>
              </w:rPr>
              <w:t>工业、软件和信息技术服务业</w:t>
            </w:r>
          </w:p>
          <w:p w14:paraId="4123F56F">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4207876">
            <w:pPr>
              <w:widowControl/>
              <w:shd w:val="clear" w:color="auto" w:fill="FFFFFF"/>
              <w:spacing w:line="560" w:lineRule="exact"/>
              <w:jc w:val="left"/>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采购清单中的序号4</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（http://117.159.53.11:60632/tpbidder）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lang w:eastAsia="zh-CN"/>
              </w:rPr>
              <w:t>供应商</w:t>
            </w:r>
            <w:r>
              <w:rPr>
                <w:rFonts w:hint="eastAsia" w:ascii="ˎ̥" w:hAnsi="ˎ̥"/>
              </w:rPr>
              <w:t>的投标</w:t>
            </w:r>
            <w:r>
              <w:rPr>
                <w:rFonts w:ascii="ˎ̥" w:hAnsi="ˎ̥"/>
              </w:rPr>
              <w:t>文件由同一单位或者个人编制</w:t>
            </w:r>
            <w:r>
              <w:rPr>
                <w:rFonts w:hint="eastAsia" w:ascii="ˎ̥" w:hAnsi="ˎ̥"/>
              </w:rPr>
              <w:t>’或‘</w:t>
            </w:r>
            <w:r>
              <w:rPr>
                <w:rFonts w:ascii="ˎ̥" w:hAnsi="ˎ̥"/>
              </w:rPr>
              <w:t>不同</w:t>
            </w:r>
            <w:r>
              <w:rPr>
                <w:rFonts w:hint="eastAsia" w:ascii="ˎ̥" w:hAnsi="ˎ̥"/>
                <w:lang w:eastAsia="zh-CN"/>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w:t>
            </w:r>
            <w:r>
              <w:rPr>
                <w:rFonts w:hint="eastAsia" w:ascii="ˎ̥" w:hAnsi="ˎ̥"/>
                <w:lang w:eastAsia="zh-CN"/>
              </w:rPr>
              <w:t>供应商</w:t>
            </w:r>
            <w:r>
              <w:rPr>
                <w:rFonts w:hint="eastAsia" w:ascii="ˎ̥" w:hAnsi="ˎ̥"/>
              </w:rPr>
              <w:t>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3</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3</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、严重违法失信社会组织，将拒绝其参与本次政府采购活动。</w:t>
            </w:r>
          </w:p>
        </w:tc>
      </w:tr>
    </w:tbl>
    <w:p w14:paraId="65203F79">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14:paraId="02C8AA0D">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3887F3FD">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487C3953">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ABC080A">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59714E13">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5"/>
        <w:numPr>
          <w:ilvl w:val="0"/>
          <w:numId w:val="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5"/>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5"/>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5"/>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5"/>
        <w:numPr>
          <w:ilvl w:val="1"/>
          <w:numId w:val="1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5"/>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5"/>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5"/>
        <w:numPr>
          <w:ilvl w:val="0"/>
          <w:numId w:val="1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5"/>
        <w:numPr>
          <w:ilvl w:val="0"/>
          <w:numId w:val="14"/>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5"/>
        <w:numPr>
          <w:ilvl w:val="0"/>
          <w:numId w:val="1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5"/>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5"/>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5"/>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5"/>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5"/>
        <w:numPr>
          <w:ilvl w:val="0"/>
          <w:numId w:val="19"/>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5"/>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5"/>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5"/>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5"/>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5"/>
        <w:numPr>
          <w:ilvl w:val="0"/>
          <w:numId w:val="24"/>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773D687B">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5"/>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5"/>
        <w:numPr>
          <w:ilvl w:val="0"/>
          <w:numId w:val="27"/>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5"/>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5"/>
        <w:numPr>
          <w:ilvl w:val="0"/>
          <w:numId w:val="13"/>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5"/>
        <w:numPr>
          <w:ilvl w:val="0"/>
          <w:numId w:val="3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5"/>
        <w:numPr>
          <w:ilvl w:val="1"/>
          <w:numId w:val="3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5"/>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5"/>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5"/>
        <w:numPr>
          <w:ilvl w:val="0"/>
          <w:numId w:val="3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5"/>
        <w:numPr>
          <w:ilvl w:val="1"/>
          <w:numId w:val="33"/>
        </w:numPr>
        <w:autoSpaceDE w:val="0"/>
        <w:autoSpaceDN w:val="0"/>
        <w:spacing w:line="360" w:lineRule="auto"/>
        <w:ind w:firstLineChars="0"/>
        <w:contextualSpacing/>
        <w:rPr>
          <w:rFonts w:ascii="ˎ̥" w:hAnsi="ˎ̥"/>
          <w:vanish/>
        </w:rPr>
      </w:pPr>
    </w:p>
    <w:p w14:paraId="1DEFB98E">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5"/>
        <w:numPr>
          <w:ilvl w:val="0"/>
          <w:numId w:val="37"/>
        </w:numPr>
        <w:autoSpaceDE w:val="0"/>
        <w:autoSpaceDN w:val="0"/>
        <w:spacing w:line="360" w:lineRule="auto"/>
        <w:ind w:firstLineChars="0"/>
        <w:contextualSpacing/>
        <w:rPr>
          <w:rFonts w:cs="宋体" w:asciiTheme="minorEastAsia" w:hAnsiTheme="minorEastAsia"/>
          <w:vanish/>
          <w:kern w:val="0"/>
          <w:szCs w:val="21"/>
        </w:rPr>
      </w:pPr>
    </w:p>
    <w:p w14:paraId="504A4306">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5"/>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0F7EA77B">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4E15E64D">
      <w:pPr>
        <w:pStyle w:val="55"/>
        <w:numPr>
          <w:ilvl w:val="1"/>
          <w:numId w:val="13"/>
        </w:numPr>
        <w:autoSpaceDE w:val="0"/>
        <w:autoSpaceDN w:val="0"/>
        <w:spacing w:line="360" w:lineRule="auto"/>
        <w:ind w:firstLineChars="0"/>
        <w:contextualSpacing/>
        <w:rPr>
          <w:rFonts w:cs="宋体" w:asciiTheme="minorEastAsia" w:hAnsiTheme="minorEastAsia"/>
          <w:vanish/>
          <w:kern w:val="0"/>
          <w:szCs w:val="21"/>
        </w:rPr>
      </w:pPr>
    </w:p>
    <w:p w14:paraId="4E59701B">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5"/>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5"/>
        <w:numPr>
          <w:ilvl w:val="0"/>
          <w:numId w:val="39"/>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5"/>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5"/>
        <w:numPr>
          <w:ilvl w:val="1"/>
          <w:numId w:val="4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5"/>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5"/>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5"/>
        <w:numPr>
          <w:ilvl w:val="0"/>
          <w:numId w:val="47"/>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5"/>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5"/>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5"/>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5"/>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5"/>
        <w:numPr>
          <w:ilvl w:val="0"/>
          <w:numId w:val="52"/>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5"/>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5"/>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5"/>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5"/>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5"/>
        <w:numPr>
          <w:ilvl w:val="0"/>
          <w:numId w:val="5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5"/>
        <w:numPr>
          <w:ilvl w:val="0"/>
          <w:numId w:val="41"/>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5"/>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5"/>
        <w:numPr>
          <w:ilvl w:val="0"/>
          <w:numId w:val="58"/>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5"/>
        <w:numPr>
          <w:ilvl w:val="0"/>
          <w:numId w:val="58"/>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5"/>
        <w:numPr>
          <w:ilvl w:val="0"/>
          <w:numId w:val="58"/>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3"/>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5"/>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5"/>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5"/>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5"/>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5"/>
        <w:numPr>
          <w:ilvl w:val="0"/>
          <w:numId w:val="59"/>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5"/>
        <w:numPr>
          <w:ilvl w:val="0"/>
          <w:numId w:val="5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w:t>
      </w:r>
      <w:r>
        <w:rPr>
          <w:rFonts w:hint="eastAsia" w:cs="宋体" w:asciiTheme="minorEastAsia" w:hAnsiTheme="minorEastAsia"/>
          <w:kern w:val="0"/>
          <w:szCs w:val="21"/>
          <w:lang w:eastAsia="zh-CN"/>
        </w:rPr>
        <w:t>中标供应商</w:t>
      </w:r>
      <w:r>
        <w:rPr>
          <w:rFonts w:hint="eastAsia" w:cs="宋体" w:asciiTheme="minorEastAsia" w:hAnsiTheme="minorEastAsia"/>
          <w:kern w:val="0"/>
          <w:szCs w:val="21"/>
        </w:rPr>
        <w:t>，又不能说明合法理由的，视同按评标报告推荐的顺序确定排名第一的成交候选人为</w:t>
      </w:r>
      <w:r>
        <w:rPr>
          <w:rFonts w:hint="eastAsia" w:cs="宋体" w:asciiTheme="minorEastAsia" w:hAnsiTheme="minorEastAsia"/>
          <w:kern w:val="0"/>
          <w:szCs w:val="21"/>
          <w:lang w:eastAsia="zh-CN"/>
        </w:rPr>
        <w:t>中标供应商</w:t>
      </w:r>
      <w:r>
        <w:rPr>
          <w:rFonts w:hint="eastAsia" w:cs="宋体" w:asciiTheme="minorEastAsia" w:hAnsiTheme="minorEastAsia"/>
          <w:kern w:val="0"/>
          <w:szCs w:val="21"/>
        </w:rPr>
        <w:t>。</w:t>
      </w:r>
    </w:p>
    <w:p w14:paraId="61FC35FA">
      <w:pPr>
        <w:pStyle w:val="55"/>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5"/>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7361DBBF">
      <w:pPr>
        <w:pStyle w:val="55"/>
        <w:numPr>
          <w:ilvl w:val="0"/>
          <w:numId w:val="40"/>
        </w:numPr>
        <w:autoSpaceDE w:val="0"/>
        <w:autoSpaceDN w:val="0"/>
        <w:spacing w:line="360" w:lineRule="auto"/>
        <w:ind w:firstLineChars="0"/>
        <w:contextualSpacing/>
        <w:rPr>
          <w:rFonts w:cs="宋体" w:asciiTheme="minorEastAsia" w:hAnsiTheme="minorEastAsia"/>
          <w:vanish/>
          <w:kern w:val="0"/>
          <w:szCs w:val="21"/>
        </w:rPr>
      </w:pPr>
    </w:p>
    <w:p w14:paraId="70C43120">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5"/>
        <w:numPr>
          <w:ilvl w:val="0"/>
          <w:numId w:val="60"/>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5"/>
        <w:autoSpaceDE w:val="0"/>
        <w:autoSpaceDN w:val="0"/>
        <w:spacing w:line="360" w:lineRule="auto"/>
        <w:ind w:left="964" w:firstLine="0" w:firstLineChars="0"/>
        <w:contextualSpacing/>
        <w:rPr>
          <w:rFonts w:ascii="ˎ̥" w:hAnsi="ˎ̥"/>
        </w:rPr>
      </w:pPr>
    </w:p>
    <w:p w14:paraId="64E569D2">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5"/>
        <w:numPr>
          <w:ilvl w:val="0"/>
          <w:numId w:val="62"/>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5"/>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5"/>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5"/>
        <w:numPr>
          <w:ilvl w:val="0"/>
          <w:numId w:val="6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450E4097">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71F7D83F">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0DA292C2">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14:paraId="5F310C04">
      <w:pPr>
        <w:pStyle w:val="35"/>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3541DCC4">
      <w:pPr>
        <w:pStyle w:val="55"/>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5"/>
      </w:pPr>
    </w:p>
    <w:p w14:paraId="4A2EB72F">
      <w:pPr>
        <w:pStyle w:val="55"/>
        <w:numPr>
          <w:ilvl w:val="0"/>
          <w:numId w:val="63"/>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5"/>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63"/>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8"/>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5"/>
        <w:ind w:left="0" w:leftChars="0" w:firstLine="0" w:firstLineChars="0"/>
        <w:rPr>
          <w:rFonts w:ascii="宋体" w:hAnsi="宋体" w:eastAsia="宋体" w:cs="宋体"/>
          <w:sz w:val="24"/>
          <w:szCs w:val="24"/>
        </w:rPr>
      </w:pPr>
    </w:p>
    <w:p w14:paraId="342445F6">
      <w:pPr>
        <w:pStyle w:val="8"/>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6"/>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0" w:name="OLE_LINK6"/>
      <w:r>
        <w:rPr>
          <w:rFonts w:hint="eastAsia" w:cs="仿宋_GB2312" w:asciiTheme="minorEastAsia" w:hAnsiTheme="minorEastAsia"/>
          <w:szCs w:val="21"/>
          <w:lang w:val="zh-CN"/>
        </w:rPr>
        <w:t>财库[2014]68号</w:t>
      </w:r>
      <w:bookmarkEnd w:id="1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en-US" w:eastAsia="zh-CN"/>
        </w:rPr>
        <w:t>成交</w:t>
      </w:r>
      <w:r>
        <w:rPr>
          <w:rFonts w:hint="eastAsia" w:cs="仿宋_GB2312" w:asciiTheme="minorEastAsia" w:hAnsiTheme="minorEastAsia" w:eastAsiaTheme="minorEastAsia"/>
          <w:sz w:val="21"/>
          <w:szCs w:val="21"/>
          <w:lang w:val="zh-CN"/>
        </w:rPr>
        <w:t>供应商为残疾人福利性单位的，招标人应当随中标结果同时公告其《残疾人福利性单位声明函》，接受社会监督。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6"/>
        <w:spacing w:line="360" w:lineRule="auto"/>
        <w:contextualSpacing/>
        <w:rPr>
          <w:rFonts w:cs="仿宋_GB2312" w:asciiTheme="minorEastAsia" w:hAnsiTheme="minorEastAsia"/>
          <w:lang w:val="zh-CN"/>
        </w:rPr>
      </w:pPr>
    </w:p>
    <w:p w14:paraId="48F134FB">
      <w:pPr>
        <w:pStyle w:val="16"/>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5473FF4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6"/>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谈判小组对符合资格的供应商的响应文件进行审查，以确定其是否满足谈判文件的商务、技术等实质性要求。</w:t>
      </w:r>
    </w:p>
    <w:p w14:paraId="4FBAAE45">
      <w:pPr>
        <w:pStyle w:val="16"/>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6"/>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6"/>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6"/>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w:t>
      </w:r>
      <w:r>
        <w:rPr>
          <w:rFonts w:hint="eastAsia" w:ascii="宋体" w:hAnsi="宋体" w:cs="微软雅黑"/>
          <w:b/>
          <w:bCs/>
          <w:szCs w:val="21"/>
          <w:lang w:eastAsia="zh-CN"/>
        </w:rPr>
        <w:t>中标供应商</w:t>
      </w:r>
      <w:r>
        <w:rPr>
          <w:rFonts w:hint="eastAsia" w:ascii="宋体" w:hAnsi="宋体" w:cs="微软雅黑"/>
          <w:b/>
          <w:bCs/>
          <w:szCs w:val="21"/>
        </w:rPr>
        <w:t>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w:t>
      </w:r>
      <w:r>
        <w:rPr>
          <w:rFonts w:hint="eastAsia" w:ascii="宋体" w:hAnsi="宋体" w:eastAsia="宋体"/>
          <w:szCs w:val="21"/>
          <w:lang w:eastAsia="zh-CN"/>
        </w:rPr>
        <w:t>中标供应商</w:t>
      </w:r>
      <w:r>
        <w:rPr>
          <w:rFonts w:hint="eastAsia" w:ascii="宋体" w:hAnsi="宋体" w:eastAsia="宋体"/>
          <w:szCs w:val="21"/>
        </w:rPr>
        <w:t>）：</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lang w:eastAsia="zh-CN"/>
        </w:rPr>
        <w:t>中标供应商</w:t>
      </w:r>
      <w:r>
        <w:rPr>
          <w:rFonts w:hint="eastAsia" w:ascii="宋体" w:hAnsi="宋体" w:eastAsia="宋体"/>
          <w:szCs w:val="21"/>
        </w:rPr>
        <w:t>，按照《中华人民共和国民法典》《中华人民共和国政府采购法》和相关的法律法规规定，以及招标文件规定，经甲乙双方协商一致，签订本政府采购合同。</w:t>
      </w:r>
    </w:p>
    <w:p w14:paraId="6FCE30CB">
      <w:pPr>
        <w:pStyle w:val="55"/>
        <w:numPr>
          <w:ilvl w:val="0"/>
          <w:numId w:val="69"/>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w:t>
      </w:r>
      <w:r>
        <w:rPr>
          <w:rFonts w:hint="eastAsia" w:ascii="宋体" w:hAnsi="宋体" w:eastAsia="宋体"/>
          <w:szCs w:val="21"/>
          <w:lang w:eastAsia="zh-CN"/>
        </w:rPr>
        <w:t>中标供应商</w:t>
      </w:r>
      <w:r>
        <w:rPr>
          <w:rFonts w:hint="eastAsia" w:ascii="宋体" w:hAnsi="宋体" w:eastAsia="宋体"/>
          <w:szCs w:val="21"/>
        </w:rPr>
        <w:t>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w:t>
      </w:r>
      <w:r>
        <w:rPr>
          <w:rFonts w:hint="eastAsia" w:ascii="宋体" w:hAnsi="宋体" w:eastAsia="宋体"/>
          <w:szCs w:val="21"/>
          <w:lang w:eastAsia="zh-CN"/>
        </w:rPr>
        <w:t>中标供应商</w:t>
      </w:r>
      <w:r>
        <w:rPr>
          <w:rFonts w:hint="eastAsia" w:ascii="宋体" w:hAnsi="宋体" w:eastAsia="宋体"/>
          <w:szCs w:val="21"/>
        </w:rPr>
        <w:t>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7.甲乙双方违背其他合间条款。违约方赔偿对方损失。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政府采购合间融资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w:t>
      </w:r>
      <w:r>
        <w:rPr>
          <w:rFonts w:hint="eastAsia" w:ascii="宋体" w:hAnsi="宋体" w:eastAsia="宋体"/>
          <w:szCs w:val="21"/>
          <w:lang w:eastAsia="zh-CN"/>
        </w:rPr>
        <w:t>中标供应商</w:t>
      </w:r>
      <w:r>
        <w:rPr>
          <w:rFonts w:hint="eastAsia" w:ascii="宋体" w:hAnsi="宋体" w:eastAsia="宋体"/>
          <w:szCs w:val="21"/>
        </w:rPr>
        <w:t>在评标过程中作出的有关澄清、说明，承诺或者补正文件（材料）。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6"/>
        <w:spacing w:line="360" w:lineRule="auto"/>
        <w:contextualSpacing/>
        <w:jc w:val="center"/>
        <w:rPr>
          <w:rFonts w:cs="宋体" w:asciiTheme="majorEastAsia" w:hAnsiTheme="majorEastAsia" w:eastAsiaTheme="majorEastAsia"/>
          <w:b/>
          <w:kern w:val="0"/>
          <w:sz w:val="36"/>
          <w:szCs w:val="36"/>
        </w:rPr>
      </w:pPr>
    </w:p>
    <w:p w14:paraId="41147F8D">
      <w:pPr>
        <w:pStyle w:val="16"/>
        <w:spacing w:line="360" w:lineRule="auto"/>
        <w:contextualSpacing/>
        <w:jc w:val="center"/>
        <w:rPr>
          <w:rFonts w:cs="宋体" w:asciiTheme="majorEastAsia" w:hAnsiTheme="majorEastAsia" w:eastAsiaTheme="majorEastAsia"/>
          <w:b/>
          <w:kern w:val="0"/>
          <w:sz w:val="36"/>
          <w:szCs w:val="36"/>
        </w:rPr>
      </w:pPr>
    </w:p>
    <w:p w14:paraId="42EDA41E">
      <w:pPr>
        <w:pStyle w:val="16"/>
        <w:spacing w:line="360" w:lineRule="auto"/>
        <w:contextualSpacing/>
        <w:jc w:val="center"/>
        <w:rPr>
          <w:rFonts w:cs="宋体" w:asciiTheme="majorEastAsia" w:hAnsiTheme="majorEastAsia" w:eastAsiaTheme="majorEastAsia"/>
          <w:b/>
          <w:kern w:val="0"/>
          <w:sz w:val="36"/>
          <w:szCs w:val="36"/>
        </w:rPr>
      </w:pPr>
    </w:p>
    <w:p w14:paraId="34602ECD">
      <w:pPr>
        <w:pStyle w:val="16"/>
        <w:spacing w:line="360" w:lineRule="auto"/>
        <w:contextualSpacing/>
        <w:jc w:val="center"/>
        <w:rPr>
          <w:rFonts w:cs="宋体" w:asciiTheme="majorEastAsia" w:hAnsiTheme="majorEastAsia" w:eastAsiaTheme="majorEastAsia"/>
          <w:b/>
          <w:kern w:val="0"/>
          <w:sz w:val="36"/>
          <w:szCs w:val="36"/>
        </w:rPr>
      </w:pPr>
    </w:p>
    <w:p w14:paraId="21DFEA62">
      <w:pPr>
        <w:pStyle w:val="16"/>
        <w:spacing w:line="360" w:lineRule="auto"/>
        <w:contextualSpacing/>
        <w:jc w:val="center"/>
        <w:rPr>
          <w:rFonts w:cs="宋体" w:asciiTheme="majorEastAsia" w:hAnsiTheme="majorEastAsia" w:eastAsiaTheme="majorEastAsia"/>
          <w:b/>
          <w:kern w:val="0"/>
          <w:sz w:val="36"/>
          <w:szCs w:val="36"/>
        </w:rPr>
      </w:pPr>
    </w:p>
    <w:p w14:paraId="192A30AF">
      <w:pPr>
        <w:pStyle w:val="16"/>
        <w:spacing w:line="360" w:lineRule="auto"/>
        <w:contextualSpacing/>
        <w:jc w:val="center"/>
        <w:rPr>
          <w:rFonts w:cs="宋体" w:asciiTheme="majorEastAsia" w:hAnsiTheme="majorEastAsia" w:eastAsiaTheme="majorEastAsia"/>
          <w:b/>
          <w:kern w:val="0"/>
          <w:sz w:val="36"/>
          <w:szCs w:val="36"/>
        </w:rPr>
      </w:pPr>
    </w:p>
    <w:p w14:paraId="19A41FDA">
      <w:pPr>
        <w:pStyle w:val="16"/>
        <w:spacing w:line="360" w:lineRule="auto"/>
        <w:contextualSpacing/>
        <w:jc w:val="center"/>
        <w:rPr>
          <w:rFonts w:cs="宋体" w:asciiTheme="majorEastAsia" w:hAnsiTheme="majorEastAsia" w:eastAsiaTheme="majorEastAsia"/>
          <w:b/>
          <w:kern w:val="0"/>
          <w:sz w:val="36"/>
          <w:szCs w:val="36"/>
        </w:rPr>
      </w:pPr>
    </w:p>
    <w:p w14:paraId="07C6DA82">
      <w:pPr>
        <w:pStyle w:val="16"/>
        <w:spacing w:line="360" w:lineRule="auto"/>
        <w:contextualSpacing/>
        <w:jc w:val="center"/>
        <w:rPr>
          <w:rFonts w:cs="宋体" w:asciiTheme="majorEastAsia" w:hAnsiTheme="majorEastAsia" w:eastAsiaTheme="majorEastAsia"/>
          <w:b/>
          <w:kern w:val="0"/>
          <w:sz w:val="36"/>
          <w:szCs w:val="36"/>
        </w:rPr>
      </w:pPr>
    </w:p>
    <w:p w14:paraId="49844736">
      <w:pPr>
        <w:pStyle w:val="16"/>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lang w:eastAsia="zh-CN"/>
              </w:rPr>
              <w:t>供应商</w:t>
            </w:r>
            <w:r>
              <w:rPr>
                <w:rFonts w:hint="eastAsia" w:ascii="宋体" w:hAnsi="宋体" w:cs="微软雅黑"/>
                <w:b/>
                <w:szCs w:val="21"/>
              </w:rPr>
              <w:t>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供应商</w:t>
            </w:r>
            <w:r>
              <w:rPr>
                <w:rFonts w:hint="eastAsia" w:hAnsi="宋体"/>
                <w:color w:val="000000" w:themeColor="text1"/>
                <w:kern w:val="0"/>
                <w:sz w:val="21"/>
                <w:szCs w:val="21"/>
                <w14:textFill>
                  <w14:solidFill>
                    <w14:schemeClr w14:val="tx1"/>
                  </w14:solidFill>
                </w14:textFill>
              </w:rPr>
              <w:t>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6"/>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6"/>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6"/>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5"/>
        <w:rPr>
          <w:lang w:val="zh-CN"/>
        </w:rPr>
      </w:pPr>
    </w:p>
    <w:p w14:paraId="6418E7B1">
      <w:pPr>
        <w:pStyle w:val="35"/>
        <w:rPr>
          <w:lang w:val="zh-CN"/>
        </w:rPr>
      </w:pPr>
    </w:p>
    <w:p w14:paraId="6834617F">
      <w:pPr>
        <w:pStyle w:val="35"/>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6"/>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6"/>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w:t>
      </w:r>
      <w:r>
        <w:rPr>
          <w:rFonts w:hint="eastAsia" w:ascii="宋体" w:hAnsi="宋体"/>
          <w:szCs w:val="21"/>
          <w:lang w:eastAsia="zh-CN"/>
        </w:rPr>
        <w:t>供应商</w:t>
      </w:r>
      <w:r>
        <w:rPr>
          <w:rFonts w:hint="eastAsia" w:ascii="宋体" w:hAnsi="宋体"/>
          <w:szCs w:val="21"/>
        </w:rPr>
        <w:t>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3"/>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3"/>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6"/>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31FEBED6">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6"/>
        <w:adjustRightInd w:val="0"/>
        <w:snapToGrid w:val="0"/>
        <w:spacing w:line="360" w:lineRule="auto"/>
        <w:rPr>
          <w:rFonts w:asciiTheme="minorEastAsia" w:hAnsiTheme="minorEastAsia" w:eastAsiaTheme="minorEastAsia"/>
          <w:sz w:val="21"/>
          <w:szCs w:val="21"/>
        </w:rPr>
      </w:pPr>
    </w:p>
    <w:p w14:paraId="7F85629C">
      <w:pPr>
        <w:pStyle w:val="16"/>
        <w:adjustRightInd w:val="0"/>
        <w:snapToGrid w:val="0"/>
        <w:spacing w:line="360" w:lineRule="auto"/>
        <w:rPr>
          <w:rFonts w:asciiTheme="minorEastAsia" w:hAnsiTheme="minorEastAsia" w:eastAsiaTheme="minorEastAsia"/>
          <w:sz w:val="21"/>
          <w:szCs w:val="21"/>
        </w:rPr>
      </w:pPr>
    </w:p>
    <w:p w14:paraId="203D096D">
      <w:pPr>
        <w:pStyle w:val="1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7"/>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7"/>
        <w:spacing w:line="480" w:lineRule="auto"/>
        <w:ind w:firstLine="472" w:firstLineChars="225"/>
        <w:jc w:val="left"/>
        <w:rPr>
          <w:rFonts w:asciiTheme="minorEastAsia" w:hAnsiTheme="minorEastAsia"/>
          <w:sz w:val="21"/>
          <w:szCs w:val="21"/>
        </w:rPr>
      </w:pPr>
    </w:p>
    <w:p w14:paraId="62685995">
      <w:pPr>
        <w:pStyle w:val="57"/>
        <w:spacing w:line="480" w:lineRule="auto"/>
        <w:ind w:firstLine="472" w:firstLineChars="225"/>
        <w:jc w:val="left"/>
        <w:rPr>
          <w:rFonts w:asciiTheme="minorEastAsia" w:hAnsiTheme="minorEastAsia"/>
          <w:sz w:val="21"/>
          <w:szCs w:val="21"/>
        </w:rPr>
      </w:pPr>
    </w:p>
    <w:p w14:paraId="6C6B6AEA">
      <w:pPr>
        <w:pStyle w:val="57"/>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7"/>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60"/>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9"/>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10"/>
        <w:rPr>
          <w:rFonts w:ascii="宋体" w:cs="宋体"/>
          <w:sz w:val="24"/>
          <w:lang w:val="zh-CN"/>
        </w:rPr>
      </w:pPr>
    </w:p>
    <w:p w14:paraId="00CBE165">
      <w:pPr>
        <w:pStyle w:val="10"/>
        <w:rPr>
          <w:rFonts w:ascii="宋体" w:cs="宋体"/>
          <w:sz w:val="24"/>
          <w:lang w:val="zh-CN"/>
        </w:rPr>
      </w:pPr>
    </w:p>
    <w:p w14:paraId="21A4412C">
      <w:pPr>
        <w:pStyle w:val="10"/>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w:t>
      </w:r>
      <w:r>
        <w:rPr>
          <w:rFonts w:hint="eastAsia" w:ascii="宋体" w:hAnsi="宋体"/>
          <w:b/>
          <w:bCs/>
          <w:sz w:val="24"/>
          <w:szCs w:val="24"/>
          <w:lang w:eastAsia="zh-CN"/>
        </w:rPr>
        <w:t>供应商</w:t>
      </w:r>
      <w:r>
        <w:rPr>
          <w:rFonts w:hint="eastAsia" w:ascii="宋体" w:hAnsi="宋体"/>
          <w:b/>
          <w:bCs/>
          <w:sz w:val="24"/>
          <w:szCs w:val="24"/>
        </w:rPr>
        <w:t>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w:t>
      </w:r>
      <w:r>
        <w:rPr>
          <w:rFonts w:hint="eastAsia" w:ascii="宋体" w:hAnsi="宋体"/>
          <w:b/>
          <w:bCs/>
          <w:sz w:val="24"/>
          <w:szCs w:val="24"/>
          <w:lang w:eastAsia="zh-CN"/>
        </w:rPr>
        <w:t>供应商</w:t>
      </w:r>
      <w:r>
        <w:rPr>
          <w:rFonts w:hint="eastAsia" w:ascii="宋体" w:hAnsi="宋体"/>
          <w:b/>
          <w:bCs/>
          <w:sz w:val="24"/>
          <w:szCs w:val="24"/>
        </w:rPr>
        <w:t>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7"/>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7"/>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7"/>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7"/>
              <w:spacing w:line="360" w:lineRule="auto"/>
              <w:rPr>
                <w:rFonts w:ascii="宋体" w:hAnsi="宋体" w:eastAsia="宋体" w:cs="Times New Roman"/>
                <w:sz w:val="21"/>
                <w:szCs w:val="21"/>
              </w:rPr>
            </w:pPr>
          </w:p>
        </w:tc>
        <w:tc>
          <w:tcPr>
            <w:tcW w:w="3579" w:type="dxa"/>
            <w:vAlign w:val="center"/>
          </w:tcPr>
          <w:p w14:paraId="6BE38495">
            <w:pPr>
              <w:pStyle w:val="7"/>
              <w:spacing w:line="360" w:lineRule="auto"/>
              <w:rPr>
                <w:rFonts w:ascii="宋体" w:hAnsi="宋体" w:eastAsia="宋体" w:cs="Times New Roman"/>
                <w:sz w:val="21"/>
                <w:szCs w:val="21"/>
              </w:rPr>
            </w:pPr>
          </w:p>
        </w:tc>
        <w:tc>
          <w:tcPr>
            <w:tcW w:w="1440" w:type="dxa"/>
            <w:vAlign w:val="center"/>
          </w:tcPr>
          <w:p w14:paraId="587EAB21">
            <w:pPr>
              <w:pStyle w:val="7"/>
              <w:spacing w:line="360" w:lineRule="auto"/>
              <w:rPr>
                <w:rFonts w:ascii="宋体" w:hAnsi="宋体" w:eastAsia="宋体" w:cs="Times New Roman"/>
                <w:sz w:val="21"/>
                <w:szCs w:val="21"/>
              </w:rPr>
            </w:pPr>
          </w:p>
        </w:tc>
        <w:tc>
          <w:tcPr>
            <w:tcW w:w="1706" w:type="dxa"/>
            <w:vAlign w:val="center"/>
          </w:tcPr>
          <w:p w14:paraId="22315D90">
            <w:pPr>
              <w:pStyle w:val="7"/>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7"/>
              <w:spacing w:line="360" w:lineRule="auto"/>
              <w:rPr>
                <w:rFonts w:ascii="宋体" w:hAnsi="宋体" w:eastAsia="宋体" w:cs="Times New Roman"/>
                <w:sz w:val="21"/>
                <w:szCs w:val="21"/>
              </w:rPr>
            </w:pPr>
          </w:p>
        </w:tc>
        <w:tc>
          <w:tcPr>
            <w:tcW w:w="3579" w:type="dxa"/>
            <w:vAlign w:val="center"/>
          </w:tcPr>
          <w:p w14:paraId="19532459">
            <w:pPr>
              <w:pStyle w:val="7"/>
              <w:spacing w:line="360" w:lineRule="auto"/>
              <w:rPr>
                <w:rFonts w:ascii="宋体" w:hAnsi="宋体" w:eastAsia="宋体" w:cs="Times New Roman"/>
                <w:sz w:val="21"/>
                <w:szCs w:val="21"/>
              </w:rPr>
            </w:pPr>
          </w:p>
        </w:tc>
        <w:tc>
          <w:tcPr>
            <w:tcW w:w="1440" w:type="dxa"/>
            <w:vAlign w:val="center"/>
          </w:tcPr>
          <w:p w14:paraId="74A3CD0B">
            <w:pPr>
              <w:pStyle w:val="7"/>
              <w:spacing w:line="360" w:lineRule="auto"/>
              <w:rPr>
                <w:rFonts w:ascii="宋体" w:hAnsi="宋体" w:eastAsia="宋体" w:cs="Times New Roman"/>
                <w:sz w:val="21"/>
                <w:szCs w:val="21"/>
              </w:rPr>
            </w:pPr>
          </w:p>
        </w:tc>
        <w:tc>
          <w:tcPr>
            <w:tcW w:w="1706" w:type="dxa"/>
            <w:vAlign w:val="center"/>
          </w:tcPr>
          <w:p w14:paraId="07BBCB1A">
            <w:pPr>
              <w:pStyle w:val="7"/>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7"/>
              <w:spacing w:line="360" w:lineRule="auto"/>
              <w:rPr>
                <w:rFonts w:ascii="宋体" w:hAnsi="宋体" w:eastAsia="宋体" w:cs="Times New Roman"/>
                <w:sz w:val="21"/>
                <w:szCs w:val="21"/>
              </w:rPr>
            </w:pPr>
          </w:p>
        </w:tc>
        <w:tc>
          <w:tcPr>
            <w:tcW w:w="3579" w:type="dxa"/>
            <w:vAlign w:val="center"/>
          </w:tcPr>
          <w:p w14:paraId="609A503B">
            <w:pPr>
              <w:pStyle w:val="7"/>
              <w:spacing w:line="360" w:lineRule="auto"/>
              <w:rPr>
                <w:rFonts w:ascii="宋体" w:hAnsi="宋体" w:eastAsia="宋体" w:cs="Times New Roman"/>
                <w:sz w:val="21"/>
                <w:szCs w:val="21"/>
              </w:rPr>
            </w:pPr>
          </w:p>
        </w:tc>
        <w:tc>
          <w:tcPr>
            <w:tcW w:w="1440" w:type="dxa"/>
            <w:vAlign w:val="center"/>
          </w:tcPr>
          <w:p w14:paraId="1A21A8E6">
            <w:pPr>
              <w:pStyle w:val="7"/>
              <w:spacing w:line="360" w:lineRule="auto"/>
              <w:rPr>
                <w:rFonts w:ascii="宋体" w:hAnsi="宋体" w:eastAsia="宋体" w:cs="Times New Roman"/>
                <w:sz w:val="21"/>
                <w:szCs w:val="21"/>
              </w:rPr>
            </w:pPr>
          </w:p>
        </w:tc>
        <w:tc>
          <w:tcPr>
            <w:tcW w:w="1706" w:type="dxa"/>
            <w:vAlign w:val="center"/>
          </w:tcPr>
          <w:p w14:paraId="1AF7E261">
            <w:pPr>
              <w:pStyle w:val="7"/>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7"/>
              <w:spacing w:line="360" w:lineRule="auto"/>
              <w:rPr>
                <w:rFonts w:ascii="宋体" w:hAnsi="宋体" w:eastAsia="宋体" w:cs="Times New Roman"/>
                <w:sz w:val="21"/>
                <w:szCs w:val="21"/>
              </w:rPr>
            </w:pPr>
          </w:p>
        </w:tc>
        <w:tc>
          <w:tcPr>
            <w:tcW w:w="814" w:type="pct"/>
            <w:vAlign w:val="center"/>
          </w:tcPr>
          <w:p w14:paraId="51DC7484">
            <w:pPr>
              <w:pStyle w:val="7"/>
              <w:spacing w:line="360" w:lineRule="auto"/>
              <w:rPr>
                <w:rFonts w:ascii="宋体" w:hAnsi="宋体" w:eastAsia="宋体" w:cs="Times New Roman"/>
                <w:sz w:val="21"/>
                <w:szCs w:val="21"/>
              </w:rPr>
            </w:pPr>
          </w:p>
        </w:tc>
        <w:tc>
          <w:tcPr>
            <w:tcW w:w="665" w:type="pct"/>
          </w:tcPr>
          <w:p w14:paraId="62A1160F">
            <w:pPr>
              <w:pStyle w:val="7"/>
              <w:spacing w:line="360" w:lineRule="auto"/>
              <w:rPr>
                <w:rFonts w:ascii="宋体" w:hAnsi="宋体" w:eastAsia="宋体" w:cs="Times New Roman"/>
                <w:sz w:val="21"/>
                <w:szCs w:val="21"/>
              </w:rPr>
            </w:pPr>
          </w:p>
        </w:tc>
        <w:tc>
          <w:tcPr>
            <w:tcW w:w="884" w:type="pct"/>
          </w:tcPr>
          <w:p w14:paraId="621A2FA7">
            <w:pPr>
              <w:pStyle w:val="7"/>
              <w:spacing w:line="360" w:lineRule="auto"/>
              <w:rPr>
                <w:rFonts w:ascii="宋体" w:hAnsi="宋体" w:eastAsia="宋体" w:cs="Times New Roman"/>
                <w:sz w:val="21"/>
                <w:szCs w:val="21"/>
              </w:rPr>
            </w:pPr>
          </w:p>
        </w:tc>
        <w:tc>
          <w:tcPr>
            <w:tcW w:w="858" w:type="pct"/>
          </w:tcPr>
          <w:p w14:paraId="30F1839F">
            <w:pPr>
              <w:pStyle w:val="7"/>
              <w:spacing w:line="360" w:lineRule="auto"/>
              <w:rPr>
                <w:rFonts w:ascii="宋体" w:hAnsi="宋体" w:eastAsia="宋体" w:cs="Times New Roman"/>
                <w:sz w:val="21"/>
                <w:szCs w:val="21"/>
              </w:rPr>
            </w:pPr>
          </w:p>
        </w:tc>
        <w:tc>
          <w:tcPr>
            <w:tcW w:w="760" w:type="pct"/>
          </w:tcPr>
          <w:p w14:paraId="1F59D518">
            <w:pPr>
              <w:pStyle w:val="7"/>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7"/>
              <w:spacing w:line="360" w:lineRule="auto"/>
              <w:rPr>
                <w:rFonts w:ascii="宋体" w:hAnsi="宋体" w:eastAsia="宋体" w:cs="Times New Roman"/>
                <w:sz w:val="21"/>
                <w:szCs w:val="21"/>
              </w:rPr>
            </w:pPr>
          </w:p>
        </w:tc>
        <w:tc>
          <w:tcPr>
            <w:tcW w:w="814" w:type="pct"/>
            <w:vAlign w:val="center"/>
          </w:tcPr>
          <w:p w14:paraId="6DCDD4C5">
            <w:pPr>
              <w:pStyle w:val="7"/>
              <w:spacing w:line="360" w:lineRule="auto"/>
              <w:rPr>
                <w:rFonts w:ascii="宋体" w:hAnsi="宋体" w:eastAsia="宋体" w:cs="Times New Roman"/>
                <w:sz w:val="21"/>
                <w:szCs w:val="21"/>
              </w:rPr>
            </w:pPr>
          </w:p>
        </w:tc>
        <w:tc>
          <w:tcPr>
            <w:tcW w:w="665" w:type="pct"/>
          </w:tcPr>
          <w:p w14:paraId="7DB7A326">
            <w:pPr>
              <w:pStyle w:val="7"/>
              <w:spacing w:line="360" w:lineRule="auto"/>
              <w:rPr>
                <w:rFonts w:ascii="宋体" w:hAnsi="宋体" w:eastAsia="宋体" w:cs="Times New Roman"/>
                <w:sz w:val="21"/>
                <w:szCs w:val="21"/>
              </w:rPr>
            </w:pPr>
          </w:p>
        </w:tc>
        <w:tc>
          <w:tcPr>
            <w:tcW w:w="884" w:type="pct"/>
          </w:tcPr>
          <w:p w14:paraId="2F998864">
            <w:pPr>
              <w:pStyle w:val="7"/>
              <w:spacing w:line="360" w:lineRule="auto"/>
              <w:rPr>
                <w:rFonts w:ascii="宋体" w:hAnsi="宋体" w:eastAsia="宋体" w:cs="Times New Roman"/>
                <w:sz w:val="21"/>
                <w:szCs w:val="21"/>
              </w:rPr>
            </w:pPr>
          </w:p>
        </w:tc>
        <w:tc>
          <w:tcPr>
            <w:tcW w:w="858" w:type="pct"/>
          </w:tcPr>
          <w:p w14:paraId="0E071A88">
            <w:pPr>
              <w:pStyle w:val="7"/>
              <w:spacing w:line="360" w:lineRule="auto"/>
              <w:rPr>
                <w:rFonts w:ascii="宋体" w:hAnsi="宋体" w:eastAsia="宋体" w:cs="Times New Roman"/>
                <w:sz w:val="21"/>
                <w:szCs w:val="21"/>
              </w:rPr>
            </w:pPr>
          </w:p>
        </w:tc>
        <w:tc>
          <w:tcPr>
            <w:tcW w:w="760" w:type="pct"/>
          </w:tcPr>
          <w:p w14:paraId="779FC184">
            <w:pPr>
              <w:pStyle w:val="7"/>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7"/>
              <w:spacing w:line="360" w:lineRule="auto"/>
              <w:rPr>
                <w:rFonts w:ascii="宋体" w:hAnsi="宋体" w:eastAsia="宋体" w:cs="Times New Roman"/>
                <w:sz w:val="21"/>
                <w:szCs w:val="21"/>
              </w:rPr>
            </w:pPr>
          </w:p>
        </w:tc>
        <w:tc>
          <w:tcPr>
            <w:tcW w:w="814" w:type="pct"/>
            <w:vAlign w:val="center"/>
          </w:tcPr>
          <w:p w14:paraId="3D5E031F">
            <w:pPr>
              <w:pStyle w:val="7"/>
              <w:spacing w:line="360" w:lineRule="auto"/>
              <w:rPr>
                <w:rFonts w:ascii="宋体" w:hAnsi="宋体" w:eastAsia="宋体" w:cs="Times New Roman"/>
                <w:sz w:val="21"/>
                <w:szCs w:val="21"/>
              </w:rPr>
            </w:pPr>
          </w:p>
        </w:tc>
        <w:tc>
          <w:tcPr>
            <w:tcW w:w="665" w:type="pct"/>
          </w:tcPr>
          <w:p w14:paraId="1571D391">
            <w:pPr>
              <w:pStyle w:val="7"/>
              <w:spacing w:line="360" w:lineRule="auto"/>
              <w:rPr>
                <w:rFonts w:ascii="宋体" w:hAnsi="宋体" w:eastAsia="宋体" w:cs="Times New Roman"/>
                <w:sz w:val="21"/>
                <w:szCs w:val="21"/>
              </w:rPr>
            </w:pPr>
          </w:p>
        </w:tc>
        <w:tc>
          <w:tcPr>
            <w:tcW w:w="884" w:type="pct"/>
          </w:tcPr>
          <w:p w14:paraId="13C3F957">
            <w:pPr>
              <w:pStyle w:val="7"/>
              <w:spacing w:line="360" w:lineRule="auto"/>
              <w:rPr>
                <w:rFonts w:ascii="宋体" w:hAnsi="宋体" w:eastAsia="宋体" w:cs="Times New Roman"/>
                <w:sz w:val="21"/>
                <w:szCs w:val="21"/>
              </w:rPr>
            </w:pPr>
          </w:p>
        </w:tc>
        <w:tc>
          <w:tcPr>
            <w:tcW w:w="858" w:type="pct"/>
          </w:tcPr>
          <w:p w14:paraId="6D5EC009">
            <w:pPr>
              <w:pStyle w:val="7"/>
              <w:spacing w:line="360" w:lineRule="auto"/>
              <w:rPr>
                <w:rFonts w:ascii="宋体" w:hAnsi="宋体" w:eastAsia="宋体" w:cs="Times New Roman"/>
                <w:sz w:val="21"/>
                <w:szCs w:val="21"/>
              </w:rPr>
            </w:pPr>
          </w:p>
        </w:tc>
        <w:tc>
          <w:tcPr>
            <w:tcW w:w="760" w:type="pct"/>
          </w:tcPr>
          <w:p w14:paraId="27F805C0">
            <w:pPr>
              <w:pStyle w:val="7"/>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7"/>
              <w:spacing w:line="360" w:lineRule="auto"/>
              <w:rPr>
                <w:rFonts w:ascii="宋体" w:hAnsi="宋体" w:eastAsia="宋体" w:cs="Times New Roman"/>
                <w:sz w:val="21"/>
                <w:szCs w:val="21"/>
              </w:rPr>
            </w:pPr>
          </w:p>
        </w:tc>
        <w:tc>
          <w:tcPr>
            <w:tcW w:w="814" w:type="pct"/>
            <w:vAlign w:val="center"/>
          </w:tcPr>
          <w:p w14:paraId="02C32D16">
            <w:pPr>
              <w:pStyle w:val="7"/>
              <w:spacing w:line="360" w:lineRule="auto"/>
              <w:rPr>
                <w:rFonts w:ascii="宋体" w:hAnsi="宋体" w:eastAsia="宋体" w:cs="Times New Roman"/>
                <w:sz w:val="21"/>
                <w:szCs w:val="21"/>
              </w:rPr>
            </w:pPr>
          </w:p>
        </w:tc>
        <w:tc>
          <w:tcPr>
            <w:tcW w:w="665" w:type="pct"/>
          </w:tcPr>
          <w:p w14:paraId="6EEEC2EE">
            <w:pPr>
              <w:pStyle w:val="7"/>
              <w:spacing w:line="360" w:lineRule="auto"/>
              <w:rPr>
                <w:rFonts w:ascii="宋体" w:hAnsi="宋体" w:eastAsia="宋体" w:cs="Times New Roman"/>
                <w:sz w:val="21"/>
                <w:szCs w:val="21"/>
              </w:rPr>
            </w:pPr>
          </w:p>
        </w:tc>
        <w:tc>
          <w:tcPr>
            <w:tcW w:w="884" w:type="pct"/>
          </w:tcPr>
          <w:p w14:paraId="458AEE36">
            <w:pPr>
              <w:pStyle w:val="7"/>
              <w:spacing w:line="360" w:lineRule="auto"/>
              <w:rPr>
                <w:rFonts w:ascii="宋体" w:hAnsi="宋体" w:eastAsia="宋体" w:cs="Times New Roman"/>
                <w:sz w:val="21"/>
                <w:szCs w:val="21"/>
              </w:rPr>
            </w:pPr>
          </w:p>
        </w:tc>
        <w:tc>
          <w:tcPr>
            <w:tcW w:w="858" w:type="pct"/>
          </w:tcPr>
          <w:p w14:paraId="5F919222">
            <w:pPr>
              <w:pStyle w:val="7"/>
              <w:spacing w:line="360" w:lineRule="auto"/>
              <w:rPr>
                <w:rFonts w:ascii="宋体" w:hAnsi="宋体" w:eastAsia="宋体" w:cs="Times New Roman"/>
                <w:sz w:val="21"/>
                <w:szCs w:val="21"/>
              </w:rPr>
            </w:pPr>
          </w:p>
        </w:tc>
        <w:tc>
          <w:tcPr>
            <w:tcW w:w="760" w:type="pct"/>
          </w:tcPr>
          <w:p w14:paraId="0691C10A">
            <w:pPr>
              <w:pStyle w:val="7"/>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7"/>
              <w:spacing w:line="360" w:lineRule="auto"/>
              <w:rPr>
                <w:rFonts w:ascii="宋体" w:hAnsi="宋体" w:eastAsia="宋体" w:cs="Times New Roman"/>
                <w:sz w:val="21"/>
                <w:szCs w:val="21"/>
              </w:rPr>
            </w:pPr>
          </w:p>
        </w:tc>
        <w:tc>
          <w:tcPr>
            <w:tcW w:w="814" w:type="pct"/>
            <w:vAlign w:val="center"/>
          </w:tcPr>
          <w:p w14:paraId="723FDDF8">
            <w:pPr>
              <w:pStyle w:val="7"/>
              <w:spacing w:line="360" w:lineRule="auto"/>
              <w:rPr>
                <w:rFonts w:ascii="宋体" w:hAnsi="宋体" w:eastAsia="宋体" w:cs="Times New Roman"/>
                <w:sz w:val="21"/>
                <w:szCs w:val="21"/>
              </w:rPr>
            </w:pPr>
          </w:p>
        </w:tc>
        <w:tc>
          <w:tcPr>
            <w:tcW w:w="665" w:type="pct"/>
          </w:tcPr>
          <w:p w14:paraId="422145C6">
            <w:pPr>
              <w:pStyle w:val="7"/>
              <w:spacing w:line="360" w:lineRule="auto"/>
              <w:rPr>
                <w:rFonts w:ascii="宋体" w:hAnsi="宋体" w:eastAsia="宋体" w:cs="Times New Roman"/>
                <w:sz w:val="21"/>
                <w:szCs w:val="21"/>
              </w:rPr>
            </w:pPr>
          </w:p>
        </w:tc>
        <w:tc>
          <w:tcPr>
            <w:tcW w:w="884" w:type="pct"/>
          </w:tcPr>
          <w:p w14:paraId="256302B1">
            <w:pPr>
              <w:pStyle w:val="7"/>
              <w:spacing w:line="360" w:lineRule="auto"/>
              <w:rPr>
                <w:rFonts w:ascii="宋体" w:hAnsi="宋体" w:eastAsia="宋体" w:cs="Times New Roman"/>
                <w:sz w:val="21"/>
                <w:szCs w:val="21"/>
              </w:rPr>
            </w:pPr>
          </w:p>
        </w:tc>
        <w:tc>
          <w:tcPr>
            <w:tcW w:w="858" w:type="pct"/>
          </w:tcPr>
          <w:p w14:paraId="477793E6">
            <w:pPr>
              <w:pStyle w:val="7"/>
              <w:spacing w:line="360" w:lineRule="auto"/>
              <w:rPr>
                <w:rFonts w:ascii="宋体" w:hAnsi="宋体" w:eastAsia="宋体" w:cs="Times New Roman"/>
                <w:sz w:val="21"/>
                <w:szCs w:val="21"/>
              </w:rPr>
            </w:pPr>
          </w:p>
        </w:tc>
        <w:tc>
          <w:tcPr>
            <w:tcW w:w="760" w:type="pct"/>
          </w:tcPr>
          <w:p w14:paraId="0B8493E5">
            <w:pPr>
              <w:pStyle w:val="7"/>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7"/>
              <w:spacing w:line="360" w:lineRule="auto"/>
              <w:rPr>
                <w:rFonts w:ascii="宋体" w:hAnsi="宋体" w:eastAsia="宋体" w:cs="Times New Roman"/>
                <w:sz w:val="21"/>
                <w:szCs w:val="21"/>
              </w:rPr>
            </w:pPr>
          </w:p>
        </w:tc>
        <w:tc>
          <w:tcPr>
            <w:tcW w:w="814" w:type="pct"/>
            <w:vAlign w:val="center"/>
          </w:tcPr>
          <w:p w14:paraId="74C13E84">
            <w:pPr>
              <w:pStyle w:val="7"/>
              <w:spacing w:line="360" w:lineRule="auto"/>
              <w:rPr>
                <w:rFonts w:ascii="宋体" w:hAnsi="宋体" w:eastAsia="宋体" w:cs="Times New Roman"/>
                <w:sz w:val="21"/>
                <w:szCs w:val="21"/>
              </w:rPr>
            </w:pPr>
          </w:p>
        </w:tc>
        <w:tc>
          <w:tcPr>
            <w:tcW w:w="665" w:type="pct"/>
          </w:tcPr>
          <w:p w14:paraId="0EE31D6C">
            <w:pPr>
              <w:pStyle w:val="7"/>
              <w:spacing w:line="360" w:lineRule="auto"/>
              <w:rPr>
                <w:rFonts w:ascii="宋体" w:hAnsi="宋体" w:eastAsia="宋体" w:cs="Times New Roman"/>
                <w:sz w:val="21"/>
                <w:szCs w:val="21"/>
              </w:rPr>
            </w:pPr>
          </w:p>
        </w:tc>
        <w:tc>
          <w:tcPr>
            <w:tcW w:w="884" w:type="pct"/>
          </w:tcPr>
          <w:p w14:paraId="119F68FA">
            <w:pPr>
              <w:pStyle w:val="7"/>
              <w:spacing w:line="360" w:lineRule="auto"/>
              <w:rPr>
                <w:rFonts w:ascii="宋体" w:hAnsi="宋体" w:eastAsia="宋体" w:cs="Times New Roman"/>
                <w:sz w:val="21"/>
                <w:szCs w:val="21"/>
              </w:rPr>
            </w:pPr>
          </w:p>
        </w:tc>
        <w:tc>
          <w:tcPr>
            <w:tcW w:w="858" w:type="pct"/>
          </w:tcPr>
          <w:p w14:paraId="679D98E0">
            <w:pPr>
              <w:pStyle w:val="7"/>
              <w:spacing w:line="360" w:lineRule="auto"/>
              <w:rPr>
                <w:rFonts w:ascii="宋体" w:hAnsi="宋体" w:eastAsia="宋体" w:cs="Times New Roman"/>
                <w:sz w:val="21"/>
                <w:szCs w:val="21"/>
              </w:rPr>
            </w:pPr>
          </w:p>
        </w:tc>
        <w:tc>
          <w:tcPr>
            <w:tcW w:w="760" w:type="pct"/>
          </w:tcPr>
          <w:p w14:paraId="3B16CC48">
            <w:pPr>
              <w:pStyle w:val="7"/>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7"/>
              <w:spacing w:line="360" w:lineRule="auto"/>
              <w:rPr>
                <w:rFonts w:ascii="宋体" w:hAnsi="宋体" w:eastAsia="宋体" w:cs="Times New Roman"/>
                <w:sz w:val="21"/>
                <w:szCs w:val="21"/>
              </w:rPr>
            </w:pPr>
          </w:p>
        </w:tc>
        <w:tc>
          <w:tcPr>
            <w:tcW w:w="814" w:type="pct"/>
            <w:vAlign w:val="center"/>
          </w:tcPr>
          <w:p w14:paraId="3F1D3D64">
            <w:pPr>
              <w:pStyle w:val="7"/>
              <w:spacing w:line="360" w:lineRule="auto"/>
              <w:rPr>
                <w:rFonts w:ascii="宋体" w:hAnsi="宋体" w:eastAsia="宋体" w:cs="Times New Roman"/>
                <w:sz w:val="21"/>
                <w:szCs w:val="21"/>
              </w:rPr>
            </w:pPr>
          </w:p>
        </w:tc>
        <w:tc>
          <w:tcPr>
            <w:tcW w:w="665" w:type="pct"/>
          </w:tcPr>
          <w:p w14:paraId="4A3550F0">
            <w:pPr>
              <w:pStyle w:val="7"/>
              <w:spacing w:line="360" w:lineRule="auto"/>
              <w:rPr>
                <w:rFonts w:ascii="宋体" w:hAnsi="宋体" w:eastAsia="宋体" w:cs="Times New Roman"/>
                <w:sz w:val="21"/>
                <w:szCs w:val="21"/>
              </w:rPr>
            </w:pPr>
          </w:p>
        </w:tc>
        <w:tc>
          <w:tcPr>
            <w:tcW w:w="884" w:type="pct"/>
          </w:tcPr>
          <w:p w14:paraId="1E6A429C">
            <w:pPr>
              <w:pStyle w:val="7"/>
              <w:spacing w:line="360" w:lineRule="auto"/>
              <w:rPr>
                <w:rFonts w:ascii="宋体" w:hAnsi="宋体" w:eastAsia="宋体" w:cs="Times New Roman"/>
                <w:sz w:val="21"/>
                <w:szCs w:val="21"/>
              </w:rPr>
            </w:pPr>
          </w:p>
        </w:tc>
        <w:tc>
          <w:tcPr>
            <w:tcW w:w="858" w:type="pct"/>
          </w:tcPr>
          <w:p w14:paraId="605B6D65">
            <w:pPr>
              <w:pStyle w:val="7"/>
              <w:spacing w:line="360" w:lineRule="auto"/>
              <w:rPr>
                <w:rFonts w:ascii="宋体" w:hAnsi="宋体" w:eastAsia="宋体" w:cs="Times New Roman"/>
                <w:sz w:val="21"/>
                <w:szCs w:val="21"/>
              </w:rPr>
            </w:pPr>
          </w:p>
        </w:tc>
        <w:tc>
          <w:tcPr>
            <w:tcW w:w="760" w:type="pct"/>
          </w:tcPr>
          <w:p w14:paraId="6F1F61DC">
            <w:pPr>
              <w:pStyle w:val="7"/>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7"/>
              <w:spacing w:line="360" w:lineRule="auto"/>
              <w:rPr>
                <w:rFonts w:ascii="宋体" w:hAnsi="宋体" w:eastAsia="宋体" w:cs="Times New Roman"/>
                <w:sz w:val="21"/>
                <w:szCs w:val="21"/>
              </w:rPr>
            </w:pPr>
          </w:p>
        </w:tc>
        <w:tc>
          <w:tcPr>
            <w:tcW w:w="814" w:type="pct"/>
            <w:vAlign w:val="center"/>
          </w:tcPr>
          <w:p w14:paraId="016A9A5B">
            <w:pPr>
              <w:pStyle w:val="7"/>
              <w:spacing w:line="360" w:lineRule="auto"/>
              <w:rPr>
                <w:rFonts w:ascii="宋体" w:hAnsi="宋体" w:eastAsia="宋体" w:cs="Times New Roman"/>
                <w:sz w:val="21"/>
                <w:szCs w:val="21"/>
              </w:rPr>
            </w:pPr>
          </w:p>
        </w:tc>
        <w:tc>
          <w:tcPr>
            <w:tcW w:w="665" w:type="pct"/>
          </w:tcPr>
          <w:p w14:paraId="05004B4F">
            <w:pPr>
              <w:pStyle w:val="7"/>
              <w:spacing w:line="360" w:lineRule="auto"/>
              <w:rPr>
                <w:rFonts w:ascii="宋体" w:hAnsi="宋体" w:eastAsia="宋体" w:cs="Times New Roman"/>
                <w:sz w:val="21"/>
                <w:szCs w:val="21"/>
              </w:rPr>
            </w:pPr>
          </w:p>
        </w:tc>
        <w:tc>
          <w:tcPr>
            <w:tcW w:w="884" w:type="pct"/>
          </w:tcPr>
          <w:p w14:paraId="1B64F57E">
            <w:pPr>
              <w:pStyle w:val="7"/>
              <w:spacing w:line="360" w:lineRule="auto"/>
              <w:rPr>
                <w:rFonts w:ascii="宋体" w:hAnsi="宋体" w:eastAsia="宋体" w:cs="Times New Roman"/>
                <w:sz w:val="21"/>
                <w:szCs w:val="21"/>
              </w:rPr>
            </w:pPr>
          </w:p>
        </w:tc>
        <w:tc>
          <w:tcPr>
            <w:tcW w:w="858" w:type="pct"/>
          </w:tcPr>
          <w:p w14:paraId="1DAF397A">
            <w:pPr>
              <w:pStyle w:val="7"/>
              <w:spacing w:line="360" w:lineRule="auto"/>
              <w:rPr>
                <w:rFonts w:ascii="宋体" w:hAnsi="宋体" w:eastAsia="宋体" w:cs="Times New Roman"/>
                <w:sz w:val="21"/>
                <w:szCs w:val="21"/>
              </w:rPr>
            </w:pPr>
          </w:p>
        </w:tc>
        <w:tc>
          <w:tcPr>
            <w:tcW w:w="760" w:type="pct"/>
          </w:tcPr>
          <w:p w14:paraId="05168403">
            <w:pPr>
              <w:pStyle w:val="7"/>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7"/>
              <w:spacing w:line="360" w:lineRule="auto"/>
              <w:rPr>
                <w:rFonts w:ascii="宋体" w:hAnsi="宋体" w:eastAsia="宋体" w:cs="Times New Roman"/>
                <w:sz w:val="21"/>
                <w:szCs w:val="21"/>
              </w:rPr>
            </w:pPr>
          </w:p>
        </w:tc>
        <w:tc>
          <w:tcPr>
            <w:tcW w:w="814" w:type="pct"/>
            <w:vAlign w:val="center"/>
          </w:tcPr>
          <w:p w14:paraId="0E4A8A62">
            <w:pPr>
              <w:pStyle w:val="7"/>
              <w:spacing w:line="360" w:lineRule="auto"/>
              <w:rPr>
                <w:rFonts w:ascii="宋体" w:hAnsi="宋体" w:eastAsia="宋体" w:cs="Times New Roman"/>
                <w:sz w:val="21"/>
                <w:szCs w:val="21"/>
              </w:rPr>
            </w:pPr>
          </w:p>
        </w:tc>
        <w:tc>
          <w:tcPr>
            <w:tcW w:w="665" w:type="pct"/>
          </w:tcPr>
          <w:p w14:paraId="2221091E">
            <w:pPr>
              <w:pStyle w:val="7"/>
              <w:spacing w:line="360" w:lineRule="auto"/>
              <w:rPr>
                <w:rFonts w:ascii="宋体" w:hAnsi="宋体" w:eastAsia="宋体" w:cs="Times New Roman"/>
                <w:sz w:val="21"/>
                <w:szCs w:val="21"/>
              </w:rPr>
            </w:pPr>
          </w:p>
        </w:tc>
        <w:tc>
          <w:tcPr>
            <w:tcW w:w="884" w:type="pct"/>
          </w:tcPr>
          <w:p w14:paraId="3FDA271B">
            <w:pPr>
              <w:pStyle w:val="7"/>
              <w:spacing w:line="360" w:lineRule="auto"/>
              <w:rPr>
                <w:rFonts w:ascii="宋体" w:hAnsi="宋体" w:eastAsia="宋体" w:cs="Times New Roman"/>
                <w:sz w:val="21"/>
                <w:szCs w:val="21"/>
              </w:rPr>
            </w:pPr>
          </w:p>
        </w:tc>
        <w:tc>
          <w:tcPr>
            <w:tcW w:w="858" w:type="pct"/>
          </w:tcPr>
          <w:p w14:paraId="5EE86661">
            <w:pPr>
              <w:pStyle w:val="7"/>
              <w:spacing w:line="360" w:lineRule="auto"/>
              <w:rPr>
                <w:rFonts w:ascii="宋体" w:hAnsi="宋体" w:eastAsia="宋体" w:cs="Times New Roman"/>
                <w:sz w:val="21"/>
                <w:szCs w:val="21"/>
              </w:rPr>
            </w:pPr>
          </w:p>
        </w:tc>
        <w:tc>
          <w:tcPr>
            <w:tcW w:w="760" w:type="pct"/>
          </w:tcPr>
          <w:p w14:paraId="2A6A54E6">
            <w:pPr>
              <w:pStyle w:val="7"/>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w:t>
      </w:r>
      <w:r>
        <w:rPr>
          <w:rFonts w:hint="eastAsia" w:ascii="宋体" w:hAnsi="宋体"/>
          <w:b/>
          <w:bCs/>
          <w:sz w:val="28"/>
          <w:szCs w:val="28"/>
          <w:lang w:eastAsia="zh-CN"/>
        </w:rPr>
        <w:t>供应商</w:t>
      </w:r>
      <w:r>
        <w:rPr>
          <w:rFonts w:ascii="宋体" w:hAnsi="宋体"/>
          <w:b/>
          <w:bCs/>
          <w:sz w:val="28"/>
          <w:szCs w:val="28"/>
        </w:rPr>
        <w:t>认为需要提交的其他证明材料或资料加盖</w:t>
      </w:r>
      <w:r>
        <w:rPr>
          <w:rFonts w:hint="eastAsia" w:ascii="宋体" w:hAnsi="宋体"/>
          <w:b/>
          <w:bCs/>
          <w:sz w:val="28"/>
          <w:szCs w:val="28"/>
          <w:lang w:eastAsia="zh-CN"/>
        </w:rPr>
        <w:t>供应商</w:t>
      </w:r>
      <w:r>
        <w:rPr>
          <w:rFonts w:ascii="宋体" w:hAnsi="宋体"/>
          <w:b/>
          <w:bCs/>
          <w:sz w:val="28"/>
          <w:szCs w:val="28"/>
        </w:rPr>
        <w:t>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19"/>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B353A3"/>
    <w:multiLevelType w:val="singleLevel"/>
    <w:tmpl w:val="00B353A3"/>
    <w:lvl w:ilvl="0" w:tentative="0">
      <w:start w:val="1"/>
      <w:numFmt w:val="decimal"/>
      <w:suff w:val="nothing"/>
      <w:lvlText w:val="%1、"/>
      <w:lvlJc w:val="left"/>
    </w:lvl>
  </w:abstractNum>
  <w:abstractNum w:abstractNumId="5">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1">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2">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7">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34D46EC"/>
    <w:multiLevelType w:val="singleLevel"/>
    <w:tmpl w:val="234D46EC"/>
    <w:lvl w:ilvl="0" w:tentative="0">
      <w:start w:val="1"/>
      <w:numFmt w:val="chineseCounting"/>
      <w:suff w:val="space"/>
      <w:lvlText w:val="第%1章"/>
      <w:lvlJc w:val="left"/>
      <w:rPr>
        <w:rFonts w:hint="eastAsia"/>
      </w:rPr>
    </w:lvl>
  </w:abstractNum>
  <w:abstractNum w:abstractNumId="22">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3">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4">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8">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9">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0">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4">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6">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F817E8"/>
    <w:multiLevelType w:val="singleLevel"/>
    <w:tmpl w:val="59F817E8"/>
    <w:lvl w:ilvl="0" w:tentative="0">
      <w:start w:val="1"/>
      <w:numFmt w:val="chineseCounting"/>
      <w:pStyle w:val="65"/>
      <w:suff w:val="nothing"/>
      <w:lvlText w:val="%1、"/>
      <w:lvlJc w:val="left"/>
    </w:lvl>
  </w:abstractNum>
  <w:abstractNum w:abstractNumId="48">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1">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3">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6">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8">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1">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4">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6">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3"/>
  </w:num>
  <w:num w:numId="3">
    <w:abstractNumId w:val="47"/>
  </w:num>
  <w:num w:numId="4">
    <w:abstractNumId w:val="21"/>
  </w:num>
  <w:num w:numId="5">
    <w:abstractNumId w:val="0"/>
  </w:num>
  <w:num w:numId="6">
    <w:abstractNumId w:val="1"/>
  </w:num>
  <w:num w:numId="7">
    <w:abstractNumId w:val="4"/>
  </w:num>
  <w:num w:numId="8">
    <w:abstractNumId w:val="18"/>
  </w:num>
  <w:num w:numId="9">
    <w:abstractNumId w:val="19"/>
  </w:num>
  <w:num w:numId="10">
    <w:abstractNumId w:val="53"/>
  </w:num>
  <w:num w:numId="11">
    <w:abstractNumId w:val="65"/>
  </w:num>
  <w:num w:numId="12">
    <w:abstractNumId w:val="62"/>
  </w:num>
  <w:num w:numId="13">
    <w:abstractNumId w:val="52"/>
  </w:num>
  <w:num w:numId="14">
    <w:abstractNumId w:val="27"/>
  </w:num>
  <w:num w:numId="15">
    <w:abstractNumId w:val="20"/>
  </w:num>
  <w:num w:numId="16">
    <w:abstractNumId w:val="55"/>
  </w:num>
  <w:num w:numId="17">
    <w:abstractNumId w:val="49"/>
  </w:num>
  <w:num w:numId="18">
    <w:abstractNumId w:val="61"/>
  </w:num>
  <w:num w:numId="19">
    <w:abstractNumId w:val="39"/>
  </w:num>
  <w:num w:numId="20">
    <w:abstractNumId w:val="15"/>
  </w:num>
  <w:num w:numId="21">
    <w:abstractNumId w:val="44"/>
  </w:num>
  <w:num w:numId="22">
    <w:abstractNumId w:val="8"/>
  </w:num>
  <w:num w:numId="23">
    <w:abstractNumId w:val="25"/>
  </w:num>
  <w:num w:numId="24">
    <w:abstractNumId w:val="41"/>
  </w:num>
  <w:num w:numId="25">
    <w:abstractNumId w:val="7"/>
  </w:num>
  <w:num w:numId="26">
    <w:abstractNumId w:val="58"/>
  </w:num>
  <w:num w:numId="27">
    <w:abstractNumId w:val="14"/>
  </w:num>
  <w:num w:numId="28">
    <w:abstractNumId w:val="30"/>
  </w:num>
  <w:num w:numId="29">
    <w:abstractNumId w:val="34"/>
  </w:num>
  <w:num w:numId="30">
    <w:abstractNumId w:val="22"/>
  </w:num>
  <w:num w:numId="31">
    <w:abstractNumId w:val="48"/>
  </w:num>
  <w:num w:numId="32">
    <w:abstractNumId w:val="28"/>
  </w:num>
  <w:num w:numId="33">
    <w:abstractNumId w:val="57"/>
  </w:num>
  <w:num w:numId="34">
    <w:abstractNumId w:val="35"/>
  </w:num>
  <w:num w:numId="35">
    <w:abstractNumId w:val="60"/>
  </w:num>
  <w:num w:numId="36">
    <w:abstractNumId w:val="16"/>
  </w:num>
  <w:num w:numId="37">
    <w:abstractNumId w:val="6"/>
  </w:num>
  <w:num w:numId="38">
    <w:abstractNumId w:val="12"/>
  </w:num>
  <w:num w:numId="39">
    <w:abstractNumId w:val="9"/>
  </w:num>
  <w:num w:numId="40">
    <w:abstractNumId w:val="32"/>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42"/>
  </w:num>
  <w:num w:numId="55">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59"/>
  </w:num>
  <w:num w:numId="60">
    <w:abstractNumId w:val="43"/>
  </w:num>
  <w:num w:numId="61">
    <w:abstractNumId w:val="23"/>
  </w:num>
  <w:num w:numId="62">
    <w:abstractNumId w:val="29"/>
  </w:num>
  <w:num w:numId="63">
    <w:abstractNumId w:val="37"/>
  </w:num>
  <w:num w:numId="64">
    <w:abstractNumId w:val="51"/>
  </w:num>
  <w:num w:numId="65">
    <w:abstractNumId w:val="67"/>
  </w:num>
  <w:num w:numId="66">
    <w:abstractNumId w:val="13"/>
  </w:num>
  <w:num w:numId="67">
    <w:abstractNumId w:val="38"/>
  </w:num>
  <w:num w:numId="68">
    <w:abstractNumId w:val="63"/>
  </w:num>
  <w:num w:numId="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20044B1"/>
    <w:rsid w:val="03B207B6"/>
    <w:rsid w:val="04D37589"/>
    <w:rsid w:val="05921AC4"/>
    <w:rsid w:val="05A76A4C"/>
    <w:rsid w:val="05CD222A"/>
    <w:rsid w:val="060269B6"/>
    <w:rsid w:val="07140111"/>
    <w:rsid w:val="0765096C"/>
    <w:rsid w:val="07B83B6F"/>
    <w:rsid w:val="08440B5D"/>
    <w:rsid w:val="08E34143"/>
    <w:rsid w:val="091742F7"/>
    <w:rsid w:val="097D7536"/>
    <w:rsid w:val="09FC30DE"/>
    <w:rsid w:val="0A8F7AAE"/>
    <w:rsid w:val="0B002E5D"/>
    <w:rsid w:val="0BC6115D"/>
    <w:rsid w:val="0BF56037"/>
    <w:rsid w:val="0C436DA2"/>
    <w:rsid w:val="0C4F2BA9"/>
    <w:rsid w:val="0C6A5094"/>
    <w:rsid w:val="0CC57239"/>
    <w:rsid w:val="0D097FEC"/>
    <w:rsid w:val="0D38442D"/>
    <w:rsid w:val="0D4258E7"/>
    <w:rsid w:val="0DDC125D"/>
    <w:rsid w:val="0E8652B6"/>
    <w:rsid w:val="0EF16F8A"/>
    <w:rsid w:val="0F0547E3"/>
    <w:rsid w:val="0F4B00B9"/>
    <w:rsid w:val="100E1475"/>
    <w:rsid w:val="108A31F2"/>
    <w:rsid w:val="110A68BF"/>
    <w:rsid w:val="12103BD7"/>
    <w:rsid w:val="132E651F"/>
    <w:rsid w:val="137419B4"/>
    <w:rsid w:val="13B62550"/>
    <w:rsid w:val="14292D22"/>
    <w:rsid w:val="14885D40"/>
    <w:rsid w:val="1520048F"/>
    <w:rsid w:val="15AE2BE6"/>
    <w:rsid w:val="162E62FE"/>
    <w:rsid w:val="1661121E"/>
    <w:rsid w:val="166C5148"/>
    <w:rsid w:val="18436715"/>
    <w:rsid w:val="19483C4A"/>
    <w:rsid w:val="19C71013"/>
    <w:rsid w:val="1A02204B"/>
    <w:rsid w:val="1A367F46"/>
    <w:rsid w:val="1A6F007A"/>
    <w:rsid w:val="1B85380A"/>
    <w:rsid w:val="1BD17ACD"/>
    <w:rsid w:val="1D332DC8"/>
    <w:rsid w:val="1D46139B"/>
    <w:rsid w:val="1D7403AC"/>
    <w:rsid w:val="1D7A073C"/>
    <w:rsid w:val="1DC835AB"/>
    <w:rsid w:val="1DC846D2"/>
    <w:rsid w:val="1E116D00"/>
    <w:rsid w:val="1E934ADA"/>
    <w:rsid w:val="1E9E5F3D"/>
    <w:rsid w:val="1F016D75"/>
    <w:rsid w:val="1F81420A"/>
    <w:rsid w:val="20762B03"/>
    <w:rsid w:val="210A3EE5"/>
    <w:rsid w:val="218C669E"/>
    <w:rsid w:val="21AD0AEE"/>
    <w:rsid w:val="23E10F23"/>
    <w:rsid w:val="245B4C29"/>
    <w:rsid w:val="251A6AD4"/>
    <w:rsid w:val="27101F3C"/>
    <w:rsid w:val="27C546B8"/>
    <w:rsid w:val="27CB1FDF"/>
    <w:rsid w:val="28A47E0D"/>
    <w:rsid w:val="2974579E"/>
    <w:rsid w:val="29B02CBC"/>
    <w:rsid w:val="2A7F3244"/>
    <w:rsid w:val="2A87268B"/>
    <w:rsid w:val="2B1C2A88"/>
    <w:rsid w:val="2C80024F"/>
    <w:rsid w:val="2CF25D23"/>
    <w:rsid w:val="2EE8585B"/>
    <w:rsid w:val="2F0A3A24"/>
    <w:rsid w:val="2F0F2DE8"/>
    <w:rsid w:val="304D13E0"/>
    <w:rsid w:val="307A7AF5"/>
    <w:rsid w:val="30BA3228"/>
    <w:rsid w:val="31AC0DC2"/>
    <w:rsid w:val="31BE3656"/>
    <w:rsid w:val="330662B0"/>
    <w:rsid w:val="335E6B36"/>
    <w:rsid w:val="33E83C08"/>
    <w:rsid w:val="34256C0A"/>
    <w:rsid w:val="353926C2"/>
    <w:rsid w:val="358A766C"/>
    <w:rsid w:val="35D61E88"/>
    <w:rsid w:val="361E1B63"/>
    <w:rsid w:val="36CD3FAC"/>
    <w:rsid w:val="36D13079"/>
    <w:rsid w:val="36F11025"/>
    <w:rsid w:val="37285044"/>
    <w:rsid w:val="38097051"/>
    <w:rsid w:val="38AB7314"/>
    <w:rsid w:val="39231D25"/>
    <w:rsid w:val="392D778D"/>
    <w:rsid w:val="39761CB6"/>
    <w:rsid w:val="39E82BB3"/>
    <w:rsid w:val="3A306505"/>
    <w:rsid w:val="3AE66A84"/>
    <w:rsid w:val="3BD056AD"/>
    <w:rsid w:val="3CDC3488"/>
    <w:rsid w:val="3D18555E"/>
    <w:rsid w:val="3D4A148F"/>
    <w:rsid w:val="3E706AA3"/>
    <w:rsid w:val="3ECC70E8"/>
    <w:rsid w:val="3F4441CA"/>
    <w:rsid w:val="3FEF631E"/>
    <w:rsid w:val="404228F2"/>
    <w:rsid w:val="40A94EAD"/>
    <w:rsid w:val="416036D4"/>
    <w:rsid w:val="41A24945"/>
    <w:rsid w:val="41EC6AFB"/>
    <w:rsid w:val="42127FFC"/>
    <w:rsid w:val="422340D2"/>
    <w:rsid w:val="423053ED"/>
    <w:rsid w:val="42994282"/>
    <w:rsid w:val="432163BA"/>
    <w:rsid w:val="437234EE"/>
    <w:rsid w:val="43833B65"/>
    <w:rsid w:val="43C114AA"/>
    <w:rsid w:val="44C91833"/>
    <w:rsid w:val="44D04970"/>
    <w:rsid w:val="44D159A7"/>
    <w:rsid w:val="454B049A"/>
    <w:rsid w:val="457F41B2"/>
    <w:rsid w:val="458E2F8D"/>
    <w:rsid w:val="45B46B5A"/>
    <w:rsid w:val="46794B93"/>
    <w:rsid w:val="477525EB"/>
    <w:rsid w:val="477D6972"/>
    <w:rsid w:val="47BB0A1B"/>
    <w:rsid w:val="48094372"/>
    <w:rsid w:val="483E7E42"/>
    <w:rsid w:val="48DA43E6"/>
    <w:rsid w:val="49D26A89"/>
    <w:rsid w:val="4A8415A5"/>
    <w:rsid w:val="4B9F6E4A"/>
    <w:rsid w:val="4C23418A"/>
    <w:rsid w:val="4C3E6663"/>
    <w:rsid w:val="4CDB65A8"/>
    <w:rsid w:val="4D7E765F"/>
    <w:rsid w:val="4D7F33D7"/>
    <w:rsid w:val="4D812CAB"/>
    <w:rsid w:val="4D9036ED"/>
    <w:rsid w:val="4F172EB2"/>
    <w:rsid w:val="4F552641"/>
    <w:rsid w:val="4F923A7B"/>
    <w:rsid w:val="4FA40ED3"/>
    <w:rsid w:val="50067238"/>
    <w:rsid w:val="50B1220C"/>
    <w:rsid w:val="51452242"/>
    <w:rsid w:val="52322221"/>
    <w:rsid w:val="529E7E5B"/>
    <w:rsid w:val="53670B95"/>
    <w:rsid w:val="53980D4F"/>
    <w:rsid w:val="542919A7"/>
    <w:rsid w:val="56231A34"/>
    <w:rsid w:val="565D1DDC"/>
    <w:rsid w:val="56A7383F"/>
    <w:rsid w:val="577367A5"/>
    <w:rsid w:val="57C6703C"/>
    <w:rsid w:val="57FA3D86"/>
    <w:rsid w:val="584774D4"/>
    <w:rsid w:val="58B220EB"/>
    <w:rsid w:val="58BE3005"/>
    <w:rsid w:val="592856EA"/>
    <w:rsid w:val="59374B66"/>
    <w:rsid w:val="596F2F5E"/>
    <w:rsid w:val="59883613"/>
    <w:rsid w:val="59D5489E"/>
    <w:rsid w:val="59E265EA"/>
    <w:rsid w:val="59FB3DE5"/>
    <w:rsid w:val="5A025174"/>
    <w:rsid w:val="5A620455"/>
    <w:rsid w:val="5ABA40EA"/>
    <w:rsid w:val="5ACC7530"/>
    <w:rsid w:val="5B2F24B5"/>
    <w:rsid w:val="5BC433D0"/>
    <w:rsid w:val="5C4557EC"/>
    <w:rsid w:val="5DC76A50"/>
    <w:rsid w:val="5E4A70E9"/>
    <w:rsid w:val="5F0C25F1"/>
    <w:rsid w:val="5F1D65AC"/>
    <w:rsid w:val="5F5B083F"/>
    <w:rsid w:val="61220C35"/>
    <w:rsid w:val="612E5306"/>
    <w:rsid w:val="613F280A"/>
    <w:rsid w:val="619F774C"/>
    <w:rsid w:val="61B054B5"/>
    <w:rsid w:val="61BC5600"/>
    <w:rsid w:val="61E67129"/>
    <w:rsid w:val="61EF2482"/>
    <w:rsid w:val="625B7B17"/>
    <w:rsid w:val="63040D4E"/>
    <w:rsid w:val="636B1FDC"/>
    <w:rsid w:val="63B868A3"/>
    <w:rsid w:val="64C51278"/>
    <w:rsid w:val="650575AA"/>
    <w:rsid w:val="65624252"/>
    <w:rsid w:val="65965B7A"/>
    <w:rsid w:val="667016B7"/>
    <w:rsid w:val="66A001EE"/>
    <w:rsid w:val="67130CEB"/>
    <w:rsid w:val="672957C5"/>
    <w:rsid w:val="676F7BC1"/>
    <w:rsid w:val="679E5E52"/>
    <w:rsid w:val="68580655"/>
    <w:rsid w:val="68701E42"/>
    <w:rsid w:val="68A86442"/>
    <w:rsid w:val="68C77CB4"/>
    <w:rsid w:val="68F6059A"/>
    <w:rsid w:val="69C81336"/>
    <w:rsid w:val="6A16113C"/>
    <w:rsid w:val="6BDD2BA4"/>
    <w:rsid w:val="6C6972D4"/>
    <w:rsid w:val="6C9C4317"/>
    <w:rsid w:val="6CC7316E"/>
    <w:rsid w:val="6D1045AC"/>
    <w:rsid w:val="6E13574A"/>
    <w:rsid w:val="6E6B10E2"/>
    <w:rsid w:val="6F586836"/>
    <w:rsid w:val="70F94A85"/>
    <w:rsid w:val="71593931"/>
    <w:rsid w:val="7202032D"/>
    <w:rsid w:val="72B72A29"/>
    <w:rsid w:val="72E04F19"/>
    <w:rsid w:val="736B376C"/>
    <w:rsid w:val="74D8656F"/>
    <w:rsid w:val="761F3B91"/>
    <w:rsid w:val="764804B7"/>
    <w:rsid w:val="765A0A00"/>
    <w:rsid w:val="778925D9"/>
    <w:rsid w:val="77B574A4"/>
    <w:rsid w:val="77E6121F"/>
    <w:rsid w:val="78746DE5"/>
    <w:rsid w:val="78DD498A"/>
    <w:rsid w:val="790C1713"/>
    <w:rsid w:val="793B3DA7"/>
    <w:rsid w:val="79D3446D"/>
    <w:rsid w:val="79E7681A"/>
    <w:rsid w:val="79F74636"/>
    <w:rsid w:val="7B476A33"/>
    <w:rsid w:val="7B67425B"/>
    <w:rsid w:val="7BB97537"/>
    <w:rsid w:val="7BE97AEA"/>
    <w:rsid w:val="7D0C3A90"/>
    <w:rsid w:val="7D3C1A3B"/>
    <w:rsid w:val="7D407EEB"/>
    <w:rsid w:val="7DF74D1C"/>
    <w:rsid w:val="7DFC1D56"/>
    <w:rsid w:val="7E2D0162"/>
    <w:rsid w:val="7E3E411D"/>
    <w:rsid w:val="7E4533AF"/>
    <w:rsid w:val="7EF464FF"/>
    <w:rsid w:val="7F993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unhideWhenUsed/>
    <w:qFormat/>
    <w:uiPriority w:val="99"/>
    <w:pPr>
      <w:ind w:left="800" w:leftChars="800"/>
    </w:pPr>
  </w:style>
  <w:style w:type="paragraph" w:styleId="9">
    <w:name w:val="Body Text 3"/>
    <w:basedOn w:val="1"/>
    <w:link w:val="40"/>
    <w:qFormat/>
    <w:uiPriority w:val="0"/>
    <w:rPr>
      <w:rFonts w:ascii="Times New Roman" w:hAnsi="Times New Roman" w:eastAsia="宋体" w:cs="Times New Roman"/>
      <w:color w:val="FF0000"/>
      <w:sz w:val="24"/>
      <w:szCs w:val="24"/>
    </w:rPr>
  </w:style>
  <w:style w:type="paragraph" w:styleId="10">
    <w:name w:val="Body Text"/>
    <w:basedOn w:val="1"/>
    <w:next w:val="11"/>
    <w:link w:val="41"/>
    <w:unhideWhenUsed/>
    <w:qFormat/>
    <w:uiPriority w:val="99"/>
    <w:pPr>
      <w:spacing w:after="120"/>
    </w:pPr>
  </w:style>
  <w:style w:type="paragraph" w:styleId="11">
    <w:name w:val="Body Text 2"/>
    <w:basedOn w:val="1"/>
    <w:link w:val="66"/>
    <w:semiHidden/>
    <w:unhideWhenUsed/>
    <w:qFormat/>
    <w:uiPriority w:val="99"/>
    <w:pPr>
      <w:spacing w:after="120" w:line="480" w:lineRule="auto"/>
    </w:pPr>
  </w:style>
  <w:style w:type="paragraph" w:styleId="12">
    <w:name w:val="Body Text Indent"/>
    <w:basedOn w:val="1"/>
    <w:next w:val="13"/>
    <w:link w:val="43"/>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4"/>
    <w:qFormat/>
    <w:uiPriority w:val="0"/>
    <w:rPr>
      <w:rFonts w:eastAsia="宋体"/>
      <w:sz w:val="24"/>
    </w:rPr>
  </w:style>
  <w:style w:type="paragraph" w:styleId="17">
    <w:name w:val="Date"/>
    <w:basedOn w:val="1"/>
    <w:next w:val="1"/>
    <w:link w:val="45"/>
    <w:unhideWhenUsed/>
    <w:qFormat/>
    <w:uiPriority w:val="99"/>
    <w:pPr>
      <w:ind w:left="100" w:leftChars="2500"/>
    </w:pPr>
  </w:style>
  <w:style w:type="paragraph" w:styleId="18">
    <w:name w:val="Balloon Text"/>
    <w:basedOn w:val="1"/>
    <w:link w:val="47"/>
    <w:semiHidden/>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0"/>
    <w:next w:val="25"/>
    <w:link w:val="52"/>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2"/>
    <w:next w:val="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33">
    <w:name w:val="style4"/>
    <w:basedOn w:val="1"/>
    <w:next w:val="34"/>
    <w:qFormat/>
    <w:uiPriority w:val="99"/>
    <w:pPr>
      <w:widowControl/>
      <w:spacing w:before="280" w:after="280"/>
    </w:pPr>
    <w:rPr>
      <w:rFonts w:ascii="宋体" w:hAnsi="Times New Roman" w:eastAsia="宋体" w:cs="Times New Roman"/>
      <w:sz w:val="18"/>
    </w:rPr>
  </w:style>
  <w:style w:type="paragraph" w:customStyle="1" w:styleId="3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5">
    <w:name w:val="列出段落1"/>
    <w:basedOn w:val="1"/>
    <w:qFormat/>
    <w:uiPriority w:val="99"/>
    <w:pPr>
      <w:ind w:firstLine="420" w:firstLineChars="200"/>
    </w:pPr>
  </w:style>
  <w:style w:type="character" w:customStyle="1" w:styleId="36">
    <w:name w:val="标题 1 Char"/>
    <w:basedOn w:val="28"/>
    <w:link w:val="2"/>
    <w:qFormat/>
    <w:uiPriority w:val="0"/>
    <w:rPr>
      <w:rFonts w:ascii="Calibri" w:hAnsi="Calibri" w:eastAsia="宋体" w:cs="Times New Roman"/>
      <w:b/>
      <w:bCs/>
      <w:kern w:val="44"/>
      <w:sz w:val="44"/>
      <w:szCs w:val="44"/>
    </w:rPr>
  </w:style>
  <w:style w:type="character" w:customStyle="1" w:styleId="37">
    <w:name w:val="标题 2 Char"/>
    <w:basedOn w:val="28"/>
    <w:link w:val="3"/>
    <w:qFormat/>
    <w:uiPriority w:val="0"/>
    <w:rPr>
      <w:rFonts w:ascii="Arial" w:hAnsi="Arial" w:eastAsia="黑体" w:cs="Times New Roman"/>
      <w:b/>
      <w:bCs/>
      <w:sz w:val="32"/>
      <w:szCs w:val="32"/>
    </w:rPr>
  </w:style>
  <w:style w:type="character" w:customStyle="1" w:styleId="38">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9">
    <w:name w:val="标题 4 Char"/>
    <w:basedOn w:val="28"/>
    <w:link w:val="5"/>
    <w:qFormat/>
    <w:uiPriority w:val="0"/>
    <w:rPr>
      <w:rFonts w:ascii="Arial" w:hAnsi="Arial" w:eastAsia="黑体" w:cs="Times New Roman"/>
      <w:b/>
      <w:bCs/>
      <w:sz w:val="28"/>
      <w:szCs w:val="28"/>
    </w:rPr>
  </w:style>
  <w:style w:type="character" w:customStyle="1" w:styleId="40">
    <w:name w:val="正文文本 3 Char"/>
    <w:basedOn w:val="28"/>
    <w:link w:val="9"/>
    <w:qFormat/>
    <w:uiPriority w:val="0"/>
    <w:rPr>
      <w:rFonts w:ascii="Times New Roman" w:hAnsi="Times New Roman" w:eastAsia="宋体" w:cs="Times New Roman"/>
      <w:color w:val="FF0000"/>
      <w:sz w:val="24"/>
      <w:szCs w:val="24"/>
    </w:rPr>
  </w:style>
  <w:style w:type="character" w:customStyle="1" w:styleId="41">
    <w:name w:val="正文文本 Char"/>
    <w:basedOn w:val="28"/>
    <w:link w:val="10"/>
    <w:qFormat/>
    <w:uiPriority w:val="99"/>
  </w:style>
  <w:style w:type="character" w:customStyle="1" w:styleId="42">
    <w:name w:val="正文文本缩进 Char"/>
    <w:basedOn w:val="28"/>
    <w:qFormat/>
    <w:uiPriority w:val="0"/>
  </w:style>
  <w:style w:type="character" w:customStyle="1" w:styleId="43">
    <w:name w:val="正文文本缩进 Char1"/>
    <w:basedOn w:val="28"/>
    <w:link w:val="12"/>
    <w:qFormat/>
    <w:uiPriority w:val="0"/>
    <w:rPr>
      <w:kern w:val="0"/>
      <w:sz w:val="24"/>
      <w:szCs w:val="20"/>
    </w:rPr>
  </w:style>
  <w:style w:type="character" w:customStyle="1" w:styleId="44">
    <w:name w:val="纯文本 Char"/>
    <w:basedOn w:val="28"/>
    <w:link w:val="16"/>
    <w:qFormat/>
    <w:uiPriority w:val="0"/>
    <w:rPr>
      <w:rFonts w:eastAsia="宋体"/>
      <w:sz w:val="24"/>
    </w:rPr>
  </w:style>
  <w:style w:type="character" w:customStyle="1" w:styleId="45">
    <w:name w:val="日期 Char"/>
    <w:basedOn w:val="28"/>
    <w:link w:val="17"/>
    <w:qFormat/>
    <w:uiPriority w:val="99"/>
  </w:style>
  <w:style w:type="character" w:customStyle="1" w:styleId="46">
    <w:name w:val="批注框文本 Char"/>
    <w:basedOn w:val="28"/>
    <w:semiHidden/>
    <w:qFormat/>
    <w:uiPriority w:val="99"/>
    <w:rPr>
      <w:sz w:val="18"/>
      <w:szCs w:val="18"/>
    </w:rPr>
  </w:style>
  <w:style w:type="character" w:customStyle="1" w:styleId="47">
    <w:name w:val="批注框文本 Char1"/>
    <w:basedOn w:val="28"/>
    <w:link w:val="18"/>
    <w:semiHidden/>
    <w:qFormat/>
    <w:uiPriority w:val="99"/>
    <w:rPr>
      <w:sz w:val="18"/>
      <w:szCs w:val="18"/>
    </w:rPr>
  </w:style>
  <w:style w:type="character" w:customStyle="1" w:styleId="48">
    <w:name w:val="页脚 Char"/>
    <w:basedOn w:val="28"/>
    <w:link w:val="19"/>
    <w:qFormat/>
    <w:uiPriority w:val="99"/>
    <w:rPr>
      <w:sz w:val="18"/>
      <w:szCs w:val="18"/>
    </w:rPr>
  </w:style>
  <w:style w:type="character" w:customStyle="1" w:styleId="49">
    <w:name w:val="页眉 Char"/>
    <w:basedOn w:val="28"/>
    <w:link w:val="20"/>
    <w:qFormat/>
    <w:uiPriority w:val="99"/>
    <w:rPr>
      <w:sz w:val="18"/>
      <w:szCs w:val="18"/>
    </w:rPr>
  </w:style>
  <w:style w:type="character" w:customStyle="1" w:styleId="50">
    <w:name w:val="HTML 预设格式 Char"/>
    <w:basedOn w:val="28"/>
    <w:semiHidden/>
    <w:qFormat/>
    <w:uiPriority w:val="99"/>
    <w:rPr>
      <w:rFonts w:ascii="宋体" w:hAnsi="宋体" w:eastAsia="宋体" w:cs="宋体"/>
      <w:kern w:val="0"/>
      <w:sz w:val="24"/>
      <w:szCs w:val="24"/>
    </w:rPr>
  </w:style>
  <w:style w:type="character" w:customStyle="1" w:styleId="51">
    <w:name w:val="HTML 预设格式 Char1"/>
    <w:basedOn w:val="28"/>
    <w:link w:val="22"/>
    <w:semiHidden/>
    <w:qFormat/>
    <w:uiPriority w:val="99"/>
    <w:rPr>
      <w:rFonts w:ascii="Courier New" w:hAnsi="Courier New" w:cs="Courier New"/>
      <w:sz w:val="20"/>
      <w:szCs w:val="20"/>
    </w:rPr>
  </w:style>
  <w:style w:type="character" w:customStyle="1" w:styleId="52">
    <w:name w:val="正文首行缩进 Char"/>
    <w:basedOn w:val="41"/>
    <w:link w:val="24"/>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5">
    <w:name w:val="List Paragraph"/>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 2 Char"/>
    <w:basedOn w:val="28"/>
    <w:link w:val="11"/>
    <w:semiHidden/>
    <w:qFormat/>
    <w:uiPriority w:val="99"/>
    <w:rPr>
      <w:kern w:val="2"/>
      <w:sz w:val="21"/>
      <w:szCs w:val="22"/>
    </w:rPr>
  </w:style>
  <w:style w:type="character" w:customStyle="1" w:styleId="67">
    <w:name w:val="font4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4758</Words>
  <Characters>5066</Characters>
  <Lines>319</Lines>
  <Paragraphs>89</Paragraphs>
  <TotalTime>8</TotalTime>
  <ScaleCrop>false</ScaleCrop>
  <LinksUpToDate>false</LinksUpToDate>
  <CharactersWithSpaces>5147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暖心小太阳</cp:lastModifiedBy>
  <cp:lastPrinted>2021-05-12T07:15:00Z</cp:lastPrinted>
  <dcterms:modified xsi:type="dcterms:W3CDTF">2025-01-10T04:00:40Z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FBF453DA7B104E3185D27B8DDE5540B6_13</vt:lpwstr>
  </property>
  <property fmtid="{D5CDD505-2E9C-101B-9397-08002B2CF9AE}" pid="4" name="KSOTemplateDocerSaveRecord">
    <vt:lpwstr>eyJoZGlkIjoiYjIzODExMWRmOTU4YTJkNDYyMTQwMDZkZjczZDgyYTIiLCJ1c2VySWQiOiIxNjU0MDc3Mjk4In0=</vt:lpwstr>
  </property>
</Properties>
</file>