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49195">
      <w:pPr>
        <w:jc w:val="center"/>
        <w:rPr>
          <w:rFonts w:hint="eastAsia" w:ascii="黑体" w:hAnsi="黑体" w:eastAsia="黑体" w:cstheme="majorEastAsia"/>
          <w:b/>
          <w:bCs/>
          <w:sz w:val="44"/>
          <w:szCs w:val="44"/>
        </w:rPr>
      </w:pPr>
      <w:r>
        <w:rPr>
          <w:rFonts w:hint="eastAsia" w:ascii="黑体" w:hAnsi="黑体" w:eastAsia="黑体" w:cs="黑体"/>
          <w:b/>
          <w:bCs/>
          <w:kern w:val="2"/>
          <w:sz w:val="44"/>
          <w:szCs w:val="44"/>
          <w:lang w:val="en-US" w:eastAsia="zh-CN" w:bidi="ar-SA"/>
        </w:rPr>
        <w:t>禹州市房产交易租赁管理中心便民利企服务提升项目</w:t>
      </w:r>
      <w:r>
        <w:rPr>
          <w:rFonts w:hint="eastAsia" w:ascii="黑体" w:hAnsi="黑体" w:eastAsia="黑体" w:cstheme="majorEastAsia"/>
          <w:b/>
          <w:bCs/>
          <w:sz w:val="44"/>
          <w:szCs w:val="44"/>
        </w:rPr>
        <w:t>（不见面开标）</w:t>
      </w:r>
    </w:p>
    <w:p w14:paraId="1325EA6B">
      <w:pPr>
        <w:jc w:val="center"/>
        <w:rPr>
          <w:rFonts w:hint="eastAsia" w:ascii="黑体" w:hAnsi="黑体" w:eastAsia="黑体" w:cstheme="majorEastAsia"/>
          <w:b/>
          <w:bCs/>
          <w:sz w:val="44"/>
          <w:szCs w:val="44"/>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5027</w:t>
      </w:r>
    </w:p>
    <w:p w14:paraId="503052F3">
      <w:pPr>
        <w:ind w:firstLine="1084" w:firstLineChars="3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w:t>
      </w:r>
      <w:r>
        <w:rPr>
          <w:rFonts w:hint="eastAsia" w:asciiTheme="majorEastAsia" w:hAnsiTheme="majorEastAsia" w:eastAsiaTheme="majorEastAsia" w:cstheme="majorEastAsia"/>
          <w:b/>
          <w:bCs/>
          <w:sz w:val="36"/>
          <w:szCs w:val="36"/>
          <w:lang w:val="en-US" w:eastAsia="zh-CN"/>
        </w:rPr>
        <w:t>禹州市房产交易租赁管理中心</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九</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4AB04370">
      <w:pPr>
        <w:numPr>
          <w:ilvl w:val="0"/>
          <w:numId w:val="0"/>
        </w:numPr>
        <w:jc w:val="both"/>
        <w:rPr>
          <w:rFonts w:hint="eastAsia" w:cs="宋体" w:asciiTheme="majorEastAsia" w:hAnsiTheme="majorEastAsia" w:eastAsiaTheme="majorEastAsia"/>
          <w:b/>
          <w:kern w:val="0"/>
          <w:sz w:val="32"/>
          <w:szCs w:val="32"/>
        </w:rPr>
      </w:pPr>
    </w:p>
    <w:p w14:paraId="3ED8F3B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禹州市政府采购中心受禹州市房产交易租赁管理中心的委托，对“禹州市房产交易租赁管理中心便民利企服务提升项目（不见面开标）”进行竞争性谈判，现邀请符合本文件规定条件的供应商前来投标。</w:t>
      </w:r>
    </w:p>
    <w:p w14:paraId="7B25818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w:t>
      </w:r>
      <w:r>
        <w:rPr>
          <w:rFonts w:hint="eastAsia" w:asciiTheme="minorEastAsia" w:hAnsiTheme="minorEastAsia" w:cstheme="minorEastAsia"/>
          <w:kern w:val="2"/>
          <w:sz w:val="21"/>
          <w:szCs w:val="21"/>
          <w:lang w:val="en-US" w:eastAsia="zh-CN" w:bidi="ar-SA"/>
        </w:rPr>
        <w:t>5027</w:t>
      </w:r>
    </w:p>
    <w:p w14:paraId="6BDA990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禹州市房产交易租赁管理中心便民利企服务提升项目（不见面开标）</w:t>
      </w:r>
    </w:p>
    <w:p w14:paraId="63E9D62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24934BF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1FC8F2D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27BFAC4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1、采购人：禹州市房产交易租赁管理中心</w:t>
      </w:r>
    </w:p>
    <w:p w14:paraId="3EF341D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2、项目主要内容、数量及要求：服务器、存储、安全产品、测绘系统改造等（详见谈判文件）</w:t>
      </w:r>
    </w:p>
    <w:p w14:paraId="550E39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3、预算金额：1036000.00元 </w:t>
      </w:r>
    </w:p>
    <w:p w14:paraId="3AE94D2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4、最高限价：1036000.00元 </w:t>
      </w:r>
    </w:p>
    <w:p w14:paraId="04FDEAE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5、履约时间：合同签订后30日历天 </w:t>
      </w:r>
    </w:p>
    <w:p w14:paraId="347F10A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w:t>
      </w:r>
    </w:p>
    <w:p w14:paraId="65CF337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53BDC19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8、是否面向中小企业采购：否</w:t>
      </w:r>
    </w:p>
    <w:p w14:paraId="0B3FBC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5C8D5427">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75871E5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2621FDE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即日起至投标截止时间，供应商使用CA数字证书或移动数字证书登录“全国公共资源交易平台（河南省·许昌市）”（下文所述“全国公共资源交易平台（河南省·许昌市）”的地址均为</w:t>
      </w:r>
      <w:r>
        <w:rPr>
          <w:rFonts w:hint="eastAsia" w:asciiTheme="minorEastAsia" w:hAnsiTheme="minorEastAsia" w:eastAsiaTheme="minorEastAsia" w:cstheme="minorEastAsia"/>
          <w:color w:val="FF0000"/>
          <w:kern w:val="2"/>
          <w:sz w:val="21"/>
          <w:szCs w:val="21"/>
          <w:u w:val="single"/>
          <w:lang w:val="en-US" w:eastAsia="zh-CN" w:bidi="ar-SA"/>
        </w:rPr>
        <w:t>https://ggzy.xuchang.gov.cn</w:t>
      </w:r>
      <w:r>
        <w:rPr>
          <w:rFonts w:hint="eastAsia" w:asciiTheme="minorEastAsia" w:hAnsiTheme="minorEastAsia" w:eastAsiaTheme="minorEastAsia" w:cstheme="minorEastAsia"/>
          <w:color w:val="FF0000"/>
          <w:kern w:val="2"/>
          <w:sz w:val="21"/>
          <w:szCs w:val="21"/>
          <w:lang w:val="en-US" w:eastAsia="zh-CN" w:bidi="ar-SA"/>
        </w:rPr>
        <w:t>）的“投标人”登录入口免费获取本项目采购文件。</w:t>
      </w:r>
    </w:p>
    <w:p w14:paraId="0529D23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6F4E82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9B14A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5D98F17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 2025年9月8日8 时30分（北京时间），逾期提交或不符合规定的响应文件不予接受。</w:t>
      </w:r>
    </w:p>
    <w:p w14:paraId="4F021CC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2、谈判文件开启地点：禹州市公共资源交易中心九楼第二开标室。（本项目采用远程不见面开标方式，投标人无须到现场）。</w:t>
      </w:r>
    </w:p>
    <w:p w14:paraId="2E06C29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252BA6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0052145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采购人名称：禹州市房产交易租赁管理中心</w:t>
      </w:r>
    </w:p>
    <w:p w14:paraId="4F3002F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地址：禹州市西大街228号</w:t>
      </w:r>
    </w:p>
    <w:p w14:paraId="190F9BB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eastAsia="zh-CN"/>
        </w:rPr>
        <w:t>：</w:t>
      </w:r>
      <w:r>
        <w:rPr>
          <w:rFonts w:hint="eastAsia" w:asciiTheme="minorEastAsia" w:hAnsiTheme="minorEastAsia" w:eastAsiaTheme="minorEastAsia" w:cstheme="minorEastAsia"/>
          <w:color w:val="000000"/>
          <w:szCs w:val="21"/>
          <w:shd w:val="clear" w:color="auto" w:fill="FFFFFF"/>
          <w:lang w:val="en-US" w:eastAsia="zh-CN"/>
        </w:rPr>
        <w:t>赵先生</w:t>
      </w: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auto"/>
          <w:szCs w:val="21"/>
          <w:shd w:val="clear" w:color="auto" w:fill="FFFFFF"/>
          <w:lang w:val="en-US" w:eastAsia="zh-CN"/>
        </w:rPr>
        <w:t>17516258585</w:t>
      </w:r>
    </w:p>
    <w:p w14:paraId="3BF059E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w:t>
      </w:r>
      <w:r>
        <w:rPr>
          <w:rFonts w:hint="eastAsia" w:asciiTheme="minorEastAsia" w:hAnsiTheme="minorEastAsia" w:eastAsiaTheme="minorEastAsia" w:cstheme="minorEastAsia"/>
          <w:color w:val="000000"/>
          <w:kern w:val="2"/>
          <w:sz w:val="21"/>
          <w:szCs w:val="21"/>
          <w:shd w:val="clear" w:color="auto" w:fill="FFFFFF"/>
          <w:lang w:val="en-US" w:eastAsia="zh-CN" w:bidi="ar-SA"/>
        </w:rPr>
        <w:t>人：朱先生</w:t>
      </w:r>
      <w:r>
        <w:rPr>
          <w:rFonts w:hint="eastAsia" w:asciiTheme="minorEastAsia" w:hAnsiTheme="minorEastAsia" w:eastAsiaTheme="minorEastAsia" w:cstheme="minorEastAsia"/>
          <w:kern w:val="2"/>
          <w:sz w:val="21"/>
          <w:szCs w:val="21"/>
          <w:lang w:val="en-US" w:eastAsia="zh-CN" w:bidi="ar-SA"/>
        </w:rPr>
        <w:t xml:space="preserve">   联系电话：0374-2077111</w:t>
      </w:r>
    </w:p>
    <w:p w14:paraId="7353DEA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70732CDC">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0430A59">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4EC5BF7C">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35367F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3"/>
        <w:keepNext w:val="0"/>
        <w:keepLines w:val="0"/>
        <w:pageBreakBefore w:val="0"/>
        <w:widowControl/>
        <w:numPr>
          <w:ilvl w:val="1"/>
          <w:numId w:val="6"/>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lang w:val="en-US" w:eastAsia="zh-CN"/>
        </w:rPr>
        <w:t>1.2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17C3B6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供应商对开标过程和开标记录如有异议，可在本项目开标大厅界面右下方“发起异议”中提出异议。</w:t>
      </w:r>
    </w:p>
    <w:p w14:paraId="1437E6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F1A4A30">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85AD8A5">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51A6CF9E">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1D132E04">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4336CBB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4508A45">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第二章  </w:t>
      </w:r>
      <w:r>
        <w:rPr>
          <w:rFonts w:hint="eastAsia" w:cs="宋体" w:asciiTheme="majorEastAsia" w:hAnsiTheme="majorEastAsia" w:eastAsiaTheme="majorEastAsia"/>
          <w:b/>
          <w:kern w:val="0"/>
          <w:sz w:val="32"/>
          <w:szCs w:val="32"/>
        </w:rPr>
        <w:t>采购需求</w:t>
      </w:r>
    </w:p>
    <w:p w14:paraId="6D494DE5">
      <w:pPr>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shd w:val="clear" w:color="auto" w:fill="FFFFFF"/>
        </w:rPr>
      </w:pPr>
    </w:p>
    <w:p w14:paraId="540A7DE4">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cs="黑体"/>
          <w:b/>
          <w:bCs/>
          <w:sz w:val="24"/>
          <w:szCs w:val="24"/>
          <w:shd w:val="clear" w:color="auto" w:fill="FFFFFF"/>
          <w:lang w:eastAsia="zh-CN"/>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禹州市房产交易租赁管理中心便民利企服务提升项目通过本次</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Hans" w:bidi="ar-SA"/>
        </w:rPr>
        <w:t>硬件及软件模块全面利旧更新、优化升级。</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从而实现机房软硬件设备的平稳运行。</w:t>
      </w:r>
    </w:p>
    <w:p w14:paraId="4D24EA2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黑体"/>
          <w:b/>
          <w:bCs/>
          <w:sz w:val="24"/>
          <w:szCs w:val="24"/>
          <w:shd w:val="clear" w:color="auto" w:fill="FFFFFF"/>
          <w:lang w:eastAsia="zh-CN"/>
        </w:rPr>
      </w:pPr>
      <w:r>
        <w:rPr>
          <w:rFonts w:hint="eastAsia" w:ascii="宋体" w:hAnsi="宋体" w:eastAsia="宋体" w:cs="黑体"/>
          <w:b/>
          <w:bCs/>
          <w:sz w:val="24"/>
          <w:szCs w:val="24"/>
          <w:shd w:val="clear" w:color="auto" w:fill="FFFFFF"/>
          <w:lang w:val="en-US" w:eastAsia="zh-CN"/>
        </w:rPr>
        <w:t>二、</w:t>
      </w:r>
      <w:r>
        <w:rPr>
          <w:rFonts w:hint="eastAsia" w:ascii="宋体" w:hAnsi="宋体" w:eastAsia="宋体" w:cs="黑体"/>
          <w:b/>
          <w:bCs/>
          <w:sz w:val="24"/>
          <w:szCs w:val="24"/>
          <w:shd w:val="clear" w:color="auto" w:fill="FFFFFF"/>
        </w:rPr>
        <w:t>采购清单</w:t>
      </w:r>
      <w:r>
        <w:rPr>
          <w:rFonts w:hint="eastAsia" w:ascii="宋体" w:hAnsi="宋体" w:eastAsia="宋体" w:cs="黑体"/>
          <w:b/>
          <w:bCs/>
          <w:sz w:val="24"/>
          <w:szCs w:val="24"/>
          <w:shd w:val="clear" w:color="auto" w:fill="FFFFFF"/>
          <w:lang w:eastAsia="zh-CN"/>
        </w:rPr>
        <w:t>：</w:t>
      </w:r>
    </w:p>
    <w:tbl>
      <w:tblPr>
        <w:tblStyle w:val="26"/>
        <w:tblW w:w="10773" w:type="dxa"/>
        <w:tblInd w:w="-572" w:type="dxa"/>
        <w:tblLayout w:type="fixed"/>
        <w:tblCellMar>
          <w:top w:w="0" w:type="dxa"/>
          <w:left w:w="108" w:type="dxa"/>
          <w:bottom w:w="0" w:type="dxa"/>
          <w:right w:w="108" w:type="dxa"/>
        </w:tblCellMar>
      </w:tblPr>
      <w:tblGrid>
        <w:gridCol w:w="564"/>
        <w:gridCol w:w="886"/>
        <w:gridCol w:w="7298"/>
        <w:gridCol w:w="596"/>
        <w:gridCol w:w="587"/>
        <w:gridCol w:w="842"/>
      </w:tblGrid>
      <w:tr w14:paraId="3E675B4B">
        <w:tblPrEx>
          <w:tblCellMar>
            <w:top w:w="0" w:type="dxa"/>
            <w:left w:w="108" w:type="dxa"/>
            <w:bottom w:w="0" w:type="dxa"/>
            <w:right w:w="108" w:type="dxa"/>
          </w:tblCellMar>
        </w:tblPrEx>
        <w:trPr>
          <w:trHeight w:val="679"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300D62F2">
            <w:pPr>
              <w:widowControl/>
              <w:jc w:val="center"/>
              <w:rPr>
                <w:rFonts w:ascii="宋体" w:hAnsi="宋体" w:cs="Arial"/>
                <w:b/>
                <w:bCs/>
                <w:kern w:val="0"/>
                <w:sz w:val="21"/>
                <w:szCs w:val="21"/>
              </w:rPr>
            </w:pPr>
            <w:r>
              <w:rPr>
                <w:rFonts w:hint="eastAsia" w:ascii="宋体" w:hAnsi="宋体" w:cs="Arial"/>
                <w:b/>
                <w:bCs/>
                <w:kern w:val="0"/>
                <w:sz w:val="21"/>
                <w:szCs w:val="21"/>
              </w:rPr>
              <w:t>序号</w:t>
            </w:r>
          </w:p>
        </w:tc>
        <w:tc>
          <w:tcPr>
            <w:tcW w:w="886" w:type="dxa"/>
            <w:tcBorders>
              <w:top w:val="single" w:color="auto" w:sz="4" w:space="0"/>
              <w:left w:val="nil"/>
              <w:bottom w:val="single" w:color="auto" w:sz="4" w:space="0"/>
              <w:right w:val="nil"/>
            </w:tcBorders>
            <w:noWrap w:val="0"/>
            <w:vAlign w:val="center"/>
          </w:tcPr>
          <w:p w14:paraId="0DCF9EBC">
            <w:pPr>
              <w:widowControl/>
              <w:jc w:val="center"/>
              <w:rPr>
                <w:rFonts w:ascii="宋体" w:hAnsi="宋体" w:cs="Arial"/>
                <w:b/>
                <w:bCs/>
                <w:kern w:val="0"/>
                <w:sz w:val="21"/>
                <w:szCs w:val="21"/>
              </w:rPr>
            </w:pPr>
            <w:r>
              <w:rPr>
                <w:rFonts w:hint="eastAsia" w:ascii="宋体" w:hAnsi="宋体" w:cs="Arial"/>
                <w:b/>
                <w:bCs/>
                <w:kern w:val="0"/>
                <w:sz w:val="21"/>
                <w:szCs w:val="21"/>
              </w:rPr>
              <w:t>名称</w:t>
            </w:r>
          </w:p>
        </w:tc>
        <w:tc>
          <w:tcPr>
            <w:tcW w:w="7298" w:type="dxa"/>
            <w:tcBorders>
              <w:top w:val="single" w:color="auto" w:sz="4" w:space="0"/>
              <w:left w:val="single" w:color="auto" w:sz="4" w:space="0"/>
              <w:bottom w:val="single" w:color="auto" w:sz="4" w:space="0"/>
              <w:right w:val="single" w:color="auto" w:sz="4" w:space="0"/>
            </w:tcBorders>
            <w:noWrap w:val="0"/>
            <w:vAlign w:val="center"/>
          </w:tcPr>
          <w:p w14:paraId="4B6A63DE">
            <w:pPr>
              <w:widowControl/>
              <w:jc w:val="center"/>
              <w:rPr>
                <w:rFonts w:ascii="宋体" w:hAnsi="宋体" w:cs="Arial"/>
                <w:b/>
                <w:bCs/>
                <w:kern w:val="0"/>
                <w:sz w:val="21"/>
                <w:szCs w:val="21"/>
              </w:rPr>
            </w:pPr>
            <w:r>
              <w:rPr>
                <w:rFonts w:hint="eastAsia" w:ascii="宋体" w:hAnsi="宋体" w:cs="Arial"/>
                <w:b/>
                <w:bCs/>
                <w:kern w:val="0"/>
                <w:sz w:val="21"/>
                <w:szCs w:val="21"/>
              </w:rPr>
              <w:t>技术参数</w:t>
            </w:r>
          </w:p>
        </w:tc>
        <w:tc>
          <w:tcPr>
            <w:tcW w:w="596" w:type="dxa"/>
            <w:tcBorders>
              <w:top w:val="single" w:color="auto" w:sz="4" w:space="0"/>
              <w:left w:val="nil"/>
              <w:bottom w:val="single" w:color="auto" w:sz="4" w:space="0"/>
              <w:right w:val="single" w:color="auto" w:sz="4" w:space="0"/>
            </w:tcBorders>
            <w:noWrap w:val="0"/>
            <w:vAlign w:val="center"/>
          </w:tcPr>
          <w:p w14:paraId="5E79A436">
            <w:pPr>
              <w:widowControl/>
              <w:jc w:val="center"/>
              <w:rPr>
                <w:rFonts w:ascii="宋体" w:hAnsi="宋体" w:cs="Arial"/>
                <w:b/>
                <w:bCs/>
                <w:kern w:val="0"/>
                <w:sz w:val="21"/>
                <w:szCs w:val="21"/>
              </w:rPr>
            </w:pPr>
            <w:r>
              <w:rPr>
                <w:rFonts w:hint="eastAsia" w:ascii="宋体" w:hAnsi="宋体" w:cs="Arial"/>
                <w:b/>
                <w:bCs/>
                <w:kern w:val="0"/>
                <w:sz w:val="21"/>
                <w:szCs w:val="21"/>
              </w:rPr>
              <w:t>数量</w:t>
            </w:r>
          </w:p>
        </w:tc>
        <w:tc>
          <w:tcPr>
            <w:tcW w:w="587" w:type="dxa"/>
            <w:tcBorders>
              <w:top w:val="single" w:color="auto" w:sz="4" w:space="0"/>
              <w:left w:val="nil"/>
              <w:bottom w:val="single" w:color="auto" w:sz="4" w:space="0"/>
              <w:right w:val="single" w:color="auto" w:sz="4" w:space="0"/>
            </w:tcBorders>
            <w:noWrap w:val="0"/>
            <w:vAlign w:val="center"/>
          </w:tcPr>
          <w:p w14:paraId="5E41E4D3">
            <w:pPr>
              <w:widowControl/>
              <w:jc w:val="center"/>
              <w:rPr>
                <w:rFonts w:ascii="宋体" w:hAnsi="宋体" w:cs="Arial"/>
                <w:b/>
                <w:bCs/>
                <w:kern w:val="0"/>
                <w:sz w:val="21"/>
                <w:szCs w:val="21"/>
              </w:rPr>
            </w:pPr>
            <w:r>
              <w:rPr>
                <w:rFonts w:hint="eastAsia" w:ascii="宋体" w:hAnsi="宋体" w:cs="Arial"/>
                <w:b/>
                <w:bCs/>
                <w:kern w:val="0"/>
                <w:sz w:val="21"/>
                <w:szCs w:val="21"/>
              </w:rPr>
              <w:t>单位</w:t>
            </w:r>
          </w:p>
        </w:tc>
        <w:tc>
          <w:tcPr>
            <w:tcW w:w="842" w:type="dxa"/>
            <w:tcBorders>
              <w:top w:val="single" w:color="auto" w:sz="4" w:space="0"/>
              <w:left w:val="nil"/>
              <w:bottom w:val="single" w:color="auto" w:sz="4" w:space="0"/>
              <w:right w:val="single" w:color="auto" w:sz="4" w:space="0"/>
            </w:tcBorders>
            <w:noWrap w:val="0"/>
            <w:vAlign w:val="center"/>
          </w:tcPr>
          <w:p w14:paraId="7F34A351">
            <w:pPr>
              <w:widowControl/>
              <w:jc w:val="center"/>
              <w:rPr>
                <w:rFonts w:hint="default" w:ascii="宋体" w:hAnsi="宋体" w:eastAsia="宋体" w:cs="Arial"/>
                <w:b/>
                <w:bCs/>
                <w:kern w:val="0"/>
                <w:sz w:val="21"/>
                <w:szCs w:val="21"/>
                <w:lang w:val="en-US" w:eastAsia="zh-CN"/>
              </w:rPr>
            </w:pPr>
            <w:r>
              <w:rPr>
                <w:rFonts w:hint="eastAsia" w:ascii="宋体" w:hAnsi="宋体" w:cs="Arial"/>
                <w:b/>
                <w:bCs/>
                <w:kern w:val="0"/>
                <w:sz w:val="21"/>
                <w:szCs w:val="21"/>
                <w:lang w:val="en-US" w:eastAsia="zh-CN"/>
              </w:rPr>
              <w:t>是否核心产品</w:t>
            </w:r>
          </w:p>
        </w:tc>
      </w:tr>
      <w:tr w14:paraId="6147645D">
        <w:tblPrEx>
          <w:tblCellMar>
            <w:top w:w="0" w:type="dxa"/>
            <w:left w:w="108" w:type="dxa"/>
            <w:bottom w:w="0" w:type="dxa"/>
            <w:right w:w="108" w:type="dxa"/>
          </w:tblCellMar>
        </w:tblPrEx>
        <w:trPr>
          <w:trHeight w:val="1734"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7AE6CE1B">
            <w:pPr>
              <w:widowControl/>
              <w:jc w:val="center"/>
              <w:rPr>
                <w:rFonts w:hint="eastAsia" w:ascii="宋体" w:hAnsi="宋体" w:cs="Arial"/>
                <w:b/>
                <w:bCs/>
                <w:kern w:val="0"/>
                <w:sz w:val="21"/>
                <w:szCs w:val="21"/>
              </w:rPr>
            </w:pPr>
            <w:r>
              <w:rPr>
                <w:rFonts w:hint="eastAsia" w:ascii="宋体" w:hAnsi="宋体" w:cs="Arial"/>
                <w:kern w:val="0"/>
                <w:sz w:val="21"/>
                <w:szCs w:val="21"/>
                <w:lang w:val="en-US" w:eastAsia="zh-CN"/>
              </w:rPr>
              <w:t>1</w:t>
            </w:r>
          </w:p>
        </w:tc>
        <w:tc>
          <w:tcPr>
            <w:tcW w:w="886" w:type="dxa"/>
            <w:tcBorders>
              <w:top w:val="single" w:color="auto" w:sz="4" w:space="0"/>
              <w:left w:val="nil"/>
              <w:bottom w:val="single" w:color="auto" w:sz="4" w:space="0"/>
              <w:right w:val="nil"/>
            </w:tcBorders>
            <w:noWrap w:val="0"/>
            <w:vAlign w:val="center"/>
          </w:tcPr>
          <w:p w14:paraId="7895C623">
            <w:pPr>
              <w:widowControl/>
              <w:jc w:val="center"/>
              <w:rPr>
                <w:rFonts w:hint="eastAsia" w:ascii="宋体" w:hAnsi="宋体" w:eastAsia="宋体" w:cs="Arial"/>
                <w:kern w:val="0"/>
                <w:sz w:val="21"/>
                <w:szCs w:val="21"/>
                <w:lang w:val="en-US" w:eastAsia="zh-CN" w:bidi="ar-SA"/>
              </w:rPr>
            </w:pPr>
            <w:r>
              <w:rPr>
                <w:rFonts w:hint="eastAsia" w:ascii="宋体" w:hAnsi="宋体" w:cs="Arial"/>
                <w:kern w:val="0"/>
                <w:sz w:val="21"/>
                <w:szCs w:val="21"/>
              </w:rPr>
              <w:t>数据库服务器</w:t>
            </w:r>
          </w:p>
        </w:tc>
        <w:tc>
          <w:tcPr>
            <w:tcW w:w="7298" w:type="dxa"/>
            <w:tcBorders>
              <w:top w:val="single" w:color="auto" w:sz="4" w:space="0"/>
              <w:left w:val="single" w:color="auto" w:sz="4" w:space="0"/>
              <w:bottom w:val="single" w:color="auto" w:sz="4" w:space="0"/>
              <w:right w:val="single" w:color="auto" w:sz="4" w:space="0"/>
            </w:tcBorders>
            <w:noWrap w:val="0"/>
            <w:vAlign w:val="center"/>
          </w:tcPr>
          <w:p w14:paraId="6206055A">
            <w:pPr>
              <w:widowControl/>
              <w:jc w:val="left"/>
              <w:rPr>
                <w:rFonts w:hint="eastAsia" w:ascii="宋体" w:hAnsi="宋体" w:cs="Arial"/>
                <w:kern w:val="0"/>
                <w:szCs w:val="21"/>
              </w:rPr>
            </w:pPr>
            <w:r>
              <w:rPr>
                <w:rFonts w:hint="eastAsia" w:ascii="宋体" w:hAnsi="宋体" w:cs="Arial"/>
                <w:kern w:val="0"/>
                <w:szCs w:val="21"/>
              </w:rPr>
              <w:t xml:space="preserve">1、总体要求：2U机架式服务器，非OEM，国内拥有工厂 </w:t>
            </w:r>
          </w:p>
          <w:p w14:paraId="6460E59B">
            <w:pPr>
              <w:widowControl/>
              <w:jc w:val="left"/>
              <w:rPr>
                <w:rFonts w:hint="eastAsia" w:ascii="宋体" w:hAnsi="宋体" w:cs="Arial"/>
                <w:kern w:val="0"/>
                <w:szCs w:val="21"/>
              </w:rPr>
            </w:pPr>
            <w:r>
              <w:rPr>
                <w:rFonts w:hint="eastAsia" w:ascii="宋体" w:hAnsi="宋体" w:cs="Arial"/>
                <w:kern w:val="0"/>
                <w:szCs w:val="21"/>
              </w:rPr>
              <w:t xml:space="preserve">2、处理器：配置两颗Intel至强第五代系列处理器，单颗处理器核心数≥8，主频≥3.2GHz </w:t>
            </w:r>
          </w:p>
          <w:p w14:paraId="07509C9D">
            <w:pPr>
              <w:widowControl/>
              <w:jc w:val="left"/>
              <w:rPr>
                <w:rFonts w:hint="eastAsia" w:ascii="宋体" w:hAnsi="宋体" w:cs="Arial"/>
                <w:kern w:val="0"/>
                <w:szCs w:val="21"/>
              </w:rPr>
            </w:pPr>
            <w:r>
              <w:rPr>
                <w:rFonts w:hint="eastAsia" w:ascii="宋体" w:hAnsi="宋体" w:cs="Arial"/>
                <w:kern w:val="0"/>
                <w:szCs w:val="21"/>
              </w:rPr>
              <w:t>3、内存：配置≥512GB DDR5 5600MHz内存，最大支持32根内存插槽</w:t>
            </w:r>
          </w:p>
          <w:p w14:paraId="492122BF">
            <w:pPr>
              <w:widowControl/>
              <w:jc w:val="left"/>
              <w:rPr>
                <w:rFonts w:hint="eastAsia" w:ascii="宋体" w:hAnsi="宋体" w:cs="Arial"/>
                <w:kern w:val="0"/>
                <w:szCs w:val="21"/>
              </w:rPr>
            </w:pPr>
            <w:r>
              <w:rPr>
                <w:rFonts w:hint="eastAsia" w:ascii="宋体" w:hAnsi="宋体" w:cs="Arial"/>
                <w:kern w:val="0"/>
                <w:szCs w:val="21"/>
              </w:rPr>
              <w:t>4、阵列卡：配置≥1块SATA/SAS磁盘控制器，支持RAID 0/1/10/5，支持直通</w:t>
            </w:r>
          </w:p>
          <w:p w14:paraId="11976728">
            <w:pPr>
              <w:widowControl/>
              <w:jc w:val="left"/>
              <w:rPr>
                <w:rFonts w:hint="eastAsia" w:ascii="宋体" w:hAnsi="宋体" w:cs="Arial"/>
                <w:kern w:val="0"/>
                <w:szCs w:val="21"/>
              </w:rPr>
            </w:pPr>
            <w:r>
              <w:rPr>
                <w:rFonts w:hint="eastAsia" w:ascii="宋体" w:hAnsi="宋体" w:cs="Arial"/>
                <w:kern w:val="0"/>
                <w:szCs w:val="21"/>
              </w:rPr>
              <w:t>5、硬盘</w:t>
            </w:r>
            <w:r>
              <w:rPr>
                <w:rFonts w:hint="eastAsia" w:ascii="宋体" w:hAnsi="宋体" w:cs="Arial"/>
                <w:kern w:val="0"/>
                <w:szCs w:val="21"/>
              </w:rPr>
              <w:tab/>
            </w:r>
            <w:r>
              <w:rPr>
                <w:rFonts w:hint="eastAsia" w:ascii="宋体" w:hAnsi="宋体" w:cs="Arial"/>
                <w:kern w:val="0"/>
                <w:szCs w:val="21"/>
              </w:rPr>
              <w:t>：配置≥3块960GB SATA热插拔固态硬盘，最大支持36个NVMe SSD，最大支持48个E3.S</w:t>
            </w:r>
          </w:p>
          <w:p w14:paraId="4200C14C">
            <w:pPr>
              <w:widowControl/>
              <w:jc w:val="left"/>
              <w:rPr>
                <w:rFonts w:hint="eastAsia" w:ascii="宋体" w:hAnsi="宋体" w:cs="Arial"/>
                <w:kern w:val="0"/>
                <w:szCs w:val="21"/>
              </w:rPr>
            </w:pPr>
            <w:r>
              <w:rPr>
                <w:rFonts w:hint="eastAsia" w:ascii="宋体" w:hAnsi="宋体" w:cs="Arial"/>
                <w:kern w:val="0"/>
                <w:szCs w:val="21"/>
              </w:rPr>
              <w:t>6、网卡：配置≥1块四端口千兆以太网适配器，配置≥2块双端口10Gb以太网适配器，满配10Gb光模块，配置≥1块双端口16Gb光纤通道适配器，1个专用的管理端口</w:t>
            </w:r>
          </w:p>
          <w:p w14:paraId="7AD09BBA">
            <w:pPr>
              <w:widowControl/>
              <w:jc w:val="left"/>
              <w:rPr>
                <w:rFonts w:hint="eastAsia" w:ascii="宋体" w:hAnsi="宋体" w:cs="Arial"/>
                <w:kern w:val="0"/>
                <w:szCs w:val="21"/>
              </w:rPr>
            </w:pPr>
            <w:r>
              <w:rPr>
                <w:rFonts w:hint="eastAsia" w:ascii="宋体" w:hAnsi="宋体" w:cs="Arial"/>
                <w:kern w:val="0"/>
                <w:szCs w:val="21"/>
              </w:rPr>
              <w:t>7、扩展性：最大支持18个PCIe标准插槽+2个OCP插槽</w:t>
            </w:r>
          </w:p>
          <w:p w14:paraId="78D2881D">
            <w:pPr>
              <w:widowControl/>
              <w:jc w:val="left"/>
              <w:rPr>
                <w:rFonts w:hint="eastAsia" w:ascii="宋体" w:hAnsi="宋体" w:cs="Arial"/>
                <w:kern w:val="0"/>
                <w:szCs w:val="21"/>
              </w:rPr>
            </w:pPr>
            <w:r>
              <w:rPr>
                <w:rFonts w:hint="eastAsia" w:ascii="宋体" w:hAnsi="宋体" w:cs="Arial"/>
                <w:kern w:val="0"/>
                <w:szCs w:val="21"/>
              </w:rPr>
              <w:t>8、电源</w:t>
            </w:r>
            <w:r>
              <w:rPr>
                <w:rFonts w:hint="eastAsia" w:ascii="宋体" w:hAnsi="宋体" w:cs="Arial"/>
                <w:kern w:val="0"/>
                <w:szCs w:val="21"/>
              </w:rPr>
              <w:tab/>
            </w:r>
            <w:r>
              <w:rPr>
                <w:rFonts w:hint="eastAsia" w:ascii="宋体" w:hAnsi="宋体" w:cs="Arial"/>
                <w:kern w:val="0"/>
                <w:szCs w:val="21"/>
              </w:rPr>
              <w:t>：配置≥2块1300W白金热插拔电源模块</w:t>
            </w:r>
          </w:p>
          <w:p w14:paraId="4DB7A3DB">
            <w:pPr>
              <w:widowControl/>
              <w:jc w:val="left"/>
              <w:rPr>
                <w:rFonts w:hint="eastAsia" w:ascii="宋体" w:hAnsi="宋体" w:cs="Arial"/>
                <w:kern w:val="0"/>
                <w:szCs w:val="21"/>
              </w:rPr>
            </w:pPr>
            <w:r>
              <w:rPr>
                <w:rFonts w:hint="eastAsia" w:ascii="宋体" w:hAnsi="宋体" w:cs="Arial"/>
                <w:kern w:val="0"/>
                <w:szCs w:val="21"/>
              </w:rPr>
              <w:t>9、管理：配置独立远程管理网口，支持无缝固件升级，提供Micro Code升级包，降低固件刷新时间，并在重启生效过程中减少不必要的重启。提供同品牌运维监控平台软件，支持对业界主流品牌服务器、存储、网络设备及安全设备的运维监控，支持采购方在用设备的运维监控；支持从综合、监测、资产、设备和能耗等多个角度展现数据中心IT基础设施运行情况；支持自动生成网络拓扑图，拓扑图可以自由拖动，可自定义拓扑图排列方式，可以清晰展示上下游设备关联关系。支持按设备全生命周期方式对设备进行统一管理。支持展现业务的总体运行情况，包括：告警信息、配置信息、故障恢复信息等。</w:t>
            </w:r>
          </w:p>
          <w:p w14:paraId="6DE58CE7">
            <w:pPr>
              <w:widowControl/>
              <w:jc w:val="left"/>
              <w:rPr>
                <w:rFonts w:hint="eastAsia" w:ascii="宋体" w:hAnsi="宋体" w:cs="Arial"/>
                <w:kern w:val="0"/>
                <w:szCs w:val="21"/>
              </w:rPr>
            </w:pPr>
            <w:r>
              <w:rPr>
                <w:rFonts w:hint="eastAsia" w:ascii="宋体" w:hAnsi="宋体" w:cs="Arial"/>
                <w:kern w:val="0"/>
                <w:szCs w:val="21"/>
              </w:rPr>
              <w:t>10、稳定性：为保证产品长期稳定运行，提供CNAS认证机构颁发的噪声环境温度检验证书、电源适应能力检测证书、工频磁场抗扰度检测证书、浪涌抗扰度检测证书、雷击过电压过电流检测证书、射频电磁场辐射抗扰度检测证书((</w:t>
            </w:r>
            <w:r>
              <w:rPr>
                <w:rFonts w:hint="eastAsia" w:ascii="宋体" w:hAnsi="宋体" w:cs="宋体"/>
                <w:color w:val="000000"/>
                <w:kern w:val="0"/>
                <w:sz w:val="22"/>
                <w:szCs w:val="22"/>
                <w:lang w:bidi="ar"/>
              </w:rPr>
              <w:t>提供相关证书复印件</w:t>
            </w:r>
            <w:r>
              <w:rPr>
                <w:rFonts w:hint="eastAsia" w:ascii="宋体" w:hAnsi="宋体" w:cs="Arial"/>
                <w:kern w:val="0"/>
                <w:szCs w:val="21"/>
              </w:rPr>
              <w:t>)</w:t>
            </w:r>
          </w:p>
          <w:p w14:paraId="55DF6CC7">
            <w:pPr>
              <w:widowControl/>
              <w:jc w:val="left"/>
              <w:rPr>
                <w:rFonts w:hint="eastAsia" w:ascii="宋体" w:hAnsi="宋体" w:cs="Arial"/>
                <w:b/>
                <w:bCs/>
                <w:kern w:val="0"/>
                <w:sz w:val="21"/>
                <w:szCs w:val="21"/>
              </w:rPr>
            </w:pPr>
            <w:r>
              <w:rPr>
                <w:rFonts w:hint="eastAsia" w:ascii="宋体" w:hAnsi="宋体" w:cs="Arial"/>
                <w:kern w:val="0"/>
                <w:szCs w:val="21"/>
              </w:rPr>
              <w:t>11、售后服务：提供原厂五年7x24服务和三年硬盘不返还服务，</w:t>
            </w:r>
            <w:r>
              <w:rPr>
                <w:rFonts w:hint="eastAsia" w:ascii="宋体" w:hAnsi="宋体" w:cs="宋体"/>
                <w:color w:val="000000"/>
                <w:kern w:val="0"/>
                <w:sz w:val="22"/>
                <w:szCs w:val="22"/>
                <w:lang w:bidi="ar"/>
              </w:rPr>
              <w:t>可通过官方网站及原厂400电话查询原厂保修状态，原厂售后服务须通过CTEAS七星级（卓越）认证 ，NECAS五星级认证，提供相关证书复印件</w:t>
            </w:r>
          </w:p>
        </w:tc>
        <w:tc>
          <w:tcPr>
            <w:tcW w:w="596" w:type="dxa"/>
            <w:tcBorders>
              <w:top w:val="single" w:color="auto" w:sz="4" w:space="0"/>
              <w:left w:val="nil"/>
              <w:bottom w:val="single" w:color="auto" w:sz="4" w:space="0"/>
              <w:right w:val="single" w:color="auto" w:sz="4" w:space="0"/>
            </w:tcBorders>
            <w:noWrap w:val="0"/>
            <w:vAlign w:val="center"/>
          </w:tcPr>
          <w:p w14:paraId="0B919AB6">
            <w:pPr>
              <w:widowControl/>
              <w:jc w:val="center"/>
              <w:rPr>
                <w:rFonts w:hint="eastAsia" w:ascii="宋体" w:hAnsi="宋体" w:cs="Arial"/>
                <w:b/>
                <w:bCs/>
                <w:kern w:val="0"/>
                <w:sz w:val="21"/>
                <w:szCs w:val="21"/>
              </w:rPr>
            </w:pPr>
            <w:r>
              <w:rPr>
                <w:rFonts w:hint="eastAsia" w:ascii="宋体" w:hAnsi="宋体" w:cs="Arial"/>
                <w:kern w:val="0"/>
                <w:sz w:val="21"/>
                <w:szCs w:val="21"/>
                <w:lang w:val="en-US" w:eastAsia="zh-CN"/>
              </w:rPr>
              <w:t>台</w:t>
            </w:r>
          </w:p>
        </w:tc>
        <w:tc>
          <w:tcPr>
            <w:tcW w:w="587" w:type="dxa"/>
            <w:tcBorders>
              <w:top w:val="single" w:color="auto" w:sz="4" w:space="0"/>
              <w:left w:val="nil"/>
              <w:bottom w:val="single" w:color="auto" w:sz="4" w:space="0"/>
              <w:right w:val="single" w:color="auto" w:sz="4" w:space="0"/>
            </w:tcBorders>
            <w:noWrap w:val="0"/>
            <w:vAlign w:val="center"/>
          </w:tcPr>
          <w:p w14:paraId="0F2C6864">
            <w:pPr>
              <w:widowControl/>
              <w:jc w:val="center"/>
              <w:rPr>
                <w:rFonts w:hint="eastAsia" w:ascii="宋体" w:hAnsi="宋体" w:cs="Arial"/>
                <w:b/>
                <w:bCs/>
                <w:kern w:val="0"/>
                <w:sz w:val="21"/>
                <w:szCs w:val="21"/>
              </w:rPr>
            </w:pPr>
            <w:r>
              <w:rPr>
                <w:rFonts w:hint="eastAsia" w:ascii="宋体" w:hAnsi="宋体" w:cs="Arial"/>
                <w:kern w:val="0"/>
                <w:sz w:val="21"/>
                <w:szCs w:val="21"/>
                <w:lang w:val="en-US" w:eastAsia="zh-CN"/>
              </w:rPr>
              <w:t>2</w:t>
            </w:r>
          </w:p>
        </w:tc>
        <w:tc>
          <w:tcPr>
            <w:tcW w:w="842" w:type="dxa"/>
            <w:tcBorders>
              <w:top w:val="single" w:color="auto" w:sz="4" w:space="0"/>
              <w:left w:val="nil"/>
              <w:bottom w:val="single" w:color="auto" w:sz="4" w:space="0"/>
              <w:right w:val="single" w:color="auto" w:sz="4" w:space="0"/>
            </w:tcBorders>
            <w:noWrap w:val="0"/>
            <w:vAlign w:val="center"/>
          </w:tcPr>
          <w:p w14:paraId="6633559A">
            <w:pPr>
              <w:widowControl/>
              <w:jc w:val="center"/>
              <w:rPr>
                <w:rFonts w:hint="default" w:ascii="宋体" w:hAnsi="宋体" w:cs="Arial"/>
                <w:kern w:val="0"/>
                <w:sz w:val="21"/>
                <w:szCs w:val="21"/>
                <w:lang w:val="en-US" w:eastAsia="zh-CN"/>
              </w:rPr>
            </w:pPr>
            <w:r>
              <w:rPr>
                <w:rFonts w:hint="eastAsia" w:ascii="宋体" w:hAnsi="宋体" w:cs="Arial"/>
                <w:kern w:val="0"/>
                <w:sz w:val="21"/>
                <w:szCs w:val="21"/>
                <w:lang w:val="en-US" w:eastAsia="zh-CN"/>
              </w:rPr>
              <w:t>是</w:t>
            </w:r>
          </w:p>
        </w:tc>
      </w:tr>
      <w:tr w14:paraId="1DA348D3">
        <w:tblPrEx>
          <w:tblCellMar>
            <w:top w:w="0" w:type="dxa"/>
            <w:left w:w="108" w:type="dxa"/>
            <w:bottom w:w="0" w:type="dxa"/>
            <w:right w:w="108" w:type="dxa"/>
          </w:tblCellMar>
        </w:tblPrEx>
        <w:trPr>
          <w:trHeight w:val="1734"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04BC9F0F">
            <w:pPr>
              <w:widowControl/>
              <w:jc w:val="center"/>
              <w:rPr>
                <w:rFonts w:hint="eastAsia" w:ascii="宋体" w:hAnsi="宋体" w:cs="Arial"/>
                <w:kern w:val="0"/>
                <w:sz w:val="21"/>
                <w:szCs w:val="21"/>
                <w:lang w:val="en-US" w:eastAsia="zh-CN"/>
              </w:rPr>
            </w:pPr>
            <w:r>
              <w:rPr>
                <w:rFonts w:hint="eastAsia" w:ascii="宋体" w:hAnsi="宋体" w:cs="Arial"/>
                <w:kern w:val="0"/>
                <w:sz w:val="21"/>
                <w:szCs w:val="21"/>
                <w:lang w:val="en-US" w:eastAsia="zh-CN"/>
              </w:rPr>
              <w:t>2</w:t>
            </w:r>
          </w:p>
        </w:tc>
        <w:tc>
          <w:tcPr>
            <w:tcW w:w="886" w:type="dxa"/>
            <w:tcBorders>
              <w:top w:val="single" w:color="auto" w:sz="4" w:space="0"/>
              <w:left w:val="nil"/>
              <w:bottom w:val="single" w:color="auto" w:sz="4" w:space="0"/>
              <w:right w:val="nil"/>
            </w:tcBorders>
            <w:noWrap w:val="0"/>
            <w:vAlign w:val="center"/>
          </w:tcPr>
          <w:p w14:paraId="606647AA">
            <w:pPr>
              <w:widowControl/>
              <w:jc w:val="center"/>
              <w:rPr>
                <w:rFonts w:hint="eastAsia" w:ascii="宋体" w:hAnsi="宋体" w:eastAsia="宋体" w:cs="Arial"/>
                <w:kern w:val="0"/>
                <w:sz w:val="21"/>
                <w:szCs w:val="21"/>
                <w:lang w:val="en-US" w:eastAsia="zh-CN" w:bidi="ar-SA"/>
              </w:rPr>
            </w:pPr>
            <w:r>
              <w:rPr>
                <w:rFonts w:hint="eastAsia" w:ascii="宋体" w:hAnsi="宋体" w:cs="Arial"/>
                <w:kern w:val="0"/>
                <w:sz w:val="21"/>
                <w:szCs w:val="21"/>
              </w:rPr>
              <w:t>应用服务器</w:t>
            </w:r>
          </w:p>
        </w:tc>
        <w:tc>
          <w:tcPr>
            <w:tcW w:w="7298" w:type="dxa"/>
            <w:tcBorders>
              <w:top w:val="single" w:color="auto" w:sz="4" w:space="0"/>
              <w:left w:val="single" w:color="auto" w:sz="4" w:space="0"/>
              <w:bottom w:val="single" w:color="auto" w:sz="4" w:space="0"/>
              <w:right w:val="single" w:color="auto" w:sz="4" w:space="0"/>
            </w:tcBorders>
            <w:noWrap w:val="0"/>
            <w:vAlign w:val="center"/>
          </w:tcPr>
          <w:p w14:paraId="02000BA2">
            <w:pPr>
              <w:widowControl/>
              <w:jc w:val="left"/>
              <w:rPr>
                <w:rFonts w:hint="eastAsia" w:ascii="宋体" w:hAnsi="宋体" w:cs="Arial"/>
                <w:kern w:val="0"/>
                <w:szCs w:val="21"/>
              </w:rPr>
            </w:pPr>
            <w:r>
              <w:rPr>
                <w:rFonts w:hint="eastAsia" w:ascii="宋体" w:hAnsi="宋体" w:cs="Arial"/>
                <w:kern w:val="0"/>
                <w:szCs w:val="21"/>
              </w:rPr>
              <w:t xml:space="preserve">1、总体要求：2U机架式服务器，非OEM，国内拥有工厂 </w:t>
            </w:r>
          </w:p>
          <w:p w14:paraId="31438DB6">
            <w:pPr>
              <w:widowControl/>
              <w:jc w:val="left"/>
              <w:rPr>
                <w:rFonts w:hint="eastAsia" w:ascii="宋体" w:hAnsi="宋体" w:cs="Arial"/>
                <w:kern w:val="0"/>
                <w:szCs w:val="21"/>
              </w:rPr>
            </w:pPr>
            <w:r>
              <w:rPr>
                <w:rFonts w:hint="eastAsia" w:ascii="宋体" w:hAnsi="宋体" w:cs="Arial"/>
                <w:kern w:val="0"/>
                <w:szCs w:val="21"/>
              </w:rPr>
              <w:t xml:space="preserve">2、处理器：配置一颗Intel至强第五代系列处理器，单颗处理器核心数≥16，主频≥2.8GHz  </w:t>
            </w:r>
          </w:p>
          <w:p w14:paraId="375E252F">
            <w:pPr>
              <w:widowControl/>
              <w:jc w:val="left"/>
              <w:rPr>
                <w:rFonts w:hint="eastAsia" w:ascii="宋体" w:hAnsi="宋体" w:cs="Arial"/>
                <w:kern w:val="0"/>
                <w:szCs w:val="21"/>
              </w:rPr>
            </w:pPr>
            <w:r>
              <w:rPr>
                <w:rFonts w:hint="eastAsia" w:ascii="宋体" w:hAnsi="宋体" w:cs="Arial"/>
                <w:kern w:val="0"/>
                <w:szCs w:val="21"/>
              </w:rPr>
              <w:t>3、内存：配置≥256GB DDR5 5600MHz内存，最大支持32根内存插槽</w:t>
            </w:r>
          </w:p>
          <w:p w14:paraId="76297407">
            <w:pPr>
              <w:widowControl/>
              <w:jc w:val="left"/>
              <w:rPr>
                <w:rFonts w:hint="eastAsia" w:ascii="宋体" w:hAnsi="宋体" w:cs="Arial"/>
                <w:kern w:val="0"/>
                <w:szCs w:val="21"/>
              </w:rPr>
            </w:pPr>
            <w:r>
              <w:rPr>
                <w:rFonts w:hint="eastAsia" w:ascii="宋体" w:hAnsi="宋体" w:cs="Arial"/>
                <w:kern w:val="0"/>
                <w:szCs w:val="21"/>
              </w:rPr>
              <w:t>4、阵列卡：配置≥1块SATA/SAS磁盘控制器，支持RAID 0/1/10/5，支持直通</w:t>
            </w:r>
          </w:p>
          <w:p w14:paraId="05372EA5">
            <w:pPr>
              <w:widowControl/>
              <w:jc w:val="left"/>
              <w:rPr>
                <w:rFonts w:hint="eastAsia" w:ascii="宋体" w:hAnsi="宋体" w:cs="Arial"/>
                <w:kern w:val="0"/>
                <w:szCs w:val="21"/>
              </w:rPr>
            </w:pPr>
            <w:r>
              <w:rPr>
                <w:rFonts w:hint="eastAsia" w:ascii="宋体" w:hAnsi="宋体" w:cs="Arial"/>
                <w:kern w:val="0"/>
                <w:szCs w:val="21"/>
              </w:rPr>
              <w:t>5、硬盘</w:t>
            </w:r>
            <w:r>
              <w:rPr>
                <w:rFonts w:hint="eastAsia" w:ascii="宋体" w:hAnsi="宋体" w:cs="Arial"/>
                <w:kern w:val="0"/>
                <w:szCs w:val="21"/>
              </w:rPr>
              <w:tab/>
            </w:r>
            <w:r>
              <w:rPr>
                <w:rFonts w:hint="eastAsia" w:ascii="宋体" w:hAnsi="宋体" w:cs="Arial"/>
                <w:kern w:val="0"/>
                <w:szCs w:val="21"/>
              </w:rPr>
              <w:t>：配置≥3块960GB SATA热插拔固态硬盘，最大支持36个NVMe SSD，最大支持48个E3.S</w:t>
            </w:r>
          </w:p>
          <w:p w14:paraId="651CC4DB">
            <w:pPr>
              <w:widowControl/>
              <w:jc w:val="left"/>
              <w:rPr>
                <w:rFonts w:hint="eastAsia" w:ascii="宋体" w:hAnsi="宋体" w:cs="Arial"/>
                <w:kern w:val="0"/>
                <w:szCs w:val="21"/>
              </w:rPr>
            </w:pPr>
            <w:r>
              <w:rPr>
                <w:rFonts w:hint="eastAsia" w:ascii="宋体" w:hAnsi="宋体" w:cs="Arial"/>
                <w:kern w:val="0"/>
                <w:szCs w:val="21"/>
              </w:rPr>
              <w:t>6、网卡：配置≥1块四端口千兆以太网适配器，配置≥2块双端口10Gb以太网适配器，满配10Gb光模块，配置≥1块双端口16Gb光纤通道适配器，1个专用的管理端口</w:t>
            </w:r>
          </w:p>
          <w:p w14:paraId="4A1C5109">
            <w:pPr>
              <w:widowControl/>
              <w:jc w:val="left"/>
              <w:rPr>
                <w:rFonts w:hint="eastAsia" w:ascii="宋体" w:hAnsi="宋体" w:cs="Arial"/>
                <w:kern w:val="0"/>
                <w:szCs w:val="21"/>
              </w:rPr>
            </w:pPr>
            <w:r>
              <w:rPr>
                <w:rFonts w:hint="eastAsia" w:ascii="宋体" w:hAnsi="宋体" w:cs="Arial"/>
                <w:kern w:val="0"/>
                <w:szCs w:val="21"/>
              </w:rPr>
              <w:t>7、扩展性：最大支持18个PCIe标准插槽+2个OCP插槽</w:t>
            </w:r>
          </w:p>
          <w:p w14:paraId="2645197C">
            <w:pPr>
              <w:widowControl/>
              <w:jc w:val="left"/>
              <w:rPr>
                <w:rFonts w:hint="eastAsia" w:ascii="宋体" w:hAnsi="宋体" w:cs="Arial"/>
                <w:kern w:val="0"/>
                <w:szCs w:val="21"/>
              </w:rPr>
            </w:pPr>
            <w:r>
              <w:rPr>
                <w:rFonts w:hint="eastAsia" w:ascii="宋体" w:hAnsi="宋体" w:cs="Arial"/>
                <w:kern w:val="0"/>
                <w:szCs w:val="21"/>
              </w:rPr>
              <w:t>8、电源</w:t>
            </w:r>
            <w:r>
              <w:rPr>
                <w:rFonts w:hint="eastAsia" w:ascii="宋体" w:hAnsi="宋体" w:cs="Arial"/>
                <w:kern w:val="0"/>
                <w:szCs w:val="21"/>
              </w:rPr>
              <w:tab/>
            </w:r>
            <w:r>
              <w:rPr>
                <w:rFonts w:hint="eastAsia" w:ascii="宋体" w:hAnsi="宋体" w:cs="Arial"/>
                <w:kern w:val="0"/>
                <w:szCs w:val="21"/>
              </w:rPr>
              <w:t>：配置≥2块1300W白金热插拔电源模块</w:t>
            </w:r>
          </w:p>
          <w:p w14:paraId="644C9065">
            <w:pPr>
              <w:widowControl/>
              <w:jc w:val="left"/>
              <w:rPr>
                <w:rFonts w:hint="eastAsia" w:ascii="宋体" w:hAnsi="宋体" w:cs="Arial"/>
                <w:kern w:val="0"/>
                <w:szCs w:val="21"/>
              </w:rPr>
            </w:pPr>
            <w:r>
              <w:rPr>
                <w:rFonts w:hint="eastAsia" w:ascii="宋体" w:hAnsi="宋体" w:cs="Arial"/>
                <w:kern w:val="0"/>
                <w:szCs w:val="21"/>
              </w:rPr>
              <w:t>9、管理：配置独立远程管理网口，支持无缝固件升级，提供Micro Code升级包，降低固件刷新时间，并在重启生效过程中减少不必要的重启。提供同品牌运维监控平台软件，支持对业界主流品牌服务器、存储、网络设备及安全设备的运维监控，支持采购方在用设备的运维监控；支持从综合、监测、资产、设备和能耗等多个角度展现数据中心IT基础设施运行情况；支持自动生成网络拓扑图，拓扑图可以自由拖动，可自定义拓扑图排列方式，可以清晰展示上下游设备关联关系。支持按设备全生命周期方式对设备进行统一管理。支持展现业务的总体运行情况，包括：告警信息、配置信息、故障恢复信息等。</w:t>
            </w:r>
          </w:p>
          <w:p w14:paraId="21F1D5FD">
            <w:pPr>
              <w:widowControl/>
              <w:jc w:val="left"/>
              <w:rPr>
                <w:rFonts w:hint="eastAsia" w:ascii="宋体" w:hAnsi="宋体" w:cs="Arial"/>
                <w:kern w:val="0"/>
                <w:szCs w:val="21"/>
              </w:rPr>
            </w:pPr>
            <w:r>
              <w:rPr>
                <w:rFonts w:hint="eastAsia" w:ascii="宋体" w:hAnsi="宋体" w:cs="Arial"/>
                <w:kern w:val="0"/>
                <w:szCs w:val="21"/>
              </w:rPr>
              <w:t>10、稳定性：为保证产品长期稳定运行，提供CNAS认证机构颁发的噪声环境温度检验证书、电源适应能力检测证书、工频磁场抗扰度检测证书、浪涌抗扰度检测证书、雷击过电压过电流检测证书、射频电磁场辐射抗扰度检测证书(</w:t>
            </w:r>
            <w:r>
              <w:rPr>
                <w:rFonts w:hint="eastAsia" w:ascii="宋体" w:hAnsi="宋体" w:cs="宋体"/>
                <w:color w:val="000000"/>
                <w:kern w:val="0"/>
                <w:sz w:val="22"/>
                <w:szCs w:val="22"/>
                <w:lang w:bidi="ar"/>
              </w:rPr>
              <w:t>提供相关证书复印件</w:t>
            </w:r>
            <w:r>
              <w:rPr>
                <w:rFonts w:hint="eastAsia" w:ascii="宋体" w:hAnsi="宋体" w:cs="Arial"/>
                <w:kern w:val="0"/>
                <w:szCs w:val="21"/>
              </w:rPr>
              <w:t>)</w:t>
            </w:r>
          </w:p>
          <w:p w14:paraId="58D0DAEA">
            <w:pPr>
              <w:widowControl/>
              <w:jc w:val="left"/>
              <w:rPr>
                <w:rFonts w:hint="eastAsia" w:ascii="宋体" w:hAnsi="宋体" w:cs="Arial"/>
                <w:kern w:val="0"/>
                <w:sz w:val="21"/>
                <w:szCs w:val="21"/>
              </w:rPr>
            </w:pPr>
            <w:r>
              <w:rPr>
                <w:rFonts w:hint="eastAsia" w:ascii="宋体" w:hAnsi="宋体" w:cs="Arial"/>
                <w:kern w:val="0"/>
                <w:szCs w:val="21"/>
              </w:rPr>
              <w:t>11、售后服务：提供原厂五年7x24服务和三年硬盘不返还服务，</w:t>
            </w:r>
            <w:r>
              <w:rPr>
                <w:rFonts w:hint="eastAsia" w:ascii="宋体" w:hAnsi="宋体" w:cs="宋体"/>
                <w:color w:val="000000"/>
                <w:kern w:val="0"/>
                <w:sz w:val="22"/>
                <w:szCs w:val="22"/>
                <w:lang w:bidi="ar"/>
              </w:rPr>
              <w:t>可通过官方网站及原厂400电话查询原厂保修状态，原厂售后服务须通过CTEAS七星级（卓越）认证 ，NECAS五星级认证（提供相关证书复印）</w:t>
            </w:r>
          </w:p>
        </w:tc>
        <w:tc>
          <w:tcPr>
            <w:tcW w:w="596" w:type="dxa"/>
            <w:tcBorders>
              <w:top w:val="single" w:color="auto" w:sz="4" w:space="0"/>
              <w:left w:val="nil"/>
              <w:bottom w:val="single" w:color="auto" w:sz="4" w:space="0"/>
              <w:right w:val="single" w:color="auto" w:sz="4" w:space="0"/>
            </w:tcBorders>
            <w:noWrap w:val="0"/>
            <w:vAlign w:val="center"/>
          </w:tcPr>
          <w:p w14:paraId="45336A55">
            <w:pPr>
              <w:widowControl/>
              <w:jc w:val="center"/>
              <w:rPr>
                <w:rFonts w:hint="eastAsia" w:ascii="宋体" w:hAnsi="宋体" w:cs="Arial"/>
                <w:kern w:val="0"/>
                <w:sz w:val="21"/>
                <w:szCs w:val="21"/>
                <w:lang w:val="en-US" w:eastAsia="zh-CN"/>
              </w:rPr>
            </w:pPr>
            <w:r>
              <w:rPr>
                <w:rFonts w:hint="eastAsia" w:ascii="宋体" w:hAnsi="宋体" w:cs="Arial"/>
                <w:kern w:val="0"/>
                <w:sz w:val="21"/>
                <w:szCs w:val="21"/>
                <w:lang w:val="en-US" w:eastAsia="zh-CN"/>
              </w:rPr>
              <w:t>台</w:t>
            </w:r>
          </w:p>
        </w:tc>
        <w:tc>
          <w:tcPr>
            <w:tcW w:w="587" w:type="dxa"/>
            <w:tcBorders>
              <w:top w:val="single" w:color="auto" w:sz="4" w:space="0"/>
              <w:left w:val="nil"/>
              <w:bottom w:val="single" w:color="auto" w:sz="4" w:space="0"/>
              <w:right w:val="single" w:color="auto" w:sz="4" w:space="0"/>
            </w:tcBorders>
            <w:noWrap w:val="0"/>
            <w:vAlign w:val="center"/>
          </w:tcPr>
          <w:p w14:paraId="54EDEE78">
            <w:pPr>
              <w:widowControl/>
              <w:jc w:val="center"/>
              <w:rPr>
                <w:rFonts w:hint="eastAsia" w:ascii="宋体" w:hAnsi="宋体" w:cs="Arial"/>
                <w:kern w:val="0"/>
                <w:sz w:val="21"/>
                <w:szCs w:val="21"/>
                <w:lang w:val="en-US" w:eastAsia="zh-CN"/>
              </w:rPr>
            </w:pPr>
            <w:r>
              <w:rPr>
                <w:rFonts w:hint="eastAsia" w:ascii="宋体" w:hAnsi="宋体" w:cs="Arial"/>
                <w:kern w:val="0"/>
                <w:sz w:val="21"/>
                <w:szCs w:val="21"/>
                <w:lang w:val="en-US" w:eastAsia="zh-CN"/>
              </w:rPr>
              <w:t>3</w:t>
            </w:r>
          </w:p>
        </w:tc>
        <w:tc>
          <w:tcPr>
            <w:tcW w:w="842" w:type="dxa"/>
            <w:tcBorders>
              <w:top w:val="single" w:color="auto" w:sz="4" w:space="0"/>
              <w:left w:val="nil"/>
              <w:bottom w:val="single" w:color="auto" w:sz="4" w:space="0"/>
              <w:right w:val="single" w:color="auto" w:sz="4" w:space="0"/>
            </w:tcBorders>
            <w:noWrap w:val="0"/>
            <w:vAlign w:val="center"/>
          </w:tcPr>
          <w:p w14:paraId="5AA2F7CD">
            <w:pPr>
              <w:widowControl/>
              <w:jc w:val="center"/>
              <w:rPr>
                <w:rFonts w:hint="default" w:ascii="宋体" w:hAnsi="宋体" w:cs="Arial"/>
                <w:kern w:val="0"/>
                <w:sz w:val="21"/>
                <w:szCs w:val="21"/>
                <w:lang w:val="en-US" w:eastAsia="zh-CN"/>
              </w:rPr>
            </w:pPr>
            <w:r>
              <w:rPr>
                <w:rFonts w:hint="eastAsia" w:ascii="宋体" w:hAnsi="宋体" w:cs="Arial"/>
                <w:kern w:val="0"/>
                <w:sz w:val="21"/>
                <w:szCs w:val="21"/>
                <w:lang w:val="en-US" w:eastAsia="zh-CN"/>
              </w:rPr>
              <w:t>否</w:t>
            </w:r>
          </w:p>
        </w:tc>
      </w:tr>
      <w:tr w14:paraId="388A3EB7">
        <w:tblPrEx>
          <w:tblCellMar>
            <w:top w:w="0" w:type="dxa"/>
            <w:left w:w="108" w:type="dxa"/>
            <w:bottom w:w="0" w:type="dxa"/>
            <w:right w:w="108" w:type="dxa"/>
          </w:tblCellMar>
        </w:tblPrEx>
        <w:trPr>
          <w:trHeight w:val="90" w:hRule="atLeast"/>
        </w:trPr>
        <w:tc>
          <w:tcPr>
            <w:tcW w:w="564" w:type="dxa"/>
            <w:tcBorders>
              <w:top w:val="nil"/>
              <w:left w:val="single" w:color="auto" w:sz="4" w:space="0"/>
              <w:bottom w:val="single" w:color="auto" w:sz="4" w:space="0"/>
              <w:right w:val="single" w:color="auto" w:sz="4" w:space="0"/>
            </w:tcBorders>
            <w:noWrap w:val="0"/>
            <w:vAlign w:val="center"/>
          </w:tcPr>
          <w:p w14:paraId="36B49D64">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3</w:t>
            </w:r>
          </w:p>
        </w:tc>
        <w:tc>
          <w:tcPr>
            <w:tcW w:w="886" w:type="dxa"/>
            <w:tcBorders>
              <w:top w:val="nil"/>
              <w:left w:val="nil"/>
              <w:bottom w:val="single" w:color="auto" w:sz="4" w:space="0"/>
              <w:right w:val="nil"/>
            </w:tcBorders>
            <w:noWrap w:val="0"/>
            <w:vAlign w:val="center"/>
          </w:tcPr>
          <w:p w14:paraId="1E2EAFC7">
            <w:pPr>
              <w:widowControl/>
              <w:jc w:val="center"/>
              <w:rPr>
                <w:rFonts w:ascii="宋体" w:hAnsi="宋体" w:eastAsia="宋体" w:cs="Arial"/>
                <w:kern w:val="0"/>
                <w:sz w:val="21"/>
                <w:szCs w:val="21"/>
                <w:lang w:val="en-US" w:eastAsia="zh-CN" w:bidi="ar-SA"/>
              </w:rPr>
            </w:pPr>
            <w:r>
              <w:rPr>
                <w:rFonts w:hint="eastAsia" w:ascii="宋体" w:hAnsi="宋体" w:cs="Arial"/>
                <w:kern w:val="0"/>
                <w:sz w:val="21"/>
                <w:szCs w:val="21"/>
              </w:rPr>
              <w:t>备份软件</w:t>
            </w:r>
          </w:p>
        </w:tc>
        <w:tc>
          <w:tcPr>
            <w:tcW w:w="7298" w:type="dxa"/>
            <w:tcBorders>
              <w:top w:val="nil"/>
              <w:left w:val="single" w:color="auto" w:sz="4" w:space="0"/>
              <w:bottom w:val="single" w:color="auto" w:sz="4" w:space="0"/>
              <w:right w:val="single" w:color="auto" w:sz="4" w:space="0"/>
            </w:tcBorders>
            <w:noWrap w:val="0"/>
            <w:vAlign w:val="center"/>
          </w:tcPr>
          <w:p w14:paraId="6889FA78">
            <w:pPr>
              <w:widowControl/>
              <w:jc w:val="left"/>
              <w:rPr>
                <w:rFonts w:hint="eastAsia" w:ascii="宋体" w:hAnsi="宋体" w:cs="Arial"/>
                <w:kern w:val="0"/>
                <w:szCs w:val="21"/>
              </w:rPr>
            </w:pPr>
            <w:r>
              <w:rPr>
                <w:rFonts w:hint="eastAsia" w:ascii="宋体" w:hAnsi="宋体" w:cs="Arial"/>
                <w:kern w:val="0"/>
                <w:szCs w:val="21"/>
              </w:rPr>
              <w:t>1、总体要求：提供满足项目需求的全功能授权许可（包含数据库、AD等应用备份功能），不限重复数据删除和备份容量许可。</w:t>
            </w:r>
          </w:p>
          <w:p w14:paraId="76E80FE0">
            <w:pPr>
              <w:widowControl/>
              <w:jc w:val="left"/>
              <w:rPr>
                <w:rFonts w:hint="eastAsia" w:ascii="宋体" w:hAnsi="宋体" w:cs="Arial"/>
                <w:kern w:val="0"/>
                <w:szCs w:val="21"/>
              </w:rPr>
            </w:pPr>
            <w:r>
              <w:rPr>
                <w:rFonts w:hint="eastAsia" w:ascii="宋体" w:hAnsi="宋体" w:cs="Arial"/>
                <w:kern w:val="0"/>
                <w:szCs w:val="21"/>
              </w:rPr>
              <w:t>2、备份方式：支持完整备份/增量备份/合成完整备份等备份方法</w:t>
            </w:r>
          </w:p>
          <w:p w14:paraId="694A2B7C">
            <w:pPr>
              <w:widowControl/>
              <w:jc w:val="left"/>
              <w:rPr>
                <w:rFonts w:hint="eastAsia" w:ascii="宋体" w:hAnsi="宋体" w:cs="Arial"/>
                <w:kern w:val="0"/>
                <w:szCs w:val="21"/>
              </w:rPr>
            </w:pPr>
            <w:r>
              <w:rPr>
                <w:rFonts w:hint="eastAsia" w:ascii="宋体" w:hAnsi="宋体" w:cs="Arial"/>
                <w:kern w:val="0"/>
                <w:szCs w:val="21"/>
              </w:rPr>
              <w:t>3、备份模式：支持Windows、Linux系统的整机、卷、文件夹在线备份。</w:t>
            </w:r>
          </w:p>
          <w:p w14:paraId="22F8521A">
            <w:pPr>
              <w:widowControl/>
              <w:jc w:val="left"/>
              <w:rPr>
                <w:rFonts w:hint="eastAsia" w:ascii="宋体" w:hAnsi="宋体" w:cs="Arial"/>
                <w:kern w:val="0"/>
                <w:szCs w:val="21"/>
              </w:rPr>
            </w:pPr>
            <w:r>
              <w:rPr>
                <w:rFonts w:hint="eastAsia" w:ascii="宋体" w:hAnsi="宋体" w:cs="Arial"/>
                <w:kern w:val="0"/>
                <w:szCs w:val="21"/>
              </w:rPr>
              <w:t>4、应用保护：支持SQL、Oracle、Exchange、AD等应用程序项目的颗粒度恢复。</w:t>
            </w:r>
          </w:p>
          <w:p w14:paraId="21693C52">
            <w:pPr>
              <w:widowControl/>
              <w:jc w:val="left"/>
              <w:rPr>
                <w:rFonts w:hint="eastAsia" w:ascii="宋体" w:hAnsi="宋体" w:cs="Arial"/>
                <w:kern w:val="0"/>
                <w:szCs w:val="21"/>
              </w:rPr>
            </w:pPr>
            <w:r>
              <w:rPr>
                <w:rFonts w:hint="eastAsia" w:ascii="宋体" w:hAnsi="宋体" w:cs="Arial"/>
                <w:kern w:val="0"/>
                <w:szCs w:val="21"/>
              </w:rPr>
              <w:t>5、数据库即时恢复：支持将任何镜像级备份里的SQL Server或Oracle数据库几分钟内即时恢复到任何现有的SQL Server或Oracle数据库环境中，恢复出来的数据库即时可用、可读写</w:t>
            </w:r>
          </w:p>
          <w:p w14:paraId="7305BF6F">
            <w:pPr>
              <w:widowControl/>
              <w:jc w:val="left"/>
              <w:rPr>
                <w:rFonts w:hint="eastAsia" w:ascii="宋体" w:hAnsi="宋体" w:cs="Arial"/>
                <w:kern w:val="0"/>
                <w:szCs w:val="21"/>
              </w:rPr>
            </w:pPr>
            <w:r>
              <w:rPr>
                <w:rFonts w:hint="eastAsia" w:ascii="宋体" w:hAnsi="宋体" w:cs="Arial"/>
                <w:kern w:val="0"/>
                <w:szCs w:val="21"/>
              </w:rPr>
              <w:t>6、数据压缩与重删：软件内置提供备份数据加密、重复数据删除和压缩功能。</w:t>
            </w:r>
          </w:p>
          <w:p w14:paraId="3EC4C6B3">
            <w:pPr>
              <w:widowControl/>
              <w:jc w:val="left"/>
              <w:rPr>
                <w:rFonts w:ascii="宋体" w:hAnsi="宋体" w:cs="Arial"/>
                <w:color w:val="auto"/>
                <w:kern w:val="0"/>
                <w:sz w:val="21"/>
                <w:szCs w:val="21"/>
              </w:rPr>
            </w:pPr>
            <w:r>
              <w:rPr>
                <w:rFonts w:hint="eastAsia" w:ascii="宋体" w:hAnsi="宋体" w:cs="Arial"/>
                <w:kern w:val="0"/>
                <w:szCs w:val="21"/>
              </w:rPr>
              <w:t>7、服务：提供1年技术服务，包含部署实施服务</w:t>
            </w:r>
          </w:p>
        </w:tc>
        <w:tc>
          <w:tcPr>
            <w:tcW w:w="596" w:type="dxa"/>
            <w:tcBorders>
              <w:top w:val="nil"/>
              <w:left w:val="nil"/>
              <w:bottom w:val="single" w:color="auto" w:sz="4" w:space="0"/>
              <w:right w:val="single" w:color="auto" w:sz="4" w:space="0"/>
            </w:tcBorders>
            <w:noWrap w:val="0"/>
            <w:vAlign w:val="center"/>
          </w:tcPr>
          <w:p w14:paraId="2D4AC286">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套</w:t>
            </w:r>
          </w:p>
        </w:tc>
        <w:tc>
          <w:tcPr>
            <w:tcW w:w="587" w:type="dxa"/>
            <w:tcBorders>
              <w:top w:val="nil"/>
              <w:left w:val="nil"/>
              <w:bottom w:val="single" w:color="auto" w:sz="4" w:space="0"/>
              <w:right w:val="single" w:color="auto" w:sz="4" w:space="0"/>
            </w:tcBorders>
            <w:noWrap w:val="0"/>
            <w:vAlign w:val="center"/>
          </w:tcPr>
          <w:p w14:paraId="19A1069A">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1</w:t>
            </w:r>
          </w:p>
        </w:tc>
        <w:tc>
          <w:tcPr>
            <w:tcW w:w="842" w:type="dxa"/>
            <w:tcBorders>
              <w:top w:val="nil"/>
              <w:left w:val="nil"/>
              <w:bottom w:val="single" w:color="auto" w:sz="4" w:space="0"/>
              <w:right w:val="single" w:color="auto" w:sz="4" w:space="0"/>
            </w:tcBorders>
            <w:noWrap w:val="0"/>
            <w:vAlign w:val="center"/>
          </w:tcPr>
          <w:p w14:paraId="1D8D2F40">
            <w:pPr>
              <w:widowControl/>
              <w:jc w:val="center"/>
              <w:rPr>
                <w:rFonts w:hint="default" w:ascii="宋体" w:hAnsi="宋体" w:cs="Arial"/>
                <w:kern w:val="0"/>
                <w:sz w:val="21"/>
                <w:szCs w:val="21"/>
                <w:lang w:val="en-US" w:eastAsia="zh-CN"/>
              </w:rPr>
            </w:pPr>
            <w:r>
              <w:rPr>
                <w:rFonts w:hint="eastAsia" w:ascii="宋体" w:hAnsi="宋体" w:cs="Arial"/>
                <w:kern w:val="0"/>
                <w:sz w:val="21"/>
                <w:szCs w:val="21"/>
                <w:lang w:val="en-US" w:eastAsia="zh-CN"/>
              </w:rPr>
              <w:t>否</w:t>
            </w:r>
          </w:p>
        </w:tc>
      </w:tr>
      <w:tr w14:paraId="249A182B">
        <w:tblPrEx>
          <w:tblCellMar>
            <w:top w:w="0" w:type="dxa"/>
            <w:left w:w="108" w:type="dxa"/>
            <w:bottom w:w="0" w:type="dxa"/>
            <w:right w:w="108" w:type="dxa"/>
          </w:tblCellMar>
        </w:tblPrEx>
        <w:trPr>
          <w:trHeight w:val="384"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7CB2B0C7">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4</w:t>
            </w:r>
          </w:p>
        </w:tc>
        <w:tc>
          <w:tcPr>
            <w:tcW w:w="886" w:type="dxa"/>
            <w:tcBorders>
              <w:top w:val="single" w:color="auto" w:sz="4" w:space="0"/>
              <w:left w:val="nil"/>
              <w:bottom w:val="single" w:color="auto" w:sz="4" w:space="0"/>
              <w:right w:val="nil"/>
            </w:tcBorders>
            <w:noWrap w:val="0"/>
            <w:vAlign w:val="center"/>
          </w:tcPr>
          <w:p w14:paraId="393CF6F3">
            <w:pPr>
              <w:widowControl/>
              <w:jc w:val="center"/>
              <w:rPr>
                <w:rFonts w:ascii="宋体" w:hAnsi="宋体" w:eastAsia="宋体" w:cs="Arial"/>
                <w:kern w:val="0"/>
                <w:sz w:val="21"/>
                <w:szCs w:val="21"/>
                <w:lang w:val="en-US" w:eastAsia="zh-CN" w:bidi="ar-SA"/>
              </w:rPr>
            </w:pPr>
            <w:r>
              <w:rPr>
                <w:rFonts w:hint="eastAsia" w:ascii="宋体" w:hAnsi="宋体" w:cs="Arial"/>
                <w:kern w:val="0"/>
                <w:sz w:val="21"/>
                <w:szCs w:val="21"/>
              </w:rPr>
              <w:t>集中式存储</w:t>
            </w:r>
          </w:p>
        </w:tc>
        <w:tc>
          <w:tcPr>
            <w:tcW w:w="7298" w:type="dxa"/>
            <w:tcBorders>
              <w:top w:val="single" w:color="auto" w:sz="4" w:space="0"/>
              <w:left w:val="single" w:color="auto" w:sz="4" w:space="0"/>
              <w:bottom w:val="single" w:color="auto" w:sz="4" w:space="0"/>
              <w:right w:val="single" w:color="auto" w:sz="4" w:space="0"/>
            </w:tcBorders>
            <w:noWrap w:val="0"/>
            <w:vAlign w:val="center"/>
          </w:tcPr>
          <w:p w14:paraId="59C37AB5">
            <w:pPr>
              <w:widowControl/>
              <w:jc w:val="left"/>
              <w:rPr>
                <w:rFonts w:hint="eastAsia" w:ascii="宋体" w:hAnsi="宋体" w:cs="Arial"/>
                <w:kern w:val="0"/>
                <w:szCs w:val="21"/>
              </w:rPr>
            </w:pPr>
            <w:r>
              <w:rPr>
                <w:rFonts w:hint="eastAsia" w:ascii="宋体" w:hAnsi="宋体" w:cs="Arial"/>
                <w:kern w:val="0"/>
                <w:szCs w:val="21"/>
              </w:rPr>
              <w:t>1、品牌：为保证业务兼容性，须与</w:t>
            </w:r>
            <w:r>
              <w:rPr>
                <w:rFonts w:hint="eastAsia" w:ascii="宋体" w:hAnsi="宋体" w:cs="Arial"/>
                <w:kern w:val="0"/>
                <w:szCs w:val="21"/>
                <w:lang w:val="en-US" w:eastAsia="zh-CN"/>
              </w:rPr>
              <w:t>所投</w:t>
            </w:r>
            <w:r>
              <w:rPr>
                <w:rFonts w:hint="eastAsia" w:ascii="宋体" w:hAnsi="宋体" w:cs="Arial"/>
                <w:kern w:val="0"/>
                <w:szCs w:val="21"/>
              </w:rPr>
              <w:t>应用服务器、数据库服务器为同一品牌；</w:t>
            </w:r>
          </w:p>
          <w:p w14:paraId="5357A3F8">
            <w:pPr>
              <w:widowControl/>
              <w:jc w:val="left"/>
              <w:rPr>
                <w:rFonts w:hint="eastAsia" w:ascii="宋体" w:hAnsi="宋体" w:cs="Arial"/>
                <w:kern w:val="0"/>
                <w:szCs w:val="21"/>
              </w:rPr>
            </w:pPr>
            <w:r>
              <w:rPr>
                <w:rFonts w:hint="eastAsia" w:ascii="宋体" w:hAnsi="宋体" w:cs="Arial"/>
                <w:kern w:val="0"/>
                <w:szCs w:val="21"/>
              </w:rPr>
              <w:t>2、控制器：2U高度，双控制器冗余架构，控制器为双活工作模式；</w:t>
            </w:r>
          </w:p>
          <w:p w14:paraId="43EA9472">
            <w:pPr>
              <w:widowControl/>
              <w:jc w:val="left"/>
              <w:rPr>
                <w:rFonts w:hint="eastAsia" w:ascii="宋体" w:hAnsi="宋体" w:cs="Arial"/>
                <w:kern w:val="0"/>
                <w:szCs w:val="21"/>
              </w:rPr>
            </w:pPr>
            <w:r>
              <w:rPr>
                <w:rFonts w:hint="eastAsia" w:ascii="宋体" w:hAnsi="宋体" w:cs="Arial"/>
                <w:kern w:val="0"/>
                <w:szCs w:val="21"/>
              </w:rPr>
              <w:t>3、缓存：双控配置≥128GB系统缓存（不含任何性能加速模块或NAS缓存、FlashCache、PAM卡，SSDCache等）；</w:t>
            </w:r>
          </w:p>
          <w:p w14:paraId="3F586B73">
            <w:pPr>
              <w:widowControl/>
              <w:jc w:val="left"/>
              <w:rPr>
                <w:rFonts w:hint="eastAsia" w:ascii="宋体" w:hAnsi="宋体" w:cs="Arial"/>
                <w:kern w:val="0"/>
                <w:szCs w:val="21"/>
              </w:rPr>
            </w:pPr>
            <w:r>
              <w:rPr>
                <w:rFonts w:hint="eastAsia" w:ascii="宋体" w:hAnsi="宋体" w:cs="Arial"/>
                <w:kern w:val="0"/>
                <w:szCs w:val="21"/>
              </w:rPr>
              <w:t>4、硬盘：整机最大支持≥480块硬盘，支持不同容量、不同类型的磁盘混合安装，本次配置≥6块1.92TB 热插拔固态硬盘，配置≥6块10TB 7.2K 热插拔硬盘；</w:t>
            </w:r>
          </w:p>
          <w:p w14:paraId="33A01F81">
            <w:pPr>
              <w:widowControl/>
              <w:jc w:val="left"/>
              <w:rPr>
                <w:rFonts w:hint="eastAsia" w:ascii="宋体" w:hAnsi="宋体" w:cs="Arial"/>
                <w:kern w:val="0"/>
                <w:szCs w:val="21"/>
              </w:rPr>
            </w:pPr>
            <w:r>
              <w:rPr>
                <w:rFonts w:hint="eastAsia" w:ascii="宋体" w:hAnsi="宋体" w:cs="Arial"/>
                <w:kern w:val="0"/>
                <w:szCs w:val="21"/>
              </w:rPr>
              <w:t>5、数据保护：支持多种工业标准RAID存储方式混用，包括单盘失效、双盘失效保护技术，包括RAID0/1/10/5/6/及动态磁盘池技术；支持RAID组动态扩展，在线升级等；</w:t>
            </w:r>
          </w:p>
          <w:p w14:paraId="4BBD80EC">
            <w:pPr>
              <w:widowControl/>
              <w:jc w:val="left"/>
              <w:rPr>
                <w:rFonts w:hint="eastAsia" w:ascii="宋体" w:hAnsi="宋体" w:cs="Arial"/>
                <w:kern w:val="0"/>
                <w:szCs w:val="21"/>
              </w:rPr>
            </w:pPr>
            <w:r>
              <w:rPr>
                <w:rFonts w:hint="eastAsia" w:ascii="宋体" w:hAnsi="宋体" w:cs="Arial"/>
                <w:kern w:val="0"/>
                <w:szCs w:val="21"/>
              </w:rPr>
              <w:t>6、存储设备支持全局动态热备技术，在配置动态磁盘池时，磁盘热备功能通过磁盘剩余空间实现，支持2块盘同时故障时数据依然安全可用，无需占用单独热备盘；</w:t>
            </w:r>
          </w:p>
          <w:p w14:paraId="78974940">
            <w:pPr>
              <w:widowControl/>
              <w:jc w:val="left"/>
              <w:rPr>
                <w:rFonts w:hint="eastAsia" w:ascii="宋体" w:hAnsi="宋体" w:cs="Arial"/>
                <w:kern w:val="0"/>
                <w:szCs w:val="21"/>
              </w:rPr>
            </w:pPr>
            <w:r>
              <w:rPr>
                <w:rFonts w:hint="eastAsia" w:ascii="宋体" w:hAnsi="宋体" w:cs="Arial"/>
                <w:kern w:val="0"/>
                <w:szCs w:val="21"/>
              </w:rPr>
              <w:t>7、前端主机接口</w:t>
            </w:r>
            <w:r>
              <w:rPr>
                <w:rFonts w:hint="eastAsia" w:ascii="宋体" w:hAnsi="宋体" w:cs="Arial"/>
                <w:kern w:val="0"/>
                <w:szCs w:val="21"/>
              </w:rPr>
              <w:tab/>
            </w:r>
            <w:r>
              <w:rPr>
                <w:rFonts w:hint="eastAsia" w:ascii="宋体" w:hAnsi="宋体" w:cs="Arial"/>
                <w:kern w:val="0"/>
                <w:szCs w:val="21"/>
              </w:rPr>
              <w:t>：最大支持8个10/25Gbps以太网口或8个 32Gbps FC接口或8个12Gb SAS端口，本次配置≥8个16Gbps FC接口（含8个16G光模块）；</w:t>
            </w:r>
          </w:p>
          <w:p w14:paraId="66645ACA">
            <w:pPr>
              <w:widowControl/>
              <w:jc w:val="left"/>
              <w:rPr>
                <w:rFonts w:hint="eastAsia" w:ascii="宋体" w:hAnsi="宋体" w:cs="Arial"/>
                <w:kern w:val="0"/>
                <w:szCs w:val="21"/>
              </w:rPr>
            </w:pPr>
            <w:r>
              <w:rPr>
                <w:rFonts w:hint="eastAsia" w:ascii="宋体" w:hAnsi="宋体" w:cs="Arial"/>
                <w:kern w:val="0"/>
                <w:szCs w:val="21"/>
              </w:rPr>
              <w:t>8、精简配置：支持精简配置功能，可为主机分配超额容量，提高存储利用率；</w:t>
            </w:r>
          </w:p>
          <w:p w14:paraId="4D790A3C">
            <w:pPr>
              <w:widowControl/>
              <w:jc w:val="left"/>
              <w:rPr>
                <w:rFonts w:hint="eastAsia" w:ascii="宋体" w:hAnsi="宋体" w:cs="Arial"/>
                <w:kern w:val="0"/>
                <w:szCs w:val="21"/>
              </w:rPr>
            </w:pPr>
            <w:r>
              <w:rPr>
                <w:rFonts w:hint="eastAsia" w:ascii="宋体" w:hAnsi="宋体" w:cs="Arial"/>
                <w:kern w:val="0"/>
                <w:szCs w:val="21"/>
              </w:rPr>
              <w:t>9、可靠性：配置冗余电源、冗余风扇、冗余控制器，支持在线可热插拔更换，保证系统内无任何单点错误的隐患；</w:t>
            </w:r>
          </w:p>
          <w:p w14:paraId="0C7D4CC9">
            <w:pPr>
              <w:widowControl/>
              <w:jc w:val="left"/>
              <w:rPr>
                <w:rFonts w:hint="eastAsia" w:ascii="宋体" w:hAnsi="宋体" w:cs="Arial"/>
                <w:kern w:val="0"/>
                <w:szCs w:val="21"/>
              </w:rPr>
            </w:pPr>
            <w:r>
              <w:rPr>
                <w:rFonts w:hint="eastAsia" w:ascii="宋体" w:hAnsi="宋体" w:cs="Arial"/>
                <w:kern w:val="0"/>
                <w:szCs w:val="21"/>
              </w:rPr>
              <w:t>10、兼容性：支持业界主流操作系统、数据库、备份管理软件、虚拟化软件等</w:t>
            </w:r>
          </w:p>
          <w:p w14:paraId="25C32B94">
            <w:pPr>
              <w:widowControl/>
              <w:jc w:val="left"/>
              <w:rPr>
                <w:rFonts w:hint="eastAsia" w:ascii="宋体" w:hAnsi="宋体" w:cs="Arial"/>
                <w:kern w:val="0"/>
                <w:szCs w:val="21"/>
              </w:rPr>
            </w:pPr>
            <w:r>
              <w:rPr>
                <w:rFonts w:hint="eastAsia" w:ascii="宋体" w:hAnsi="宋体" w:cs="Arial"/>
                <w:kern w:val="0"/>
                <w:szCs w:val="21"/>
              </w:rPr>
              <w:t>11、管理：为方便后期运维，要求提供同品牌中文图形化管理软件，对磁盘阵列的各项指标进行管理、调整和监测，同一个管理软件实现对现有生产环境服务器、存储、网络设备统一管理；</w:t>
            </w:r>
          </w:p>
          <w:p w14:paraId="06A22540">
            <w:pPr>
              <w:widowControl/>
              <w:jc w:val="left"/>
              <w:rPr>
                <w:rFonts w:hint="eastAsia" w:ascii="宋体" w:hAnsi="宋体" w:eastAsia="宋体" w:cs="Arial"/>
                <w:color w:val="auto"/>
                <w:kern w:val="0"/>
                <w:sz w:val="21"/>
                <w:szCs w:val="21"/>
                <w:lang w:eastAsia="zh-CN"/>
              </w:rPr>
            </w:pPr>
            <w:r>
              <w:rPr>
                <w:rFonts w:hint="eastAsia" w:ascii="宋体" w:hAnsi="宋体" w:cs="Arial"/>
                <w:kern w:val="0"/>
                <w:szCs w:val="21"/>
              </w:rPr>
              <w:t>12、售后服务：</w:t>
            </w:r>
            <w:r>
              <w:rPr>
                <w:rFonts w:hint="eastAsia" w:ascii="宋体" w:hAnsi="宋体" w:cs="宋体"/>
                <w:color w:val="000000"/>
                <w:kern w:val="0"/>
                <w:sz w:val="22"/>
                <w:szCs w:val="22"/>
                <w:lang w:bidi="ar"/>
              </w:rPr>
              <w:t>原厂3年整机保修及</w:t>
            </w:r>
            <w:r>
              <w:rPr>
                <w:rFonts w:hint="eastAsia" w:ascii="宋体" w:hAnsi="宋体" w:cs="Arial"/>
                <w:kern w:val="0"/>
                <w:szCs w:val="21"/>
              </w:rPr>
              <w:t>原厂上架安装服务</w:t>
            </w:r>
            <w:r>
              <w:rPr>
                <w:rFonts w:hint="eastAsia" w:ascii="宋体" w:hAnsi="宋体" w:cs="宋体"/>
                <w:color w:val="000000"/>
                <w:kern w:val="0"/>
                <w:sz w:val="22"/>
                <w:szCs w:val="22"/>
                <w:lang w:bidi="ar"/>
              </w:rPr>
              <w:t>，可通过官方网站及原厂400电话查询原厂保修状态，原厂售后服务须通过CTEAS七星级（卓越）认证 ，NECAS五星级认证，提供相关证书复印件证明</w:t>
            </w:r>
            <w:r>
              <w:rPr>
                <w:rFonts w:hint="eastAsia" w:ascii="宋体" w:hAnsi="宋体" w:cs="Arial"/>
                <w:kern w:val="0"/>
                <w:szCs w:val="21"/>
              </w:rPr>
              <w:t>；</w:t>
            </w:r>
          </w:p>
        </w:tc>
        <w:tc>
          <w:tcPr>
            <w:tcW w:w="596" w:type="dxa"/>
            <w:tcBorders>
              <w:top w:val="single" w:color="auto" w:sz="4" w:space="0"/>
              <w:left w:val="nil"/>
              <w:bottom w:val="single" w:color="auto" w:sz="4" w:space="0"/>
              <w:right w:val="single" w:color="auto" w:sz="4" w:space="0"/>
            </w:tcBorders>
            <w:noWrap w:val="0"/>
            <w:vAlign w:val="center"/>
          </w:tcPr>
          <w:p w14:paraId="5977686D">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台</w:t>
            </w:r>
          </w:p>
        </w:tc>
        <w:tc>
          <w:tcPr>
            <w:tcW w:w="587" w:type="dxa"/>
            <w:tcBorders>
              <w:top w:val="single" w:color="auto" w:sz="4" w:space="0"/>
              <w:left w:val="nil"/>
              <w:bottom w:val="single" w:color="auto" w:sz="4" w:space="0"/>
              <w:right w:val="single" w:color="auto" w:sz="4" w:space="0"/>
            </w:tcBorders>
            <w:noWrap w:val="0"/>
            <w:vAlign w:val="center"/>
          </w:tcPr>
          <w:p w14:paraId="63B832E2">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1</w:t>
            </w:r>
          </w:p>
        </w:tc>
        <w:tc>
          <w:tcPr>
            <w:tcW w:w="842" w:type="dxa"/>
            <w:tcBorders>
              <w:top w:val="single" w:color="auto" w:sz="4" w:space="0"/>
              <w:left w:val="nil"/>
              <w:bottom w:val="single" w:color="auto" w:sz="4" w:space="0"/>
              <w:right w:val="single" w:color="auto" w:sz="4" w:space="0"/>
            </w:tcBorders>
            <w:noWrap w:val="0"/>
            <w:vAlign w:val="center"/>
          </w:tcPr>
          <w:p w14:paraId="22CC3AFC">
            <w:pPr>
              <w:widowControl/>
              <w:jc w:val="center"/>
              <w:rPr>
                <w:rFonts w:hint="default" w:ascii="宋体" w:hAnsi="宋体" w:cs="Arial"/>
                <w:kern w:val="0"/>
                <w:sz w:val="21"/>
                <w:szCs w:val="21"/>
                <w:lang w:val="en-US" w:eastAsia="zh-CN"/>
              </w:rPr>
            </w:pPr>
            <w:r>
              <w:rPr>
                <w:rFonts w:hint="eastAsia" w:ascii="宋体" w:hAnsi="宋体" w:cs="Arial"/>
                <w:kern w:val="0"/>
                <w:sz w:val="21"/>
                <w:szCs w:val="21"/>
                <w:lang w:val="en-US" w:eastAsia="zh-CN"/>
              </w:rPr>
              <w:t>否</w:t>
            </w:r>
          </w:p>
        </w:tc>
      </w:tr>
      <w:tr w14:paraId="15924A35">
        <w:tblPrEx>
          <w:tblCellMar>
            <w:top w:w="0" w:type="dxa"/>
            <w:left w:w="108" w:type="dxa"/>
            <w:bottom w:w="0" w:type="dxa"/>
            <w:right w:w="108" w:type="dxa"/>
          </w:tblCellMar>
        </w:tblPrEx>
        <w:trPr>
          <w:trHeight w:val="1080" w:hRule="atLeast"/>
        </w:trPr>
        <w:tc>
          <w:tcPr>
            <w:tcW w:w="564" w:type="dxa"/>
            <w:tcBorders>
              <w:top w:val="nil"/>
              <w:left w:val="single" w:color="auto" w:sz="4" w:space="0"/>
              <w:bottom w:val="single" w:color="auto" w:sz="4" w:space="0"/>
              <w:right w:val="single" w:color="auto" w:sz="4" w:space="0"/>
            </w:tcBorders>
            <w:noWrap w:val="0"/>
            <w:vAlign w:val="center"/>
          </w:tcPr>
          <w:p w14:paraId="2B7945A1">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5</w:t>
            </w:r>
          </w:p>
        </w:tc>
        <w:tc>
          <w:tcPr>
            <w:tcW w:w="886" w:type="dxa"/>
            <w:tcBorders>
              <w:top w:val="nil"/>
              <w:left w:val="nil"/>
              <w:bottom w:val="single" w:color="auto" w:sz="4" w:space="0"/>
              <w:right w:val="nil"/>
            </w:tcBorders>
            <w:noWrap w:val="0"/>
            <w:vAlign w:val="center"/>
          </w:tcPr>
          <w:p w14:paraId="280619DC">
            <w:pPr>
              <w:widowControl/>
              <w:jc w:val="center"/>
              <w:rPr>
                <w:rFonts w:ascii="宋体" w:hAnsi="宋体" w:eastAsia="宋体" w:cs="Arial"/>
                <w:kern w:val="0"/>
                <w:sz w:val="21"/>
                <w:szCs w:val="21"/>
                <w:lang w:val="en-US" w:eastAsia="zh-CN" w:bidi="ar-SA"/>
              </w:rPr>
            </w:pPr>
            <w:r>
              <w:rPr>
                <w:rFonts w:hint="eastAsia" w:ascii="宋体" w:hAnsi="宋体" w:cs="Arial"/>
                <w:kern w:val="0"/>
                <w:sz w:val="21"/>
                <w:szCs w:val="21"/>
              </w:rPr>
              <w:t>以太网交换机</w:t>
            </w:r>
          </w:p>
        </w:tc>
        <w:tc>
          <w:tcPr>
            <w:tcW w:w="7298" w:type="dxa"/>
            <w:tcBorders>
              <w:top w:val="nil"/>
              <w:left w:val="single" w:color="auto" w:sz="4" w:space="0"/>
              <w:bottom w:val="single" w:color="auto" w:sz="4" w:space="0"/>
              <w:right w:val="single" w:color="auto" w:sz="4" w:space="0"/>
            </w:tcBorders>
            <w:noWrap w:val="0"/>
            <w:vAlign w:val="center"/>
          </w:tcPr>
          <w:p w14:paraId="0267463B">
            <w:pPr>
              <w:widowControl/>
              <w:jc w:val="left"/>
              <w:rPr>
                <w:rFonts w:hint="eastAsia" w:ascii="宋体" w:hAnsi="宋体" w:cs="Arial"/>
                <w:kern w:val="0"/>
                <w:sz w:val="21"/>
                <w:szCs w:val="21"/>
                <w:lang w:val="en-US" w:eastAsia="zh-CN"/>
              </w:rPr>
            </w:pPr>
            <w:r>
              <w:rPr>
                <w:rFonts w:hint="eastAsia" w:ascii="宋体" w:hAnsi="宋体" w:cs="Arial"/>
                <w:kern w:val="0"/>
                <w:sz w:val="21"/>
                <w:szCs w:val="21"/>
                <w:lang w:val="en-US" w:eastAsia="zh-CN"/>
              </w:rPr>
              <w:t>1、交换容量≥2.56Tbps，包转发率≥720Mpps，配置≥2个电源,≥2个风扇,≥2个接口扩展槽位；</w:t>
            </w:r>
          </w:p>
          <w:p w14:paraId="5A9B0A02">
            <w:pPr>
              <w:widowControl/>
              <w:jc w:val="left"/>
              <w:rPr>
                <w:rFonts w:hint="eastAsia" w:ascii="宋体" w:hAnsi="宋体" w:cs="Arial"/>
                <w:kern w:val="0"/>
                <w:sz w:val="21"/>
                <w:szCs w:val="21"/>
                <w:lang w:val="en-US" w:eastAsia="zh-CN"/>
              </w:rPr>
            </w:pPr>
            <w:r>
              <w:rPr>
                <w:rFonts w:hint="eastAsia" w:ascii="宋体" w:hAnsi="宋体" w:cs="Arial"/>
                <w:kern w:val="0"/>
                <w:sz w:val="21"/>
                <w:szCs w:val="21"/>
                <w:lang w:val="en-US" w:eastAsia="zh-CN"/>
              </w:rPr>
              <w:t>2、提供≥24个1/10G SFP Plus端口，≥2个QSFP+端口，配置≥1根40G QSFP+ 1m电缆，≥16个万兆多模模块；</w:t>
            </w:r>
          </w:p>
          <w:p w14:paraId="0B75198E">
            <w:pPr>
              <w:widowControl/>
              <w:jc w:val="left"/>
              <w:rPr>
                <w:rFonts w:hint="eastAsia" w:ascii="宋体" w:hAnsi="宋体" w:cs="Arial"/>
                <w:kern w:val="0"/>
                <w:sz w:val="21"/>
                <w:szCs w:val="21"/>
                <w:lang w:val="en-US" w:eastAsia="zh-CN"/>
              </w:rPr>
            </w:pPr>
            <w:r>
              <w:rPr>
                <w:rFonts w:hint="eastAsia" w:ascii="宋体" w:hAnsi="宋体" w:cs="Arial"/>
                <w:kern w:val="0"/>
                <w:sz w:val="21"/>
                <w:szCs w:val="21"/>
                <w:lang w:val="en-US" w:eastAsia="zh-CN"/>
              </w:rPr>
              <w:t>3、支持跨设备链路聚合技术；</w:t>
            </w:r>
          </w:p>
          <w:p w14:paraId="1ACB5FB1">
            <w:pPr>
              <w:widowControl/>
              <w:jc w:val="left"/>
              <w:rPr>
                <w:rFonts w:ascii="宋体" w:hAnsi="宋体" w:cs="Arial"/>
                <w:kern w:val="0"/>
                <w:sz w:val="21"/>
                <w:szCs w:val="21"/>
              </w:rPr>
            </w:pPr>
            <w:r>
              <w:rPr>
                <w:rFonts w:hint="eastAsia" w:ascii="宋体" w:hAnsi="宋体" w:cs="Arial"/>
                <w:kern w:val="0"/>
                <w:sz w:val="21"/>
                <w:szCs w:val="21"/>
                <w:lang w:val="en-US" w:eastAsia="zh-CN"/>
              </w:rPr>
              <w:t>4、支持硬件层级双boot，采用两个FLASH芯片存储boot软件，实现硬件级boot冗余备份；</w:t>
            </w:r>
          </w:p>
        </w:tc>
        <w:tc>
          <w:tcPr>
            <w:tcW w:w="596" w:type="dxa"/>
            <w:tcBorders>
              <w:top w:val="nil"/>
              <w:left w:val="nil"/>
              <w:bottom w:val="single" w:color="auto" w:sz="4" w:space="0"/>
              <w:right w:val="single" w:color="auto" w:sz="4" w:space="0"/>
            </w:tcBorders>
            <w:noWrap w:val="0"/>
            <w:vAlign w:val="center"/>
          </w:tcPr>
          <w:p w14:paraId="431C42EB">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台</w:t>
            </w:r>
          </w:p>
        </w:tc>
        <w:tc>
          <w:tcPr>
            <w:tcW w:w="587" w:type="dxa"/>
            <w:tcBorders>
              <w:top w:val="nil"/>
              <w:left w:val="nil"/>
              <w:bottom w:val="single" w:color="auto" w:sz="4" w:space="0"/>
              <w:right w:val="single" w:color="auto" w:sz="4" w:space="0"/>
            </w:tcBorders>
            <w:noWrap w:val="0"/>
            <w:vAlign w:val="center"/>
          </w:tcPr>
          <w:p w14:paraId="2B5F4890">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2</w:t>
            </w:r>
          </w:p>
        </w:tc>
        <w:tc>
          <w:tcPr>
            <w:tcW w:w="842" w:type="dxa"/>
            <w:tcBorders>
              <w:top w:val="nil"/>
              <w:left w:val="nil"/>
              <w:bottom w:val="single" w:color="auto" w:sz="4" w:space="0"/>
              <w:right w:val="single" w:color="auto" w:sz="4" w:space="0"/>
            </w:tcBorders>
            <w:noWrap w:val="0"/>
            <w:vAlign w:val="center"/>
          </w:tcPr>
          <w:p w14:paraId="78C00D63">
            <w:pPr>
              <w:widowControl/>
              <w:jc w:val="center"/>
              <w:rPr>
                <w:rFonts w:hint="default" w:ascii="宋体" w:hAnsi="宋体" w:cs="Arial"/>
                <w:kern w:val="0"/>
                <w:sz w:val="21"/>
                <w:szCs w:val="21"/>
                <w:lang w:val="en-US" w:eastAsia="zh-CN"/>
              </w:rPr>
            </w:pPr>
            <w:r>
              <w:rPr>
                <w:rFonts w:hint="eastAsia" w:ascii="宋体" w:hAnsi="宋体" w:cs="Arial"/>
                <w:kern w:val="0"/>
                <w:sz w:val="21"/>
                <w:szCs w:val="21"/>
                <w:lang w:val="en-US" w:eastAsia="zh-CN"/>
              </w:rPr>
              <w:t>否</w:t>
            </w:r>
          </w:p>
        </w:tc>
      </w:tr>
      <w:tr w14:paraId="4790FD87">
        <w:tblPrEx>
          <w:tblCellMar>
            <w:top w:w="0" w:type="dxa"/>
            <w:left w:w="108" w:type="dxa"/>
            <w:bottom w:w="0" w:type="dxa"/>
            <w:right w:w="108" w:type="dxa"/>
          </w:tblCellMar>
        </w:tblPrEx>
        <w:trPr>
          <w:trHeight w:val="600" w:hRule="atLeast"/>
        </w:trPr>
        <w:tc>
          <w:tcPr>
            <w:tcW w:w="564" w:type="dxa"/>
            <w:tcBorders>
              <w:top w:val="nil"/>
              <w:left w:val="single" w:color="auto" w:sz="4" w:space="0"/>
              <w:bottom w:val="single" w:color="auto" w:sz="4" w:space="0"/>
              <w:right w:val="single" w:color="auto" w:sz="4" w:space="0"/>
            </w:tcBorders>
            <w:noWrap w:val="0"/>
            <w:vAlign w:val="center"/>
          </w:tcPr>
          <w:p w14:paraId="19123BF6">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6</w:t>
            </w:r>
          </w:p>
        </w:tc>
        <w:tc>
          <w:tcPr>
            <w:tcW w:w="886" w:type="dxa"/>
            <w:tcBorders>
              <w:top w:val="nil"/>
              <w:left w:val="nil"/>
              <w:bottom w:val="single" w:color="auto" w:sz="4" w:space="0"/>
              <w:right w:val="nil"/>
            </w:tcBorders>
            <w:noWrap w:val="0"/>
            <w:vAlign w:val="center"/>
          </w:tcPr>
          <w:p w14:paraId="3D560114">
            <w:pPr>
              <w:widowControl/>
              <w:jc w:val="center"/>
              <w:rPr>
                <w:rFonts w:ascii="宋体" w:hAnsi="宋体" w:eastAsia="宋体" w:cs="Arial"/>
                <w:kern w:val="0"/>
                <w:sz w:val="21"/>
                <w:szCs w:val="21"/>
                <w:lang w:val="en-US" w:eastAsia="zh-CN" w:bidi="ar-SA"/>
              </w:rPr>
            </w:pPr>
            <w:r>
              <w:rPr>
                <w:rFonts w:hint="eastAsia" w:ascii="宋体" w:hAnsi="宋体" w:cs="Arial"/>
                <w:kern w:val="0"/>
                <w:sz w:val="21"/>
                <w:szCs w:val="21"/>
              </w:rPr>
              <w:t>防火墙</w:t>
            </w:r>
          </w:p>
        </w:tc>
        <w:tc>
          <w:tcPr>
            <w:tcW w:w="7298" w:type="dxa"/>
            <w:tcBorders>
              <w:top w:val="nil"/>
              <w:left w:val="single" w:color="auto" w:sz="4" w:space="0"/>
              <w:bottom w:val="single" w:color="auto" w:sz="4" w:space="0"/>
              <w:right w:val="single" w:color="auto" w:sz="4" w:space="0"/>
            </w:tcBorders>
            <w:noWrap w:val="0"/>
            <w:vAlign w:val="center"/>
          </w:tcPr>
          <w:p w14:paraId="61CB3E13">
            <w:pPr>
              <w:widowControl/>
              <w:jc w:val="left"/>
              <w:rPr>
                <w:rFonts w:hint="eastAsia" w:ascii="宋体" w:hAnsi="宋体" w:cs="Arial"/>
                <w:kern w:val="0"/>
                <w:sz w:val="21"/>
                <w:szCs w:val="21"/>
              </w:rPr>
            </w:pPr>
            <w:r>
              <w:rPr>
                <w:rFonts w:hint="eastAsia" w:ascii="宋体" w:hAnsi="宋体" w:cs="Arial"/>
                <w:kern w:val="0"/>
                <w:sz w:val="21"/>
                <w:szCs w:val="21"/>
              </w:rPr>
              <w:t>1.硬件及性能要求：网络层吞吐量10G，并发连接≥280万，每秒新建连接数15万；标准机架式机箱，双电源；板载8个千兆电口，2个千兆光口，2个万兆光口，1个扩展插槽，1个Console口，2个USB接口；默认含16个IPsecVPN标配并发隧道数，最大并发隧道数500个；默认含16个SSLVPN标配并发用户数，最大并发用户数300个；含三年硬件维保服务。包含3年高级功能（IPSEC VPN300个、SSL VPN 300个）、特征库升级（应用识别特征库、病毒防护特征库、入侵防御特征库、URL分类特征库升级服务）、威胁情报订阅服务;</w:t>
            </w:r>
          </w:p>
          <w:p w14:paraId="713DE6A9">
            <w:pPr>
              <w:widowControl/>
              <w:jc w:val="left"/>
              <w:rPr>
                <w:rFonts w:hint="eastAsia" w:ascii="宋体" w:hAnsi="宋体" w:cs="Arial"/>
                <w:kern w:val="0"/>
                <w:sz w:val="21"/>
                <w:szCs w:val="21"/>
              </w:rPr>
            </w:pPr>
            <w:r>
              <w:rPr>
                <w:rFonts w:hint="eastAsia" w:ascii="宋体" w:hAnsi="宋体" w:cs="Arial"/>
                <w:kern w:val="0"/>
                <w:sz w:val="21"/>
                <w:szCs w:val="21"/>
              </w:rPr>
              <w:t>2.支持针对MPLS流量的安全审查，包括漏洞防护、反病毒、间谍软件防护、内容过滤、URL过滤、基于终端状态访问控制等安全防护功能；</w:t>
            </w:r>
          </w:p>
          <w:p w14:paraId="29370CCC">
            <w:pPr>
              <w:widowControl/>
              <w:jc w:val="left"/>
              <w:rPr>
                <w:rFonts w:hint="eastAsia" w:ascii="宋体" w:hAnsi="宋体" w:cs="Arial"/>
                <w:kern w:val="0"/>
                <w:sz w:val="21"/>
                <w:szCs w:val="21"/>
              </w:rPr>
            </w:pPr>
            <w:r>
              <w:rPr>
                <w:rFonts w:hint="eastAsia" w:ascii="宋体" w:hAnsi="宋体" w:cs="Arial"/>
                <w:kern w:val="0"/>
                <w:sz w:val="21"/>
                <w:szCs w:val="21"/>
              </w:rPr>
              <w:t>3.支持源地址目的地址哈希、源地址哈希、轮询、时延负载、备份、随机、流量均衡、源地址轮询、目的地址哈希、最优链路带宽负载、最优链路带宽备份、跳数负载等不少于12种路由负载均衡方式，支持基于IPv4或IPv6的TCP、HTTP、DNS、ICMP等方式的链路探测，同时TCP与HTTP可使用自定义目标端口进行测试；</w:t>
            </w:r>
          </w:p>
          <w:p w14:paraId="1D68CDAD">
            <w:pPr>
              <w:widowControl/>
              <w:jc w:val="left"/>
              <w:rPr>
                <w:rFonts w:hint="eastAsia" w:ascii="宋体" w:hAnsi="宋体" w:cs="Arial"/>
                <w:kern w:val="0"/>
                <w:sz w:val="21"/>
                <w:szCs w:val="21"/>
              </w:rPr>
            </w:pPr>
            <w:r>
              <w:rPr>
                <w:rFonts w:hint="eastAsia" w:ascii="宋体" w:hAnsi="宋体" w:cs="Arial"/>
                <w:kern w:val="0"/>
                <w:sz w:val="21"/>
                <w:szCs w:val="21"/>
              </w:rPr>
              <w:t xml:space="preserve">4.特征库支持“永恒之蓝”、“Apache文件漏洞”、“Microsoft Exchange Server远程代码执行漏洞”、“Apache ShardingSphere远程代码执行漏洞”、“Windows SMBv3 Client/Server 远程代码执行漏洞”、“WebLogic远程代码执行漏洞”以及对应的攻击名称、CVEID、CNNVDID、严重性、影响的平台、类型、描述等详细信息； </w:t>
            </w:r>
          </w:p>
          <w:p w14:paraId="6378CD8E">
            <w:pPr>
              <w:widowControl/>
              <w:jc w:val="left"/>
              <w:rPr>
                <w:rFonts w:hint="eastAsia" w:ascii="宋体" w:hAnsi="宋体" w:cs="Arial"/>
                <w:kern w:val="0"/>
                <w:sz w:val="21"/>
                <w:szCs w:val="21"/>
              </w:rPr>
            </w:pPr>
            <w:r>
              <w:rPr>
                <w:rFonts w:hint="eastAsia" w:ascii="宋体" w:hAnsi="宋体" w:cs="Arial"/>
                <w:kern w:val="0"/>
                <w:sz w:val="21"/>
                <w:szCs w:val="21"/>
              </w:rPr>
              <w:t>5.支持基于主机或威胁情报视图，统计网络中确认被入侵、攻破的主机数量，至少可查看被入侵、攻破的时间、威胁类别、情报来源、威胁简介、被入侵、攻破的主机IP、用户名、资产等信息；并对威胁情报发现的恶意主机执行自动阻断；</w:t>
            </w:r>
          </w:p>
          <w:p w14:paraId="2C50EA60">
            <w:pPr>
              <w:widowControl/>
              <w:jc w:val="left"/>
              <w:rPr>
                <w:rFonts w:hint="eastAsia" w:ascii="宋体" w:hAnsi="宋体" w:cs="Arial"/>
                <w:kern w:val="0"/>
                <w:sz w:val="21"/>
                <w:szCs w:val="21"/>
              </w:rPr>
            </w:pPr>
            <w:r>
              <w:rPr>
                <w:rFonts w:hint="eastAsia" w:ascii="宋体" w:hAnsi="宋体" w:cs="Arial"/>
                <w:kern w:val="0"/>
                <w:sz w:val="21"/>
                <w:szCs w:val="21"/>
              </w:rPr>
              <w:t>6.SSL解密功能：解密后的数据会进入到高级功能中进行扫描，用以实现加密流量的安全防护；</w:t>
            </w:r>
          </w:p>
          <w:p w14:paraId="4082ADAF">
            <w:pPr>
              <w:widowControl/>
              <w:jc w:val="left"/>
              <w:rPr>
                <w:rFonts w:hint="eastAsia" w:ascii="宋体" w:hAnsi="宋体" w:cs="Arial"/>
                <w:kern w:val="0"/>
                <w:sz w:val="21"/>
                <w:szCs w:val="21"/>
              </w:rPr>
            </w:pPr>
            <w:r>
              <w:rPr>
                <w:rFonts w:hint="eastAsia" w:ascii="宋体" w:hAnsi="宋体" w:cs="Arial"/>
                <w:kern w:val="0"/>
                <w:sz w:val="21"/>
                <w:szCs w:val="21"/>
              </w:rPr>
              <w:t>7.网络攻击防护功能：包含木马后门、勒索软件通信防护、异常流量检测、间谍软件功能防护、高危行为动态黑IP、Flood攻击防护等功能；</w:t>
            </w:r>
          </w:p>
          <w:p w14:paraId="6A7077BF">
            <w:pPr>
              <w:widowControl/>
              <w:jc w:val="left"/>
              <w:rPr>
                <w:rFonts w:hint="eastAsia" w:ascii="宋体" w:hAnsi="宋体" w:cs="Arial"/>
                <w:kern w:val="0"/>
                <w:sz w:val="21"/>
                <w:szCs w:val="21"/>
              </w:rPr>
            </w:pPr>
            <w:r>
              <w:rPr>
                <w:rFonts w:hint="eastAsia" w:ascii="宋体" w:hAnsi="宋体" w:cs="Arial"/>
                <w:kern w:val="0"/>
                <w:sz w:val="21"/>
                <w:szCs w:val="21"/>
              </w:rPr>
              <w:t xml:space="preserve">8.增值服务：配合甲方进行数据信息维护，基本信息中各分项进行处理，包括基础信息、信息及监控系统、应急管理基本信息、应急预案基本信息、专业技术人员统计、应急培训演练统计、职业健康管理； </w:t>
            </w:r>
          </w:p>
          <w:p w14:paraId="7D035BB9">
            <w:pPr>
              <w:widowControl/>
              <w:jc w:val="left"/>
              <w:rPr>
                <w:rFonts w:hint="eastAsia" w:ascii="宋体" w:hAnsi="宋体" w:eastAsia="宋体" w:cs="Arial"/>
                <w:kern w:val="0"/>
                <w:sz w:val="21"/>
                <w:szCs w:val="21"/>
                <w:lang w:eastAsia="zh-CN"/>
              </w:rPr>
            </w:pPr>
            <w:r>
              <w:rPr>
                <w:rFonts w:hint="eastAsia" w:ascii="宋体" w:hAnsi="宋体" w:cs="Arial"/>
                <w:kern w:val="0"/>
                <w:sz w:val="21"/>
                <w:szCs w:val="21"/>
                <w:lang w:val="en-US" w:eastAsia="zh-CN"/>
              </w:rPr>
              <w:t>9</w:t>
            </w:r>
            <w:r>
              <w:rPr>
                <w:rFonts w:hint="eastAsia" w:ascii="宋体" w:hAnsi="宋体" w:cs="Arial"/>
                <w:kern w:val="0"/>
                <w:sz w:val="21"/>
                <w:szCs w:val="21"/>
                <w:highlight w:val="none"/>
              </w:rPr>
              <w:t>.厂家具有中国通信企业协会颁发的信息通信行业企业信用等级评价-系统集成领域、运维服务领域、网络安全领域、企业评价等(全部是AAA级)</w:t>
            </w:r>
            <w:r>
              <w:rPr>
                <w:rFonts w:hint="eastAsia" w:ascii="宋体" w:hAnsi="宋体" w:cs="Arial"/>
                <w:kern w:val="0"/>
                <w:sz w:val="21"/>
                <w:szCs w:val="21"/>
                <w:highlight w:val="none"/>
                <w:lang w:eastAsia="zh-CN"/>
              </w:rPr>
              <w:t>，提供资质证明文件。</w:t>
            </w:r>
          </w:p>
        </w:tc>
        <w:tc>
          <w:tcPr>
            <w:tcW w:w="596" w:type="dxa"/>
            <w:tcBorders>
              <w:top w:val="nil"/>
              <w:left w:val="nil"/>
              <w:bottom w:val="single" w:color="auto" w:sz="4" w:space="0"/>
              <w:right w:val="single" w:color="auto" w:sz="4" w:space="0"/>
            </w:tcBorders>
            <w:noWrap w:val="0"/>
            <w:vAlign w:val="center"/>
          </w:tcPr>
          <w:p w14:paraId="5B361747">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台</w:t>
            </w:r>
          </w:p>
        </w:tc>
        <w:tc>
          <w:tcPr>
            <w:tcW w:w="587" w:type="dxa"/>
            <w:tcBorders>
              <w:top w:val="nil"/>
              <w:left w:val="nil"/>
              <w:bottom w:val="single" w:color="auto" w:sz="4" w:space="0"/>
              <w:right w:val="single" w:color="auto" w:sz="4" w:space="0"/>
            </w:tcBorders>
            <w:noWrap w:val="0"/>
            <w:vAlign w:val="center"/>
          </w:tcPr>
          <w:p w14:paraId="21CC1B23">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1</w:t>
            </w:r>
          </w:p>
        </w:tc>
        <w:tc>
          <w:tcPr>
            <w:tcW w:w="842" w:type="dxa"/>
            <w:tcBorders>
              <w:top w:val="nil"/>
              <w:left w:val="nil"/>
              <w:bottom w:val="single" w:color="auto" w:sz="4" w:space="0"/>
              <w:right w:val="single" w:color="auto" w:sz="4" w:space="0"/>
            </w:tcBorders>
            <w:noWrap w:val="0"/>
            <w:vAlign w:val="center"/>
          </w:tcPr>
          <w:p w14:paraId="79FE2C0D">
            <w:pPr>
              <w:widowControl/>
              <w:jc w:val="center"/>
              <w:rPr>
                <w:rFonts w:hint="default" w:ascii="宋体" w:hAnsi="宋体" w:cs="Arial"/>
                <w:kern w:val="0"/>
                <w:sz w:val="21"/>
                <w:szCs w:val="21"/>
                <w:lang w:val="en-US" w:eastAsia="zh-CN"/>
              </w:rPr>
            </w:pPr>
            <w:r>
              <w:rPr>
                <w:rFonts w:hint="eastAsia" w:ascii="宋体" w:hAnsi="宋体" w:cs="Arial"/>
                <w:kern w:val="0"/>
                <w:sz w:val="21"/>
                <w:szCs w:val="21"/>
                <w:lang w:val="en-US" w:eastAsia="zh-CN"/>
              </w:rPr>
              <w:t>否</w:t>
            </w:r>
          </w:p>
        </w:tc>
      </w:tr>
      <w:tr w14:paraId="6D62186B">
        <w:tblPrEx>
          <w:tblCellMar>
            <w:top w:w="0" w:type="dxa"/>
            <w:left w:w="108" w:type="dxa"/>
            <w:bottom w:w="0" w:type="dxa"/>
            <w:right w:w="108" w:type="dxa"/>
          </w:tblCellMar>
        </w:tblPrEx>
        <w:trPr>
          <w:trHeight w:val="1440" w:hRule="atLeast"/>
        </w:trPr>
        <w:tc>
          <w:tcPr>
            <w:tcW w:w="564" w:type="dxa"/>
            <w:tcBorders>
              <w:top w:val="nil"/>
              <w:left w:val="single" w:color="auto" w:sz="4" w:space="0"/>
              <w:bottom w:val="single" w:color="auto" w:sz="4" w:space="0"/>
              <w:right w:val="single" w:color="auto" w:sz="4" w:space="0"/>
            </w:tcBorders>
            <w:noWrap w:val="0"/>
            <w:vAlign w:val="center"/>
          </w:tcPr>
          <w:p w14:paraId="4369080A">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7</w:t>
            </w:r>
          </w:p>
        </w:tc>
        <w:tc>
          <w:tcPr>
            <w:tcW w:w="886" w:type="dxa"/>
            <w:tcBorders>
              <w:top w:val="nil"/>
              <w:left w:val="nil"/>
              <w:bottom w:val="single" w:color="auto" w:sz="4" w:space="0"/>
              <w:right w:val="nil"/>
            </w:tcBorders>
            <w:noWrap w:val="0"/>
            <w:vAlign w:val="center"/>
          </w:tcPr>
          <w:p w14:paraId="71B148F0">
            <w:pPr>
              <w:widowControl/>
              <w:jc w:val="center"/>
              <w:rPr>
                <w:rFonts w:ascii="宋体" w:hAnsi="宋体" w:eastAsia="宋体" w:cs="Arial"/>
                <w:kern w:val="0"/>
                <w:sz w:val="21"/>
                <w:szCs w:val="21"/>
                <w:lang w:val="en-US" w:eastAsia="zh-CN" w:bidi="ar-SA"/>
              </w:rPr>
            </w:pPr>
            <w:r>
              <w:rPr>
                <w:rFonts w:hint="eastAsia" w:ascii="宋体" w:hAnsi="宋体" w:cs="Arial"/>
                <w:kern w:val="0"/>
                <w:sz w:val="21"/>
                <w:szCs w:val="21"/>
              </w:rPr>
              <w:t>WAF</w:t>
            </w:r>
          </w:p>
        </w:tc>
        <w:tc>
          <w:tcPr>
            <w:tcW w:w="7298" w:type="dxa"/>
            <w:tcBorders>
              <w:top w:val="nil"/>
              <w:left w:val="single" w:color="auto" w:sz="4" w:space="0"/>
              <w:bottom w:val="single" w:color="auto" w:sz="4" w:space="0"/>
              <w:right w:val="single" w:color="auto" w:sz="4" w:space="0"/>
            </w:tcBorders>
            <w:noWrap w:val="0"/>
            <w:vAlign w:val="center"/>
          </w:tcPr>
          <w:p w14:paraId="58BA8909">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1.硬件及性能要求：网络吞吐量为2Gbps，应用层处理能力为2Gbps，网络并发连接数40万，HTTP并发为12万，HTTP新建连接数大于3500/s。标准1U机箱，1TB硬盘，标准配置千兆6个10/100/1000M自适应电口，2个千兆SFP插槽，2组bypass，1个Console口，2个USB口。包含3年软件特征库服务，3年硬件维修服务；</w:t>
            </w:r>
          </w:p>
          <w:p w14:paraId="30A13E20">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2.支持运营分析数据可视化分析，实现对失陷检测、恶意家族 TOP7(近7天)、文件信誉—命中类型统计TOP7（近7天）、IOC威胁等级（近7天）等数据的实时监控。</w:t>
            </w:r>
          </w:p>
          <w:p w14:paraId="61C6D3EF">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3.支持详细统计和呈现API-key查询TOP10、查询源TOP10、查询情报TOP10、命中情报TOP10、未命中情报TOP10的使用排行数据。</w:t>
            </w:r>
          </w:p>
          <w:p w14:paraId="4DB86C34">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4.支持提供系统操作指令的审计，针对当前设备策略进行配置变更、情报下发、文件下载等操作时，对每个用户的行为做审计。</w:t>
            </w:r>
          </w:p>
          <w:p w14:paraId="137F5026">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5.安全通告支持Restful API接口与第三方接口继承，返回结果需包括发布时间、发布厂商、通告类型、影响地域、影响行业、威胁等级、攻击者组织、攻击者类型、通告详情等。</w:t>
            </w:r>
          </w:p>
          <w:p w14:paraId="1E4A5FDA">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6.支持通过拓线图谱的方式展示APT的所关联的相关联信息，关系图谱至少应包括：Domain、ip、URL、HASH、Report、Attacker、Malware。</w:t>
            </w:r>
          </w:p>
          <w:p w14:paraId="4AC65934">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7.支持对告警事件指定时间范围内进行多字段查询展示包括告警详情展示；</w:t>
            </w:r>
          </w:p>
          <w:p w14:paraId="498DDFFA">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8.支持对用户关键操作进行审计记录；支持对审计内容的搜索及导出；</w:t>
            </w:r>
          </w:p>
          <w:p w14:paraId="5A1DA02E">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9.支持TCP/UDP会话记录、异常流量会话记录、web访问记录、域名解析、SQL访问记录、邮件行为、登录情况、文件传输、FTP控制通道、SSL加密协商、telnet行为、IM通信等行为描述；</w:t>
            </w:r>
          </w:p>
          <w:p w14:paraId="6AA30FED">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10.支持http、dns、smtp、pop3、imap、webmail、DB2、Oracle、MySQL、sql server、Sybase、SMB、FTP、SNMP、telnet、nfs、ICMP、SSL、SSH等常见协议识别并还原网络流量，用于取证分析、威胁发现；</w:t>
            </w:r>
          </w:p>
          <w:p w14:paraId="2C878CA3">
            <w:pPr>
              <w:widowControl/>
              <w:jc w:val="left"/>
              <w:rPr>
                <w:rFonts w:hint="eastAsia" w:ascii="宋体" w:hAnsi="宋体" w:cs="Arial"/>
                <w:color w:val="auto"/>
                <w:kern w:val="0"/>
                <w:sz w:val="21"/>
                <w:szCs w:val="21"/>
              </w:rPr>
            </w:pPr>
            <w:r>
              <w:rPr>
                <w:rFonts w:hint="eastAsia" w:ascii="宋体" w:hAnsi="宋体" w:cs="Arial"/>
                <w:color w:val="auto"/>
                <w:kern w:val="0"/>
                <w:sz w:val="21"/>
                <w:szCs w:val="21"/>
              </w:rPr>
              <w:t>11.增值服务：引入基于行为分析和机器学习的智能检测技术，建立行为基线，检测异常行为，配合甲方完成大模型安全建模和分析服务；</w:t>
            </w:r>
          </w:p>
          <w:p w14:paraId="431ADB30">
            <w:pPr>
              <w:widowControl/>
              <w:jc w:val="left"/>
              <w:rPr>
                <w:rFonts w:hint="eastAsia" w:ascii="宋体" w:hAnsi="宋体" w:eastAsia="宋体" w:cs="Arial"/>
                <w:color w:val="auto"/>
                <w:kern w:val="0"/>
                <w:sz w:val="21"/>
                <w:szCs w:val="21"/>
                <w:lang w:eastAsia="zh-CN"/>
              </w:rPr>
            </w:pPr>
            <w:r>
              <w:rPr>
                <w:rFonts w:hint="eastAsia" w:ascii="宋体" w:hAnsi="宋体" w:cs="Arial"/>
                <w:color w:val="auto"/>
                <w:kern w:val="0"/>
                <w:sz w:val="21"/>
                <w:szCs w:val="21"/>
                <w:lang w:val="en-US" w:eastAsia="zh-CN"/>
              </w:rPr>
              <w:t>12</w:t>
            </w:r>
            <w:r>
              <w:rPr>
                <w:rFonts w:hint="eastAsia" w:ascii="宋体" w:hAnsi="宋体" w:cs="Arial"/>
                <w:color w:val="auto"/>
                <w:kern w:val="0"/>
                <w:sz w:val="21"/>
                <w:szCs w:val="21"/>
                <w:highlight w:val="none"/>
                <w:lang w:val="en-US" w:eastAsia="zh-CN"/>
              </w:rPr>
              <w:t>.厂家</w:t>
            </w:r>
            <w:r>
              <w:rPr>
                <w:rFonts w:hint="eastAsia" w:ascii="宋体" w:hAnsi="宋体" w:cs="Arial"/>
                <w:color w:val="auto"/>
                <w:kern w:val="0"/>
                <w:sz w:val="21"/>
                <w:szCs w:val="21"/>
                <w:highlight w:val="none"/>
                <w:lang w:eastAsia="zh-Hans"/>
              </w:rPr>
              <w:t>具有国家认证认可监督管理委员会</w:t>
            </w:r>
            <w:r>
              <w:rPr>
                <w:rFonts w:hint="eastAsia" w:ascii="宋体" w:hAnsi="宋体" w:cs="Arial"/>
                <w:color w:val="auto"/>
                <w:kern w:val="0"/>
                <w:sz w:val="21"/>
                <w:szCs w:val="21"/>
                <w:highlight w:val="none"/>
                <w:lang w:val="en-US" w:eastAsia="zh-CN"/>
              </w:rPr>
              <w:t>颁发的</w:t>
            </w:r>
            <w:r>
              <w:rPr>
                <w:rFonts w:hint="eastAsia" w:ascii="宋体" w:hAnsi="宋体" w:cs="Arial"/>
                <w:color w:val="auto"/>
                <w:kern w:val="0"/>
                <w:sz w:val="21"/>
                <w:szCs w:val="21"/>
                <w:highlight w:val="none"/>
                <w:lang w:eastAsia="zh-Hans"/>
              </w:rPr>
              <w:t>《数据安全能力成熟度认证证书</w:t>
            </w:r>
            <w:r>
              <w:rPr>
                <w:rFonts w:hint="eastAsia" w:ascii="宋体" w:hAnsi="宋体" w:cs="Arial"/>
                <w:color w:val="auto"/>
                <w:kern w:val="0"/>
                <w:sz w:val="21"/>
                <w:szCs w:val="21"/>
                <w:highlight w:val="none"/>
                <w:lang w:eastAsia="zh-CN"/>
              </w:rPr>
              <w:t>》</w:t>
            </w:r>
            <w:r>
              <w:rPr>
                <w:rFonts w:hint="eastAsia" w:ascii="宋体" w:hAnsi="宋体" w:cs="Arial"/>
                <w:color w:val="auto"/>
                <w:kern w:val="0"/>
                <w:sz w:val="21"/>
                <w:szCs w:val="21"/>
                <w:highlight w:val="none"/>
                <w:lang w:val="en-US" w:eastAsia="zh-CN"/>
              </w:rPr>
              <w:t>等级3，</w:t>
            </w:r>
            <w:r>
              <w:rPr>
                <w:rFonts w:hint="eastAsia" w:ascii="宋体" w:hAnsi="宋体" w:cs="Arial"/>
                <w:kern w:val="0"/>
                <w:sz w:val="21"/>
                <w:szCs w:val="21"/>
                <w:highlight w:val="none"/>
                <w:lang w:eastAsia="zh-CN"/>
              </w:rPr>
              <w:t>提供资质证明文件。</w:t>
            </w:r>
          </w:p>
        </w:tc>
        <w:tc>
          <w:tcPr>
            <w:tcW w:w="596" w:type="dxa"/>
            <w:tcBorders>
              <w:top w:val="nil"/>
              <w:left w:val="nil"/>
              <w:bottom w:val="single" w:color="auto" w:sz="4" w:space="0"/>
              <w:right w:val="single" w:color="auto" w:sz="4" w:space="0"/>
            </w:tcBorders>
            <w:noWrap w:val="0"/>
            <w:vAlign w:val="center"/>
          </w:tcPr>
          <w:p w14:paraId="5D09AC4F">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台</w:t>
            </w:r>
          </w:p>
        </w:tc>
        <w:tc>
          <w:tcPr>
            <w:tcW w:w="587" w:type="dxa"/>
            <w:tcBorders>
              <w:top w:val="nil"/>
              <w:left w:val="nil"/>
              <w:bottom w:val="single" w:color="auto" w:sz="4" w:space="0"/>
              <w:right w:val="single" w:color="auto" w:sz="4" w:space="0"/>
            </w:tcBorders>
            <w:noWrap w:val="0"/>
            <w:vAlign w:val="center"/>
          </w:tcPr>
          <w:p w14:paraId="26E2B129">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1</w:t>
            </w:r>
          </w:p>
        </w:tc>
        <w:tc>
          <w:tcPr>
            <w:tcW w:w="842" w:type="dxa"/>
            <w:tcBorders>
              <w:top w:val="nil"/>
              <w:left w:val="nil"/>
              <w:bottom w:val="single" w:color="auto" w:sz="4" w:space="0"/>
              <w:right w:val="single" w:color="auto" w:sz="4" w:space="0"/>
            </w:tcBorders>
            <w:noWrap w:val="0"/>
            <w:vAlign w:val="center"/>
          </w:tcPr>
          <w:p w14:paraId="7A4D6F3E">
            <w:pPr>
              <w:widowControl/>
              <w:jc w:val="center"/>
              <w:rPr>
                <w:rFonts w:hint="default" w:ascii="宋体" w:hAnsi="宋体" w:cs="Arial"/>
                <w:kern w:val="0"/>
                <w:sz w:val="21"/>
                <w:szCs w:val="21"/>
                <w:lang w:val="en-US" w:eastAsia="zh-CN"/>
              </w:rPr>
            </w:pPr>
            <w:r>
              <w:rPr>
                <w:rFonts w:hint="eastAsia" w:ascii="宋体" w:hAnsi="宋体" w:cs="Arial"/>
                <w:kern w:val="0"/>
                <w:sz w:val="21"/>
                <w:szCs w:val="21"/>
                <w:lang w:val="en-US" w:eastAsia="zh-CN"/>
              </w:rPr>
              <w:t>否</w:t>
            </w:r>
          </w:p>
        </w:tc>
      </w:tr>
      <w:tr w14:paraId="2EDD10FA">
        <w:tblPrEx>
          <w:tblCellMar>
            <w:top w:w="0" w:type="dxa"/>
            <w:left w:w="108" w:type="dxa"/>
            <w:bottom w:w="0" w:type="dxa"/>
            <w:right w:w="108" w:type="dxa"/>
          </w:tblCellMar>
        </w:tblPrEx>
        <w:trPr>
          <w:trHeight w:val="1871"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14:paraId="35F481A5">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8</w:t>
            </w:r>
          </w:p>
        </w:tc>
        <w:tc>
          <w:tcPr>
            <w:tcW w:w="886" w:type="dxa"/>
            <w:tcBorders>
              <w:top w:val="single" w:color="auto" w:sz="4" w:space="0"/>
              <w:left w:val="nil"/>
              <w:bottom w:val="single" w:color="auto" w:sz="4" w:space="0"/>
              <w:right w:val="nil"/>
            </w:tcBorders>
            <w:noWrap w:val="0"/>
            <w:vAlign w:val="center"/>
          </w:tcPr>
          <w:p w14:paraId="1423E583">
            <w:pPr>
              <w:widowControl/>
              <w:jc w:val="center"/>
              <w:rPr>
                <w:rFonts w:ascii="宋体" w:hAnsi="宋体" w:eastAsia="宋体" w:cs="Arial"/>
                <w:kern w:val="0"/>
                <w:sz w:val="21"/>
                <w:szCs w:val="21"/>
                <w:lang w:val="en-US" w:eastAsia="zh-CN" w:bidi="ar-SA"/>
              </w:rPr>
            </w:pPr>
            <w:r>
              <w:rPr>
                <w:rFonts w:hint="eastAsia" w:ascii="宋体" w:hAnsi="宋体" w:cs="Arial"/>
                <w:kern w:val="0"/>
                <w:sz w:val="21"/>
                <w:szCs w:val="21"/>
              </w:rPr>
              <w:t>不动产测绘系统改造</w:t>
            </w:r>
          </w:p>
        </w:tc>
        <w:tc>
          <w:tcPr>
            <w:tcW w:w="7298" w:type="dxa"/>
            <w:tcBorders>
              <w:top w:val="single" w:color="auto" w:sz="4" w:space="0"/>
              <w:left w:val="single" w:color="auto" w:sz="4" w:space="0"/>
              <w:bottom w:val="single" w:color="auto" w:sz="4" w:space="0"/>
              <w:right w:val="single" w:color="auto" w:sz="4" w:space="0"/>
            </w:tcBorders>
            <w:noWrap w:val="0"/>
            <w:vAlign w:val="center"/>
          </w:tcPr>
          <w:p w14:paraId="12E9AD51">
            <w:pPr>
              <w:widowControl/>
              <w:jc w:val="left"/>
              <w:rPr>
                <w:rFonts w:ascii="宋体" w:hAnsi="宋体" w:cs="Arial"/>
                <w:color w:val="auto"/>
                <w:kern w:val="0"/>
                <w:sz w:val="21"/>
                <w:szCs w:val="21"/>
              </w:rPr>
            </w:pPr>
            <w:r>
              <w:rPr>
                <w:rFonts w:hint="eastAsia" w:ascii="宋体" w:hAnsi="宋体" w:eastAsia="宋体" w:cs="Arial"/>
                <w:color w:val="auto"/>
                <w:kern w:val="0"/>
                <w:sz w:val="21"/>
                <w:szCs w:val="21"/>
              </w:rPr>
              <w:t>不动产测绘系统与不动产登记交易业务管理系统数据对接，测绘系统将测绘完成的楼盘表房屋数据推送给不动产登记交易业务管理系统，不动产系统获取到测绘数据后，自动生成楼栋、楼盘表，不动产登记交易业务办理直接利用楼盘表房屋信息，通过对接改变原有手工创建房屋楼盘表的方式，提高业务办理效率。</w:t>
            </w:r>
          </w:p>
        </w:tc>
        <w:tc>
          <w:tcPr>
            <w:tcW w:w="596" w:type="dxa"/>
            <w:tcBorders>
              <w:top w:val="single" w:color="auto" w:sz="4" w:space="0"/>
              <w:left w:val="nil"/>
              <w:bottom w:val="single" w:color="auto" w:sz="4" w:space="0"/>
              <w:right w:val="single" w:color="auto" w:sz="4" w:space="0"/>
            </w:tcBorders>
            <w:noWrap w:val="0"/>
            <w:vAlign w:val="center"/>
          </w:tcPr>
          <w:p w14:paraId="28813858">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套</w:t>
            </w:r>
          </w:p>
        </w:tc>
        <w:tc>
          <w:tcPr>
            <w:tcW w:w="587" w:type="dxa"/>
            <w:tcBorders>
              <w:top w:val="single" w:color="auto" w:sz="4" w:space="0"/>
              <w:left w:val="nil"/>
              <w:bottom w:val="single" w:color="auto" w:sz="4" w:space="0"/>
              <w:right w:val="single" w:color="auto" w:sz="4" w:space="0"/>
            </w:tcBorders>
            <w:noWrap w:val="0"/>
            <w:vAlign w:val="center"/>
          </w:tcPr>
          <w:p w14:paraId="66283CF2">
            <w:pPr>
              <w:widowControl/>
              <w:jc w:val="center"/>
              <w:rPr>
                <w:rFonts w:hint="eastAsia" w:ascii="宋体" w:hAnsi="宋体" w:eastAsia="宋体" w:cs="Arial"/>
                <w:kern w:val="0"/>
                <w:sz w:val="21"/>
                <w:szCs w:val="21"/>
                <w:lang w:val="en-US" w:eastAsia="zh-CN"/>
              </w:rPr>
            </w:pPr>
            <w:r>
              <w:rPr>
                <w:rFonts w:hint="eastAsia" w:ascii="宋体" w:hAnsi="宋体" w:cs="Arial"/>
                <w:kern w:val="0"/>
                <w:sz w:val="21"/>
                <w:szCs w:val="21"/>
                <w:lang w:val="en-US" w:eastAsia="zh-CN"/>
              </w:rPr>
              <w:t>1</w:t>
            </w:r>
          </w:p>
        </w:tc>
        <w:tc>
          <w:tcPr>
            <w:tcW w:w="842" w:type="dxa"/>
            <w:tcBorders>
              <w:top w:val="single" w:color="auto" w:sz="4" w:space="0"/>
              <w:left w:val="nil"/>
              <w:bottom w:val="single" w:color="auto" w:sz="4" w:space="0"/>
              <w:right w:val="single" w:color="auto" w:sz="4" w:space="0"/>
            </w:tcBorders>
            <w:noWrap w:val="0"/>
            <w:vAlign w:val="center"/>
          </w:tcPr>
          <w:p w14:paraId="49DD84A0">
            <w:pPr>
              <w:widowControl/>
              <w:jc w:val="center"/>
              <w:rPr>
                <w:rFonts w:hint="default" w:ascii="宋体" w:hAnsi="宋体" w:cs="Arial"/>
                <w:kern w:val="0"/>
                <w:sz w:val="21"/>
                <w:szCs w:val="21"/>
                <w:lang w:val="en-US" w:eastAsia="zh-CN"/>
              </w:rPr>
            </w:pPr>
            <w:r>
              <w:rPr>
                <w:rFonts w:hint="eastAsia" w:ascii="宋体" w:hAnsi="宋体" w:cs="Arial"/>
                <w:kern w:val="0"/>
                <w:sz w:val="21"/>
                <w:szCs w:val="21"/>
                <w:lang w:val="en-US" w:eastAsia="zh-CN"/>
              </w:rPr>
              <w:t>否</w:t>
            </w:r>
          </w:p>
        </w:tc>
      </w:tr>
    </w:tbl>
    <w:p w14:paraId="34DBD978">
      <w:pPr>
        <w:widowControl/>
        <w:shd w:val="clear" w:color="auto" w:fill="FFFFFF"/>
        <w:spacing w:line="560" w:lineRule="exact"/>
        <w:jc w:val="left"/>
        <w:rPr>
          <w:rFonts w:hint="eastAsia"/>
          <w:color w:val="FF0000"/>
          <w:lang w:eastAsia="zh-CN"/>
        </w:rPr>
      </w:pPr>
    </w:p>
    <w:p w14:paraId="2741D367">
      <w:pPr>
        <w:keepNext w:val="0"/>
        <w:keepLines w:val="0"/>
        <w:pageBreakBefore w:val="0"/>
        <w:kinsoku/>
        <w:overflowPunct/>
        <w:topLinePunct w:val="0"/>
        <w:autoSpaceDE/>
        <w:autoSpaceDN/>
        <w:bidi w:val="0"/>
        <w:adjustRightInd/>
        <w:snapToGrid/>
        <w:spacing w:line="596" w:lineRule="exact"/>
        <w:ind w:firstLine="482"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三</w:t>
      </w:r>
      <w:r>
        <w:rPr>
          <w:rFonts w:hint="eastAsia" w:asciiTheme="minorEastAsia" w:hAnsiTheme="minorEastAsia" w:cstheme="minorEastAsia"/>
          <w:b/>
          <w:bCs/>
          <w:i w:val="0"/>
          <w:iCs w:val="0"/>
          <w:color w:val="000000"/>
          <w:spacing w:val="0"/>
          <w:w w:val="100"/>
          <w:kern w:val="2"/>
          <w:sz w:val="24"/>
          <w:szCs w:val="24"/>
          <w:vertAlign w:val="baseline"/>
          <w:lang w:val="en-US" w:eastAsia="zh-CN" w:bidi="ar-SA"/>
        </w:rPr>
        <w:t>、</w:t>
      </w: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采购标的执行标准：</w:t>
      </w:r>
      <w:r>
        <w:rPr>
          <w:rFonts w:hint="eastAsia" w:ascii="宋体" w:hAnsi="宋体"/>
          <w:bCs/>
          <w:sz w:val="24"/>
          <w:szCs w:val="22"/>
        </w:rPr>
        <w:t>需执行的国家相关标准、规范。</w:t>
      </w:r>
    </w:p>
    <w:p w14:paraId="50382290">
      <w:pPr>
        <w:shd w:val="clear" w:color="auto" w:fill="FFFFFF"/>
        <w:spacing w:line="360" w:lineRule="auto"/>
        <w:ind w:firstLine="482" w:firstLineChars="200"/>
        <w:jc w:val="left"/>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四</w:t>
      </w:r>
      <w:r>
        <w:rPr>
          <w:rFonts w:hint="eastAsia" w:asciiTheme="minorEastAsia" w:hAnsiTheme="minorEastAsia" w:cstheme="minorEastAsia"/>
          <w:b/>
          <w:bCs/>
          <w:i w:val="0"/>
          <w:iCs w:val="0"/>
          <w:color w:val="000000"/>
          <w:spacing w:val="0"/>
          <w:w w:val="100"/>
          <w:kern w:val="2"/>
          <w:sz w:val="24"/>
          <w:szCs w:val="24"/>
          <w:vertAlign w:val="baseline"/>
          <w:lang w:val="en-US" w:eastAsia="zh-CN" w:bidi="ar-SA"/>
        </w:rPr>
        <w:t>、</w:t>
      </w: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服务标准、期限、效率等要求：</w:t>
      </w:r>
    </w:p>
    <w:p w14:paraId="754E7F36">
      <w:pPr>
        <w:widowControl/>
        <w:shd w:val="clear" w:color="auto" w:fill="FFFFFF"/>
        <w:spacing w:line="360" w:lineRule="auto"/>
        <w:ind w:firstLine="600"/>
        <w:jc w:val="left"/>
        <w:rPr>
          <w:rFonts w:hint="eastAsia" w:ascii="宋体" w:hAnsi="宋体" w:eastAsia="宋体" w:cs="新宋体"/>
          <w:sz w:val="24"/>
          <w:szCs w:val="24"/>
          <w:lang w:val="zh-CN"/>
        </w:rPr>
      </w:pPr>
      <w:r>
        <w:rPr>
          <w:rFonts w:hint="eastAsia" w:ascii="宋体" w:hAnsi="宋体" w:eastAsia="宋体" w:cs="新宋体"/>
          <w:sz w:val="24"/>
          <w:szCs w:val="24"/>
          <w:lang w:val="zh-CN"/>
        </w:rPr>
        <w:t>1、</w:t>
      </w:r>
      <w:r>
        <w:rPr>
          <w:rFonts w:hint="eastAsia" w:ascii="宋体" w:hAnsi="宋体" w:eastAsia="宋体" w:cs="新宋体"/>
          <w:sz w:val="24"/>
          <w:szCs w:val="24"/>
          <w:lang w:val="en-US" w:eastAsia="zh-CN"/>
        </w:rPr>
        <w:t>投标</w:t>
      </w:r>
      <w:r>
        <w:rPr>
          <w:rFonts w:hint="eastAsia" w:ascii="宋体" w:hAnsi="宋体" w:eastAsia="宋体" w:cs="新宋体"/>
          <w:sz w:val="24"/>
          <w:szCs w:val="24"/>
          <w:lang w:val="zh-CN"/>
        </w:rPr>
        <w:t>文件中须有详细的实施（技术）方案。</w:t>
      </w:r>
    </w:p>
    <w:p w14:paraId="6F234D3F">
      <w:pPr>
        <w:widowControl/>
        <w:shd w:val="clear" w:color="auto" w:fill="FFFFFF"/>
        <w:spacing w:line="360" w:lineRule="auto"/>
        <w:ind w:firstLine="600"/>
        <w:jc w:val="left"/>
        <w:rPr>
          <w:rFonts w:hint="eastAsia" w:ascii="宋体" w:hAnsi="宋体" w:eastAsia="宋体" w:cs="新宋体"/>
          <w:sz w:val="24"/>
          <w:szCs w:val="24"/>
          <w:lang w:val="zh-CN"/>
        </w:rPr>
      </w:pPr>
      <w:r>
        <w:rPr>
          <w:rFonts w:hint="eastAsia" w:ascii="宋体" w:hAnsi="宋体" w:eastAsia="宋体" w:cs="新宋体"/>
          <w:sz w:val="24"/>
          <w:szCs w:val="24"/>
          <w:lang w:val="zh-CN"/>
        </w:rPr>
        <w:t>2、产品必须符合国家相关标准和本</w:t>
      </w:r>
      <w:r>
        <w:rPr>
          <w:rFonts w:hint="eastAsia" w:ascii="宋体" w:hAnsi="宋体" w:eastAsia="宋体" w:cs="新宋体"/>
          <w:sz w:val="24"/>
          <w:szCs w:val="24"/>
          <w:lang w:val="en-US" w:eastAsia="zh-CN"/>
        </w:rPr>
        <w:t>谈判</w:t>
      </w:r>
      <w:r>
        <w:rPr>
          <w:rFonts w:hint="eastAsia" w:ascii="宋体" w:hAnsi="宋体" w:eastAsia="宋体" w:cs="新宋体"/>
          <w:sz w:val="24"/>
          <w:szCs w:val="24"/>
          <w:lang w:val="zh-CN"/>
        </w:rPr>
        <w:t>文件规定标准。</w:t>
      </w:r>
    </w:p>
    <w:p w14:paraId="013CDAFE">
      <w:pPr>
        <w:widowControl/>
        <w:shd w:val="clear" w:color="auto" w:fill="FFFFFF"/>
        <w:spacing w:line="360" w:lineRule="auto"/>
        <w:ind w:firstLine="600"/>
        <w:jc w:val="left"/>
        <w:rPr>
          <w:rFonts w:hint="eastAsia" w:ascii="宋体" w:hAnsi="宋体" w:eastAsia="宋体" w:cs="新宋体"/>
          <w:sz w:val="24"/>
          <w:szCs w:val="24"/>
          <w:lang w:val="zh-CN"/>
        </w:rPr>
      </w:pPr>
      <w:r>
        <w:rPr>
          <w:rFonts w:hint="eastAsia" w:ascii="宋体" w:hAnsi="宋体" w:eastAsia="宋体" w:cs="新宋体"/>
          <w:sz w:val="24"/>
          <w:szCs w:val="24"/>
          <w:lang w:val="zh-CN"/>
        </w:rPr>
        <w:t>3、本项目为交钥匙工程。</w:t>
      </w:r>
    </w:p>
    <w:p w14:paraId="59198969">
      <w:pPr>
        <w:widowControl/>
        <w:shd w:val="clear" w:color="auto" w:fill="FFFFFF"/>
        <w:spacing w:line="360" w:lineRule="auto"/>
        <w:ind w:firstLine="600"/>
        <w:jc w:val="left"/>
        <w:rPr>
          <w:rFonts w:hint="eastAsia" w:ascii="宋体" w:hAnsi="宋体" w:eastAsia="宋体" w:cs="新宋体"/>
          <w:sz w:val="24"/>
          <w:szCs w:val="24"/>
          <w:lang w:val="zh-CN"/>
        </w:rPr>
      </w:pPr>
      <w:r>
        <w:rPr>
          <w:rFonts w:hint="eastAsia" w:ascii="宋体" w:hAnsi="宋体" w:eastAsia="宋体" w:cs="新宋体"/>
          <w:sz w:val="24"/>
          <w:szCs w:val="24"/>
          <w:lang w:val="zh-CN"/>
        </w:rPr>
        <w:t>4、</w:t>
      </w:r>
      <w:r>
        <w:rPr>
          <w:rFonts w:hint="eastAsia" w:ascii="宋体" w:hAnsi="宋体" w:eastAsia="宋体" w:cs="新宋体"/>
          <w:sz w:val="24"/>
          <w:szCs w:val="24"/>
          <w:lang w:val="en-US" w:eastAsia="zh-CN"/>
        </w:rPr>
        <w:t>成交供应商</w:t>
      </w:r>
      <w:r>
        <w:rPr>
          <w:rFonts w:hint="eastAsia" w:ascii="宋体" w:hAnsi="宋体" w:eastAsia="宋体" w:cs="新宋体"/>
          <w:sz w:val="24"/>
          <w:szCs w:val="24"/>
          <w:lang w:val="zh-CN"/>
        </w:rPr>
        <w:t>应负责对</w:t>
      </w:r>
      <w:r>
        <w:rPr>
          <w:rFonts w:hint="eastAsia" w:ascii="宋体" w:hAnsi="宋体" w:eastAsia="宋体" w:cs="新宋体"/>
          <w:sz w:val="24"/>
          <w:szCs w:val="24"/>
          <w:lang w:val="en-US" w:eastAsia="zh-CN"/>
        </w:rPr>
        <w:t>采购人的</w:t>
      </w:r>
      <w:r>
        <w:rPr>
          <w:rFonts w:hint="eastAsia" w:ascii="宋体" w:hAnsi="宋体" w:eastAsia="宋体" w:cs="新宋体"/>
          <w:sz w:val="24"/>
          <w:szCs w:val="24"/>
          <w:lang w:val="zh-CN"/>
        </w:rPr>
        <w:t>操作人员进行使用培训，使其能够独立操作，并可以简单的维护和保养。</w:t>
      </w:r>
    </w:p>
    <w:p w14:paraId="0A8AF7A5">
      <w:pPr>
        <w:spacing w:line="360" w:lineRule="auto"/>
        <w:ind w:firstLine="720" w:firstLineChars="300"/>
        <w:contextualSpacing/>
        <w:rPr>
          <w:rFonts w:hint="eastAsia"/>
          <w:lang w:val="zh-CN"/>
        </w:rPr>
      </w:pPr>
      <w:r>
        <w:rPr>
          <w:rFonts w:hint="eastAsia" w:eastAsia="宋体" w:cs="新宋体"/>
          <w:sz w:val="24"/>
          <w:lang w:val="en-US" w:eastAsia="zh-CN"/>
        </w:rPr>
        <w:t xml:space="preserve">5. </w:t>
      </w:r>
      <w:r>
        <w:rPr>
          <w:rFonts w:hint="eastAsia" w:ascii="宋体" w:hAnsi="宋体"/>
          <w:bCs/>
          <w:sz w:val="24"/>
        </w:rPr>
        <w:t>服务期限</w:t>
      </w:r>
      <w:r>
        <w:rPr>
          <w:rFonts w:hint="eastAsia" w:ascii="宋体" w:hAnsi="宋体"/>
          <w:bCs/>
          <w:sz w:val="24"/>
          <w:lang w:eastAsia="zh-CN"/>
        </w:rPr>
        <w:t>：</w:t>
      </w:r>
      <w:r>
        <w:rPr>
          <w:rFonts w:hint="eastAsia" w:ascii="宋体" w:hAnsi="宋体"/>
          <w:bCs/>
          <w:sz w:val="24"/>
          <w:lang w:val="en-US" w:eastAsia="zh-CN"/>
        </w:rPr>
        <w:t>符合业主要求，</w:t>
      </w:r>
      <w:r>
        <w:rPr>
          <w:rFonts w:hint="eastAsia" w:ascii="宋体" w:hAnsi="宋体"/>
          <w:bCs/>
          <w:sz w:val="24"/>
          <w:lang w:eastAsia="zh-CN"/>
        </w:rPr>
        <w:t>供货期</w:t>
      </w:r>
      <w:r>
        <w:rPr>
          <w:rFonts w:hint="eastAsia" w:ascii="宋体" w:hAnsi="宋体"/>
          <w:bCs/>
          <w:sz w:val="24"/>
        </w:rPr>
        <w:t>为合同签订后</w:t>
      </w:r>
      <w:r>
        <w:rPr>
          <w:rFonts w:hint="eastAsia" w:ascii="宋体" w:hAnsi="宋体"/>
          <w:bCs/>
          <w:sz w:val="24"/>
          <w:lang w:val="en-US" w:eastAsia="zh-CN"/>
        </w:rPr>
        <w:t>30个日历天；产品质量保证期为3年</w:t>
      </w:r>
      <w:r>
        <w:rPr>
          <w:rFonts w:hint="eastAsia" w:ascii="宋体" w:hAnsi="宋体"/>
          <w:bCs/>
          <w:sz w:val="24"/>
        </w:rPr>
        <w:t>。</w:t>
      </w:r>
    </w:p>
    <w:p w14:paraId="028EBA39">
      <w:pPr>
        <w:shd w:val="clear" w:color="auto" w:fill="FFFFFF"/>
        <w:spacing w:line="360" w:lineRule="auto"/>
        <w:ind w:firstLine="482" w:firstLineChars="200"/>
        <w:jc w:val="left"/>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五、采购标的其他技术、服务等要求</w:t>
      </w:r>
    </w:p>
    <w:p w14:paraId="2F91D0A7">
      <w:pPr>
        <w:widowControl/>
        <w:shd w:val="clear" w:color="auto" w:fill="FFFFFF"/>
        <w:spacing w:line="360" w:lineRule="auto"/>
        <w:ind w:firstLine="480" w:firstLineChars="200"/>
        <w:jc w:val="left"/>
        <w:rPr>
          <w:rFonts w:hint="eastAsia" w:ascii="宋体" w:hAnsi="宋体" w:eastAsia="宋体" w:cs="新宋体"/>
          <w:sz w:val="24"/>
          <w:lang w:val="zh-CN"/>
        </w:rPr>
      </w:pPr>
      <w:r>
        <w:rPr>
          <w:rFonts w:hint="eastAsia" w:ascii="宋体" w:hAnsi="宋体" w:eastAsia="宋体" w:cs="新宋体"/>
          <w:sz w:val="24"/>
          <w:lang w:val="zh-CN"/>
        </w:rPr>
        <w:t>1.</w:t>
      </w:r>
      <w:r>
        <w:rPr>
          <w:rFonts w:hint="eastAsia" w:ascii="宋体" w:hAnsi="宋体" w:eastAsia="宋体" w:cs="新宋体"/>
          <w:sz w:val="24"/>
          <w:lang w:val="zh-CN" w:eastAsia="zh-CN"/>
        </w:rPr>
        <w:t>投标人</w:t>
      </w:r>
      <w:r>
        <w:rPr>
          <w:rFonts w:hint="eastAsia" w:ascii="宋体" w:hAnsi="宋体" w:eastAsia="宋体" w:cs="新宋体"/>
          <w:sz w:val="24"/>
          <w:lang w:val="zh-CN"/>
        </w:rPr>
        <w:t>须明确投标产品的厂家、</w:t>
      </w:r>
      <w:r>
        <w:rPr>
          <w:rFonts w:hint="eastAsia" w:ascii="宋体" w:hAnsi="宋体" w:eastAsia="宋体" w:cs="新宋体"/>
          <w:sz w:val="24"/>
          <w:lang w:val="en-US" w:eastAsia="zh-CN"/>
        </w:rPr>
        <w:t>产地、</w:t>
      </w:r>
      <w:r>
        <w:rPr>
          <w:rFonts w:hint="eastAsia" w:ascii="宋体" w:hAnsi="宋体" w:eastAsia="宋体" w:cs="新宋体"/>
          <w:sz w:val="24"/>
          <w:lang w:val="zh-CN"/>
        </w:rPr>
        <w:t>品牌、型号等详细参数，否则为无效</w:t>
      </w:r>
      <w:r>
        <w:rPr>
          <w:rFonts w:hint="eastAsia" w:ascii="宋体" w:hAnsi="宋体" w:eastAsia="宋体" w:cs="新宋体"/>
          <w:sz w:val="24"/>
          <w:lang w:val="en-US" w:eastAsia="zh-CN"/>
        </w:rPr>
        <w:t>响应</w:t>
      </w:r>
      <w:r>
        <w:rPr>
          <w:rFonts w:hint="eastAsia" w:ascii="宋体" w:hAnsi="宋体" w:eastAsia="宋体" w:cs="新宋体"/>
          <w:sz w:val="24"/>
          <w:lang w:val="zh-CN"/>
        </w:rPr>
        <w:t>文件。</w:t>
      </w:r>
    </w:p>
    <w:p w14:paraId="22270446">
      <w:pPr>
        <w:widowControl/>
        <w:shd w:val="clear" w:color="auto" w:fill="FFFFFF"/>
        <w:spacing w:line="360" w:lineRule="auto"/>
        <w:ind w:firstLine="480" w:firstLineChars="200"/>
        <w:jc w:val="left"/>
        <w:rPr>
          <w:rFonts w:hint="eastAsia" w:ascii="宋体" w:hAnsi="宋体" w:eastAsia="宋体" w:cs="新宋体"/>
          <w:sz w:val="24"/>
          <w:lang w:val="zh-CN"/>
        </w:rPr>
      </w:pPr>
      <w:r>
        <w:rPr>
          <w:rFonts w:hint="eastAsia" w:ascii="宋体" w:hAnsi="宋体" w:eastAsia="宋体" w:cs="新宋体"/>
          <w:sz w:val="24"/>
          <w:lang w:val="en-US" w:eastAsia="zh-CN"/>
        </w:rPr>
        <w:t>2.</w:t>
      </w:r>
      <w:r>
        <w:rPr>
          <w:rFonts w:hint="eastAsia" w:ascii="宋体" w:hAnsi="宋体" w:eastAsia="宋体" w:cs="新宋体"/>
          <w:sz w:val="24"/>
          <w:lang w:val="zh-CN"/>
        </w:rPr>
        <w:t>投标人应就该项目完整投标（报价包括但不限于完成本项目材料费、人工费、管理费、维护费、保险费、利润、税费等所有费用），否则为无效</w:t>
      </w:r>
      <w:r>
        <w:rPr>
          <w:rFonts w:hint="eastAsia" w:ascii="宋体" w:hAnsi="宋体" w:eastAsia="宋体" w:cs="新宋体"/>
          <w:sz w:val="24"/>
          <w:lang w:val="en-US" w:eastAsia="zh-CN"/>
        </w:rPr>
        <w:t>响应</w:t>
      </w:r>
      <w:r>
        <w:rPr>
          <w:rFonts w:hint="eastAsia" w:ascii="宋体" w:hAnsi="宋体" w:eastAsia="宋体" w:cs="新宋体"/>
          <w:sz w:val="24"/>
          <w:lang w:val="zh-CN"/>
        </w:rPr>
        <w:t>文件。</w:t>
      </w:r>
    </w:p>
    <w:p w14:paraId="401DF73F">
      <w:pPr>
        <w:widowControl/>
        <w:shd w:val="clear" w:color="auto" w:fill="FFFFFF"/>
        <w:spacing w:line="360" w:lineRule="auto"/>
        <w:ind w:firstLine="480" w:firstLineChars="200"/>
        <w:jc w:val="left"/>
        <w:rPr>
          <w:rFonts w:hint="eastAsia" w:ascii="宋体" w:hAnsi="宋体" w:eastAsia="宋体" w:cs="新宋体"/>
          <w:sz w:val="24"/>
          <w:lang w:val="zh-CN"/>
        </w:rPr>
      </w:pPr>
      <w:r>
        <w:rPr>
          <w:rFonts w:hint="eastAsia" w:ascii="宋体" w:hAnsi="宋体" w:eastAsia="宋体" w:cs="新宋体"/>
          <w:sz w:val="24"/>
          <w:lang w:val="zh-CN"/>
        </w:rPr>
        <w:t>3.</w:t>
      </w:r>
      <w:r>
        <w:rPr>
          <w:rFonts w:hint="eastAsia" w:ascii="宋体" w:hAnsi="宋体" w:eastAsia="宋体" w:cs="新宋体"/>
          <w:sz w:val="24"/>
          <w:lang w:val="en-US" w:eastAsia="zh-CN"/>
        </w:rPr>
        <w:t>供应商须承诺若中标，</w:t>
      </w:r>
      <w:r>
        <w:rPr>
          <w:rFonts w:hint="eastAsia" w:ascii="宋体" w:hAnsi="宋体" w:eastAsia="宋体" w:cs="新宋体"/>
          <w:sz w:val="24"/>
          <w:lang w:val="zh-CN"/>
        </w:rPr>
        <w:t>在合同维保期内接到通知后1小时进行响应，4小时到达，24小时内处理问题，否则需提供备用机直至原设备修好为止。否则为无效</w:t>
      </w:r>
      <w:r>
        <w:rPr>
          <w:rFonts w:hint="eastAsia" w:ascii="宋体" w:hAnsi="宋体" w:eastAsia="宋体" w:cs="新宋体"/>
          <w:sz w:val="24"/>
          <w:lang w:val="en-US" w:eastAsia="zh-CN"/>
        </w:rPr>
        <w:t>响应</w:t>
      </w:r>
      <w:r>
        <w:rPr>
          <w:rFonts w:hint="eastAsia" w:ascii="宋体" w:hAnsi="宋体" w:eastAsia="宋体" w:cs="新宋体"/>
          <w:sz w:val="24"/>
          <w:lang w:val="zh-CN"/>
        </w:rPr>
        <w:t>文件。</w:t>
      </w:r>
    </w:p>
    <w:p w14:paraId="051B3AEC">
      <w:pPr>
        <w:widowControl/>
        <w:shd w:val="clear" w:color="auto" w:fill="FFFFFF"/>
        <w:spacing w:line="360" w:lineRule="auto"/>
        <w:ind w:firstLine="480" w:firstLineChars="200"/>
        <w:jc w:val="left"/>
        <w:rPr>
          <w:rFonts w:hint="eastAsia" w:ascii="新宋体" w:hAnsi="新宋体" w:eastAsia="新宋体" w:cs="新宋体"/>
          <w:b/>
          <w:bCs/>
          <w:szCs w:val="21"/>
        </w:rPr>
      </w:pPr>
      <w:r>
        <w:rPr>
          <w:rFonts w:hint="eastAsia" w:ascii="宋体" w:hAnsi="宋体" w:eastAsia="宋体" w:cs="新宋体"/>
          <w:sz w:val="24"/>
          <w:lang w:val="zh-CN"/>
        </w:rPr>
        <w:t>4.</w:t>
      </w:r>
      <w:r>
        <w:rPr>
          <w:rFonts w:hint="eastAsia" w:ascii="宋体" w:hAnsi="宋体" w:eastAsia="宋体" w:cs="新宋体"/>
          <w:sz w:val="24"/>
          <w:lang w:val="en-US" w:eastAsia="zh-CN"/>
        </w:rPr>
        <w:t>供应商须承诺若中标，需保证禹州市</w:t>
      </w:r>
      <w:r>
        <w:rPr>
          <w:rFonts w:hint="eastAsia" w:ascii="宋体" w:hAnsi="宋体" w:eastAsia="宋体" w:cs="新宋体"/>
          <w:sz w:val="24"/>
          <w:lang w:val="zh-CN"/>
        </w:rPr>
        <w:t>不动产测绘系统</w:t>
      </w:r>
      <w:r>
        <w:rPr>
          <w:rFonts w:hint="eastAsia" w:ascii="宋体" w:hAnsi="宋体" w:eastAsia="宋体" w:cs="新宋体"/>
          <w:sz w:val="24"/>
          <w:lang w:val="en-US" w:eastAsia="zh-CN"/>
        </w:rPr>
        <w:t>改造后可以与禹州市</w:t>
      </w:r>
      <w:r>
        <w:rPr>
          <w:rFonts w:hint="eastAsia" w:ascii="宋体" w:hAnsi="宋体" w:eastAsia="宋体" w:cs="新宋体"/>
          <w:sz w:val="24"/>
          <w:lang w:val="zh-CN"/>
        </w:rPr>
        <w:t>不动产登记交易业务管理系统数据</w:t>
      </w:r>
      <w:r>
        <w:rPr>
          <w:rFonts w:hint="eastAsia" w:ascii="宋体" w:hAnsi="宋体" w:eastAsia="宋体" w:cs="新宋体"/>
          <w:sz w:val="24"/>
          <w:lang w:val="en-US" w:eastAsia="zh-CN"/>
        </w:rPr>
        <w:t>进行对接。</w:t>
      </w:r>
      <w:r>
        <w:rPr>
          <w:rFonts w:hint="eastAsia" w:ascii="宋体" w:hAnsi="宋体" w:eastAsia="宋体" w:cs="新宋体"/>
          <w:sz w:val="24"/>
          <w:lang w:val="zh-CN"/>
        </w:rPr>
        <w:t>中标后中标人3个工作日内需对设备进行对接测试，如无法实现</w:t>
      </w:r>
      <w:r>
        <w:rPr>
          <w:rFonts w:hint="eastAsia" w:ascii="宋体" w:hAnsi="宋体" w:eastAsia="宋体" w:cs="新宋体"/>
          <w:sz w:val="24"/>
          <w:lang w:val="en-US" w:eastAsia="zh-CN"/>
        </w:rPr>
        <w:t>数据</w:t>
      </w:r>
      <w:r>
        <w:rPr>
          <w:rFonts w:hint="eastAsia" w:ascii="宋体" w:hAnsi="宋体" w:eastAsia="宋体" w:cs="新宋体"/>
          <w:sz w:val="24"/>
          <w:lang w:val="zh-CN"/>
        </w:rPr>
        <w:t>对接，视为虚假投标，并追究中标人相关法律责任。投标人并对此作出承诺。</w:t>
      </w:r>
    </w:p>
    <w:p w14:paraId="3B05EABC">
      <w:pPr>
        <w:widowControl/>
        <w:shd w:val="clear" w:color="auto" w:fill="FFFFFF"/>
        <w:spacing w:line="360" w:lineRule="auto"/>
        <w:ind w:firstLine="422" w:firstLineChars="200"/>
        <w:contextualSpacing/>
        <w:jc w:val="left"/>
        <w:rPr>
          <w:rFonts w:hint="default" w:asciiTheme="minorEastAsia" w:hAnsiTheme="minorEastAsia" w:eastAsiaTheme="minorEastAsia" w:cstheme="minorEastAsia"/>
          <w:kern w:val="2"/>
          <w:sz w:val="21"/>
          <w:szCs w:val="21"/>
          <w:lang w:val="en-US" w:eastAsia="zh-CN" w:bidi="ar-SA"/>
        </w:rPr>
      </w:pPr>
      <w:r>
        <w:rPr>
          <w:rFonts w:hint="eastAsia" w:ascii="新宋体" w:hAnsi="新宋体" w:eastAsia="新宋体" w:cs="新宋体"/>
          <w:b/>
          <w:bCs/>
          <w:szCs w:val="21"/>
        </w:rPr>
        <w:t>注：</w:t>
      </w:r>
      <w:r>
        <w:rPr>
          <w:rFonts w:hint="eastAsia" w:ascii="新宋体" w:hAnsi="新宋体" w:eastAsia="新宋体" w:cs="新宋体"/>
          <w:b/>
          <w:bCs/>
          <w:szCs w:val="21"/>
          <w:lang w:val="zh-CN"/>
        </w:rPr>
        <w:t>中标人须向禹州市政府采购中心发送投</w:t>
      </w:r>
      <w:r>
        <w:rPr>
          <w:rFonts w:hint="eastAsia" w:ascii="宋体" w:hAnsi="宋体" w:eastAsia="宋体"/>
          <w:b/>
          <w:bCs/>
          <w:szCs w:val="21"/>
          <w:lang w:val="zh-CN"/>
        </w:rPr>
        <w:t>标报价及分项报价（如果货物需求中有分项的话）一览表电子档，并同时通知采购中心。邮箱：</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color w:val="auto"/>
          <w:sz w:val="24"/>
          <w:lang w:val="en-US" w:eastAsia="zh-CN"/>
        </w:rPr>
        <w:t xml:space="preserve"> </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sz w:val="24"/>
          <w:lang w:val="en-US" w:eastAsia="zh-CN"/>
        </w:rPr>
        <w:t>ztbjyglzx</w:t>
      </w:r>
      <w:r>
        <w:rPr>
          <w:rStyle w:val="31"/>
          <w:rFonts w:hint="eastAsia" w:ascii="宋体" w:cs="宋体"/>
          <w:b/>
          <w:bCs/>
          <w:sz w:val="24"/>
          <w:lang w:val="zh-CN"/>
        </w:rPr>
        <w:t>@163.com</w:t>
      </w:r>
      <w:r>
        <w:rPr>
          <w:rStyle w:val="31"/>
          <w:rFonts w:hint="eastAsia" w:ascii="宋体" w:cs="宋体"/>
          <w:b/>
          <w:bCs/>
          <w:color w:val="auto"/>
          <w:sz w:val="24"/>
          <w:lang w:val="zh-CN"/>
        </w:rPr>
        <w:fldChar w:fldCharType="end"/>
      </w:r>
      <w:r>
        <w:rPr>
          <w:rStyle w:val="31"/>
          <w:rFonts w:hint="eastAsia" w:ascii="宋体" w:cs="宋体"/>
          <w:b/>
          <w:bCs/>
          <w:color w:val="auto"/>
          <w:sz w:val="24"/>
          <w:lang w:val="zh-CN"/>
        </w:rPr>
        <w:fldChar w:fldCharType="end"/>
      </w:r>
      <w:r>
        <w:rPr>
          <w:rStyle w:val="31"/>
          <w:rFonts w:hint="eastAsia" w:ascii="宋体" w:cs="宋体"/>
          <w:b/>
          <w:bCs/>
          <w:color w:val="auto"/>
          <w:sz w:val="24"/>
          <w:lang w:val="zh-CN"/>
        </w:rPr>
        <w:t>。</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6AD36C37">
      <w:pPr>
        <w:widowControl/>
        <w:shd w:val="clear" w:color="auto" w:fill="FFFFFF"/>
        <w:spacing w:line="360" w:lineRule="auto"/>
        <w:ind w:firstLine="600"/>
        <w:jc w:val="left"/>
        <w:rPr>
          <w:rFonts w:hint="eastAsia" w:ascii="宋体" w:hAnsi="宋体" w:eastAsia="宋体" w:cs="新宋体"/>
          <w:sz w:val="24"/>
          <w:lang w:val="zh-CN"/>
        </w:rPr>
      </w:pPr>
      <w:r>
        <w:rPr>
          <w:rFonts w:hint="eastAsia" w:ascii="宋体" w:hAnsi="宋体" w:eastAsia="宋体" w:cs="新宋体"/>
          <w:sz w:val="24"/>
          <w:lang w:val="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099F4A5C">
      <w:pPr>
        <w:widowControl/>
        <w:shd w:val="clear" w:color="auto" w:fill="FFFFFF"/>
        <w:spacing w:line="360" w:lineRule="auto"/>
        <w:ind w:firstLine="600"/>
        <w:jc w:val="left"/>
        <w:rPr>
          <w:rFonts w:hint="eastAsia" w:ascii="宋体" w:hAnsi="宋体" w:eastAsia="宋体" w:cs="新宋体"/>
          <w:sz w:val="24"/>
          <w:lang w:val="zh-CN"/>
        </w:rPr>
      </w:pPr>
      <w:r>
        <w:rPr>
          <w:rFonts w:hint="eastAsia" w:ascii="宋体" w:hAnsi="宋体" w:eastAsia="宋体" w:cs="新宋体"/>
          <w:sz w:val="24"/>
          <w:lang w:val="zh-CN"/>
        </w:rPr>
        <w:t>1、项目质量按照国家相关标准、行业标准、地方标准或者其他标准、规范验收；</w:t>
      </w:r>
    </w:p>
    <w:p w14:paraId="2079E814">
      <w:pPr>
        <w:widowControl/>
        <w:shd w:val="clear" w:color="auto" w:fill="FFFFFF"/>
        <w:spacing w:line="360" w:lineRule="auto"/>
        <w:ind w:firstLine="600"/>
        <w:jc w:val="left"/>
        <w:rPr>
          <w:rFonts w:hint="eastAsia" w:ascii="宋体" w:hAnsi="宋体" w:eastAsia="宋体" w:cs="新宋体"/>
          <w:sz w:val="24"/>
          <w:lang w:val="zh-CN"/>
        </w:rPr>
      </w:pPr>
      <w:r>
        <w:rPr>
          <w:rFonts w:hint="eastAsia" w:ascii="宋体" w:hAnsi="宋体" w:eastAsia="宋体" w:cs="新宋体"/>
          <w:sz w:val="24"/>
          <w:lang w:val="zh-CN"/>
        </w:rPr>
        <w:t>2、按照招标文件要求、投标文件响应和承诺验收；</w:t>
      </w:r>
    </w:p>
    <w:p w14:paraId="20326C51">
      <w:pPr>
        <w:widowControl/>
        <w:shd w:val="clear" w:color="auto" w:fill="FFFFFF"/>
        <w:spacing w:line="360" w:lineRule="auto"/>
        <w:ind w:firstLine="600"/>
        <w:jc w:val="left"/>
        <w:rPr>
          <w:rFonts w:hint="eastAsia" w:ascii="宋体" w:hAnsi="宋体" w:eastAsia="宋体" w:cs="新宋体"/>
          <w:sz w:val="24"/>
          <w:lang w:val="zh-CN"/>
        </w:rPr>
      </w:pPr>
      <w:r>
        <w:rPr>
          <w:rFonts w:hint="eastAsia" w:ascii="宋体" w:hAnsi="宋体" w:eastAsia="宋体" w:cs="新宋体"/>
          <w:sz w:val="24"/>
          <w:lang w:val="zh-CN"/>
        </w:rPr>
        <w:t>3.本项目验收如需要第三方验收，中标方将承担所有产生的费用。</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101DAE87">
      <w:pPr>
        <w:widowControl/>
        <w:shd w:val="clear" w:color="auto" w:fill="FFFFFF"/>
        <w:spacing w:line="360" w:lineRule="auto"/>
        <w:ind w:firstLine="600"/>
        <w:jc w:val="left"/>
        <w:rPr>
          <w:rFonts w:ascii="宋体" w:hAnsi="宋体" w:cs="新宋体"/>
          <w:sz w:val="24"/>
          <w:lang w:val="zh-CN"/>
        </w:rPr>
      </w:pPr>
      <w:r>
        <w:rPr>
          <w:rFonts w:hint="eastAsia" w:ascii="宋体" w:hAnsi="宋体" w:cs="新宋体"/>
          <w:sz w:val="24"/>
          <w:lang w:val="zh-CN"/>
        </w:rPr>
        <w:t>（1）支付方式：按照合同约定，经验收合格后申请支付。</w:t>
      </w:r>
    </w:p>
    <w:p w14:paraId="70AF1982">
      <w:pPr>
        <w:widowControl/>
        <w:shd w:val="clear" w:color="auto" w:fill="FFFFFF"/>
        <w:spacing w:line="360" w:lineRule="auto"/>
        <w:ind w:firstLine="600"/>
        <w:jc w:val="left"/>
        <w:rPr>
          <w:rFonts w:ascii="宋体" w:hAnsi="宋体" w:eastAsia="宋体"/>
          <w:szCs w:val="21"/>
        </w:rPr>
      </w:pPr>
      <w:r>
        <w:rPr>
          <w:rFonts w:hint="eastAsia" w:ascii="宋体" w:hAnsi="宋体" w:cs="新宋体"/>
          <w:sz w:val="24"/>
          <w:lang w:val="zh-CN"/>
        </w:rPr>
        <w:t>（2）支付时间及条件：以合同为准。</w:t>
      </w:r>
    </w:p>
    <w:p w14:paraId="60185310">
      <w:pPr>
        <w:pStyle w:val="32"/>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widowControl/>
              <w:shd w:val="clear" w:color="auto" w:fill="FFFFFF"/>
              <w:spacing w:line="560" w:lineRule="exact"/>
              <w:jc w:val="left"/>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禹州市房产交易租赁管理中心便民利企服务提升项目（不见面开标）</w:t>
            </w:r>
          </w:p>
          <w:p w14:paraId="2E408C53">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5027</w:t>
            </w:r>
            <w:bookmarkStart w:id="1" w:name="_GoBack"/>
            <w:bookmarkEnd w:id="1"/>
          </w:p>
          <w:p w14:paraId="06702FF3">
            <w:pPr>
              <w:autoSpaceDE w:val="0"/>
              <w:autoSpaceDN w:val="0"/>
              <w:adjustRightInd w:val="0"/>
              <w:spacing w:line="360" w:lineRule="auto"/>
              <w:jc w:val="left"/>
              <w:rPr>
                <w:rFonts w:hint="default"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lang w:val="en-US" w:eastAsia="zh-CN"/>
              </w:rPr>
              <w:t>交付（服务、完工）时间：</w:t>
            </w:r>
            <w:r>
              <w:rPr>
                <w:rFonts w:hint="eastAsia" w:asciiTheme="minorEastAsia" w:hAnsiTheme="minorEastAsia" w:eastAsiaTheme="minorEastAsia" w:cstheme="minorEastAsia"/>
                <w:kern w:val="2"/>
                <w:sz w:val="21"/>
                <w:szCs w:val="21"/>
                <w:lang w:val="en-US" w:eastAsia="zh-CN" w:bidi="ar-SA"/>
              </w:rPr>
              <w:t>合同签订后30日历天</w:t>
            </w:r>
          </w:p>
          <w:p w14:paraId="0AA6FA72">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w:t>
            </w:r>
            <w:r>
              <w:rPr>
                <w:rFonts w:hint="eastAsia" w:asciiTheme="minorEastAsia" w:hAnsiTheme="minorEastAsia" w:eastAsiaTheme="minorEastAsia" w:cstheme="minorEastAsia"/>
                <w:kern w:val="2"/>
                <w:sz w:val="21"/>
                <w:szCs w:val="21"/>
                <w:lang w:val="en-US" w:eastAsia="zh-CN" w:bidi="ar-SA"/>
              </w:rPr>
              <w:t>禹州市房产交易租赁管理中心</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E176EF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采购人名称：禹州市房产交易租赁管理中心</w:t>
            </w:r>
          </w:p>
          <w:p w14:paraId="59216A7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地址：禹州市西大街228号</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赵</w:t>
            </w:r>
            <w:r>
              <w:rPr>
                <w:rFonts w:hint="eastAsia" w:asciiTheme="minorEastAsia" w:hAnsiTheme="minorEastAsia" w:eastAsiaTheme="minorEastAsia" w:cstheme="minorEastAsia"/>
                <w:kern w:val="2"/>
                <w:sz w:val="21"/>
                <w:szCs w:val="21"/>
                <w:lang w:val="en-US" w:eastAsia="zh-CN" w:bidi="ar-SA"/>
              </w:rPr>
              <w:t>先生</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auto"/>
                <w:szCs w:val="21"/>
                <w:shd w:val="clear" w:color="auto" w:fill="FFFFFF"/>
                <w:lang w:val="en-US" w:eastAsia="zh-CN"/>
              </w:rPr>
              <w:t>17516258585</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朱先生</w:t>
            </w:r>
            <w:r>
              <w:rPr>
                <w:rFonts w:hint="eastAsia" w:cs="仿宋_GB2312" w:asciiTheme="minorEastAsia" w:hAnsiTheme="minorEastAsia"/>
                <w:szCs w:val="21"/>
              </w:rPr>
              <w:t xml:space="preserve">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color w:val="000000" w:themeColor="text1"/>
                <w:szCs w:val="21"/>
                <w:lang w:val="en-US" w:eastAsia="zh-CN"/>
                <w14:textFill>
                  <w14:solidFill>
                    <w14:schemeClr w14:val="tx1"/>
                  </w14:solidFill>
                </w14:textFill>
              </w:rPr>
              <w:t>1036000.00元</w:t>
            </w:r>
            <w:r>
              <w:rPr>
                <w:rFonts w:hint="eastAsia" w:cs="宋体" w:asciiTheme="minorEastAsia" w:hAnsiTheme="minorEastAsia"/>
                <w:color w:val="000000" w:themeColor="text1"/>
                <w:szCs w:val="21"/>
                <w:lang w:val="zh-CN"/>
                <w14:textFill>
                  <w14:solidFill>
                    <w14:schemeClr w14:val="tx1"/>
                  </w14:solidFill>
                </w14:textFill>
              </w:rPr>
              <w:t>，超出</w:t>
            </w:r>
            <w:r>
              <w:rPr>
                <w:rFonts w:hint="eastAsia" w:cs="宋体" w:asciiTheme="minorEastAsia" w:hAnsiTheme="minorEastAsia"/>
                <w:bCs/>
                <w:szCs w:val="21"/>
                <w:lang w:val="zh-CN"/>
              </w:rPr>
              <w:t>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hint="eastAsia" w:cs="仿宋_GB2312" w:asciiTheme="minorEastAsia" w:hAnsiTheme="minorEastAsia" w:eastAsiaTheme="minorEastAsia"/>
                <w:szCs w:val="21"/>
                <w:lang w:val="en-US" w:eastAsia="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r>
              <w:rPr>
                <w:rFonts w:hint="eastAsia" w:cs="仿宋_GB2312" w:asciiTheme="minorEastAsia" w:hAnsiTheme="minorEastAsia"/>
                <w:szCs w:val="21"/>
                <w:lang w:val="en-US" w:eastAsia="zh-CN"/>
              </w:rPr>
              <w:t xml:space="preserve"> </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9</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8</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7"/>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2"/>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hint="eastAsia"/>
                <w:lang w:val="en-US" w:eastAsia="zh-CN"/>
              </w:rPr>
              <w:t>工业、软件和信息技术服务业</w:t>
            </w:r>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default" w:cs="宋体" w:asciiTheme="minorEastAsia" w:hAnsiTheme="minorEastAsia" w:eastAsiaTheme="minorEastAsia"/>
                <w:bCs/>
                <w:color w:val="000000" w:themeColor="text1"/>
                <w:szCs w:val="21"/>
                <w:lang w:val="en-US" w:eastAsia="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本项目强制节能产品：</w:t>
            </w:r>
            <w:r>
              <w:rPr>
                <w:rFonts w:hint="eastAsia" w:cs="宋体" w:asciiTheme="minorEastAsia" w:hAnsiTheme="minorEastAsia"/>
                <w:bCs/>
                <w:color w:val="000000" w:themeColor="text1"/>
                <w:szCs w:val="21"/>
                <w:lang w:val="en-US" w:eastAsia="zh-CN"/>
                <w14:textFill>
                  <w14:solidFill>
                    <w14:schemeClr w14:val="tx1"/>
                  </w14:solidFill>
                </w14:textFill>
              </w:rPr>
              <w:t>无</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color w:val="000000" w:themeColor="text1"/>
                <w:szCs w:val="21"/>
                <w:lang w:val="en-US" w:eastAsia="zh-CN"/>
                <w14:textFill>
                  <w14:solidFill>
                    <w14:schemeClr w14:val="tx1"/>
                  </w14:solidFill>
                </w14:textFill>
              </w:rPr>
            </w:pPr>
            <w:r>
              <w:rPr>
                <w:rFonts w:hint="eastAsia" w:cs="宋体" w:asciiTheme="minorEastAsia" w:hAnsiTheme="minorEastAsia"/>
                <w:bCs/>
                <w:color w:val="000000" w:themeColor="text1"/>
                <w:szCs w:val="21"/>
                <w:lang w:val="en-US" w:eastAsia="zh-CN"/>
                <w14:textFill>
                  <w14:solidFill>
                    <w14:schemeClr w14:val="tx1"/>
                  </w14:solidFill>
                </w14:textFill>
              </w:rPr>
              <w:t>1、</w:t>
            </w:r>
            <w:r>
              <w:rPr>
                <w:rFonts w:hint="eastAsia" w:cs="宋体" w:asciiTheme="minorEastAsia" w:hAnsiTheme="minorEastAsia"/>
                <w:bCs/>
                <w:color w:val="000000" w:themeColor="text1"/>
                <w:szCs w:val="21"/>
                <w:lang w:val="zh-CN"/>
                <w14:textFill>
                  <w14:solidFill>
                    <w14:schemeClr w14:val="tx1"/>
                  </w14:solidFill>
                </w14:textFill>
              </w:rPr>
              <w:t>本项目网络关键设备：</w:t>
            </w:r>
            <w:r>
              <w:rPr>
                <w:rFonts w:hint="eastAsia" w:cs="宋体" w:asciiTheme="minorEastAsia" w:hAnsiTheme="minorEastAsia"/>
                <w:bCs/>
                <w:color w:val="000000" w:themeColor="text1"/>
                <w:szCs w:val="21"/>
                <w:lang w:val="en-US" w:eastAsia="zh-CN"/>
                <w14:textFill>
                  <w14:solidFill>
                    <w14:schemeClr w14:val="tx1"/>
                  </w14:solidFill>
                </w14:textFill>
              </w:rPr>
              <w:t>无</w:t>
            </w:r>
            <w:r>
              <w:rPr>
                <w:rFonts w:hint="eastAsia" w:cs="宋体" w:asciiTheme="minorEastAsia" w:hAnsiTheme="minorEastAsia"/>
                <w:bCs/>
                <w:color w:val="000000" w:themeColor="text1"/>
                <w:szCs w:val="21"/>
                <w:lang w:val="zh-CN"/>
                <w14:textFill>
                  <w14:solidFill>
                    <w14:schemeClr w14:val="tx1"/>
                  </w14:solidFill>
                </w14:textFill>
              </w:rPr>
              <w:t>；网络安全专用产品：</w:t>
            </w:r>
            <w:r>
              <w:rPr>
                <w:rFonts w:hint="eastAsia" w:cs="宋体" w:asciiTheme="minorEastAsia" w:hAnsiTheme="minorEastAsia"/>
                <w:bCs/>
                <w:color w:val="000000" w:themeColor="text1"/>
                <w:szCs w:val="21"/>
                <w:lang w:val="en-US" w:eastAsia="zh-CN"/>
                <w14:textFill>
                  <w14:solidFill>
                    <w14:schemeClr w14:val="tx1"/>
                  </w14:solidFill>
                </w14:textFill>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w:t>
            </w:r>
            <w:r>
              <w:rPr>
                <w:rFonts w:hint="eastAsia" w:ascii="Calibri" w:hAnsi="Calibri" w:cs="Calibri"/>
                <w:b w:val="0"/>
                <w:bCs w:val="0"/>
                <w:i w:val="0"/>
                <w:iCs w:val="0"/>
                <w:color w:val="FF0000"/>
                <w:spacing w:val="0"/>
                <w:w w:val="100"/>
                <w:sz w:val="21"/>
                <w:szCs w:val="21"/>
                <w:vertAlign w:val="baseline"/>
              </w:rPr>
              <w:t>http</w:t>
            </w:r>
            <w:r>
              <w:rPr>
                <w:rFonts w:hint="eastAsia" w:ascii="Calibri" w:hAnsi="Calibri" w:cs="Calibri"/>
                <w:b w:val="0"/>
                <w:bCs w:val="0"/>
                <w:i w:val="0"/>
                <w:iCs w:val="0"/>
                <w:color w:val="FF0000"/>
                <w:spacing w:val="0"/>
                <w:w w:val="100"/>
                <w:sz w:val="21"/>
                <w:szCs w:val="21"/>
                <w:vertAlign w:val="baseline"/>
                <w:lang w:val="en-US" w:eastAsia="zh-CN"/>
              </w:rPr>
              <w:t>s</w:t>
            </w:r>
            <w:r>
              <w:rPr>
                <w:rFonts w:hint="eastAsia" w:ascii="Calibri" w:hAnsi="Calibri" w:cs="Calibri"/>
                <w:b w:val="0"/>
                <w:bCs w:val="0"/>
                <w:i w:val="0"/>
                <w:iCs w:val="0"/>
                <w:color w:val="FF0000"/>
                <w:spacing w:val="0"/>
                <w:w w:val="100"/>
                <w:sz w:val="21"/>
                <w:szCs w:val="21"/>
                <w:vertAlign w:val="baseline"/>
              </w:rPr>
              <w:t>://ggzy.xuchang.gov.cn</w:t>
            </w:r>
            <w:r>
              <w:rPr>
                <w:rFonts w:hint="default" w:ascii="Calibri" w:hAnsi="Calibri" w:cs="Calibri"/>
                <w:b w:val="0"/>
                <w:bCs w:val="0"/>
                <w:i w:val="0"/>
                <w:iCs w:val="0"/>
                <w:color w:val="FF0000"/>
                <w:spacing w:val="0"/>
                <w:w w:val="100"/>
                <w:sz w:val="21"/>
                <w:szCs w:val="21"/>
                <w:vertAlign w:val="baseline"/>
              </w:rPr>
              <w:t>/tpbidder）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59714E13">
      <w:pPr>
        <w:tabs>
          <w:tab w:val="left" w:pos="1260"/>
        </w:tabs>
        <w:autoSpaceDE w:val="0"/>
        <w:autoSpaceDN w:val="0"/>
        <w:adjustRightInd w:val="0"/>
        <w:spacing w:line="360" w:lineRule="auto"/>
        <w:contextualSpacing/>
        <w:jc w:val="both"/>
        <w:outlineLvl w:val="0"/>
        <w:rPr>
          <w:rFonts w:hint="eastAsia" w:cs="宋体" w:asciiTheme="majorEastAsia" w:hAnsiTheme="majorEastAsia" w:eastAsiaTheme="majorEastAsia"/>
          <w:b/>
          <w:kern w:val="0"/>
          <w:sz w:val="32"/>
          <w:szCs w:val="32"/>
        </w:rPr>
      </w:pPr>
    </w:p>
    <w:p w14:paraId="7967A099">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6021091E">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186507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00EBF1F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20F7F1A5">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1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4"/>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1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19"/>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4"/>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27"/>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3"/>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3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3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3"/>
        </w:numPr>
        <w:autoSpaceDE w:val="0"/>
        <w:autoSpaceDN w:val="0"/>
        <w:spacing w:line="360" w:lineRule="auto"/>
        <w:ind w:firstLineChars="0"/>
        <w:contextualSpacing/>
        <w:rPr>
          <w:rFonts w:ascii="ˎ̥" w:hAnsi="ˎ̥"/>
          <w:vanish/>
        </w:rPr>
      </w:pPr>
    </w:p>
    <w:p w14:paraId="1DEFB98E">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37"/>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3"/>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39"/>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4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47"/>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2"/>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5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41"/>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58"/>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58"/>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58"/>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59"/>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5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5"/>
        <w:numPr>
          <w:ilvl w:val="0"/>
          <w:numId w:val="40"/>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60"/>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2"/>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450E4097">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1F7D83F">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0DA292C2">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w:t>
      </w:r>
      <w:r>
        <w:rPr>
          <w:rFonts w:hint="eastAsia" w:cs="宋体" w:asciiTheme="minorEastAsia" w:hAnsiTheme="minorEastAsia"/>
          <w:kern w:val="0"/>
          <w:szCs w:val="21"/>
          <w:lang w:eastAsia="zh-CN"/>
        </w:rPr>
        <w:t>，</w:t>
      </w:r>
      <w:r>
        <w:rPr>
          <w:rFonts w:hint="eastAsia" w:cs="宋体" w:asciiTheme="minorEastAsia" w:hAnsiTheme="minorEastAsia"/>
          <w:kern w:val="0"/>
          <w:szCs w:val="21"/>
        </w:rPr>
        <w:t>供应商</w:t>
      </w:r>
      <w:r>
        <w:rPr>
          <w:rFonts w:hint="eastAsia" w:cs="宋体" w:asciiTheme="minorEastAsia" w:hAnsiTheme="minorEastAsia"/>
          <w:kern w:val="0"/>
          <w:szCs w:val="21"/>
          <w:lang w:val="en-US" w:eastAsia="zh-CN"/>
        </w:rPr>
        <w:t>投标时</w:t>
      </w:r>
      <w:r>
        <w:rPr>
          <w:rFonts w:hint="eastAsia" w:cs="宋体" w:asciiTheme="minorEastAsia" w:hAnsiTheme="minorEastAsia"/>
          <w:kern w:val="0"/>
          <w:szCs w:val="21"/>
        </w:rPr>
        <w:t>须对此项做出响应</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格式自拟</w:t>
      </w:r>
      <w:r>
        <w:rPr>
          <w:rFonts w:hint="eastAsia" w:cs="宋体" w:asciiTheme="minorEastAsia" w:hAnsiTheme="minorEastAsia"/>
          <w:kern w:val="0"/>
          <w:szCs w:val="21"/>
          <w:lang w:eastAsia="zh-CN"/>
        </w:rPr>
        <w:t>），</w:t>
      </w:r>
      <w:r>
        <w:rPr>
          <w:rFonts w:hint="eastAsia" w:cs="宋体" w:asciiTheme="minorEastAsia" w:hAnsiTheme="minorEastAsia"/>
          <w:kern w:val="0"/>
          <w:szCs w:val="21"/>
        </w:rPr>
        <w:t>否则有可能导致响应被拒绝，其风险由供应商自行承担。</w:t>
      </w:r>
    </w:p>
    <w:p w14:paraId="5F310C04">
      <w:pPr>
        <w:pStyle w:val="32"/>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2"/>
      </w:pPr>
    </w:p>
    <w:p w14:paraId="4A2EB72F">
      <w:pPr>
        <w:pStyle w:val="55"/>
        <w:numPr>
          <w:ilvl w:val="0"/>
          <w:numId w:val="63"/>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63"/>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8"/>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151A3C25">
            <w:pPr>
              <w:spacing w:line="360" w:lineRule="auto"/>
              <w:jc w:val="center"/>
              <w:rPr>
                <w:rFonts w:hint="eastAsia" w:asciiTheme="minorEastAsia" w:hAnsiTheme="minorEastAsia" w:eastAsiaTheme="minorEastAsia" w:cstheme="minorEastAsia"/>
                <w:sz w:val="21"/>
                <w:szCs w:val="21"/>
                <w:lang w:eastAsia="zh-CN"/>
              </w:rPr>
            </w:pPr>
          </w:p>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1BC90458">
            <w:pPr>
              <w:spacing w:line="36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李朝峰</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635F6FFB">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2"/>
        <w:ind w:left="0" w:leftChars="0" w:firstLine="0" w:firstLineChars="0"/>
        <w:rPr>
          <w:rFonts w:ascii="宋体" w:hAnsi="宋体" w:eastAsia="宋体" w:cs="宋体"/>
          <w:sz w:val="24"/>
          <w:szCs w:val="24"/>
        </w:rPr>
      </w:pPr>
    </w:p>
    <w:p w14:paraId="342445F6">
      <w:pPr>
        <w:pStyle w:val="8"/>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6"/>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6"/>
        <w:spacing w:line="360" w:lineRule="auto"/>
        <w:contextualSpacing/>
        <w:rPr>
          <w:rFonts w:cs="仿宋_GB2312" w:asciiTheme="minorEastAsia" w:hAnsiTheme="minorEastAsia"/>
          <w:lang w:val="zh-CN"/>
        </w:rPr>
      </w:pPr>
    </w:p>
    <w:p w14:paraId="48F134FB">
      <w:pPr>
        <w:pStyle w:val="16"/>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6"/>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4FBAAE45">
      <w:pPr>
        <w:pStyle w:val="16"/>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6"/>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6"/>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6"/>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5"/>
        <w:numPr>
          <w:ilvl w:val="0"/>
          <w:numId w:val="69"/>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w:t>
      </w:r>
      <w:r>
        <w:rPr>
          <w:rFonts w:hint="eastAsia" w:ascii="宋体" w:hAnsi="宋体" w:eastAsia="宋体"/>
          <w:szCs w:val="21"/>
          <w:lang w:val="en-US" w:eastAsia="zh-CN"/>
        </w:rPr>
        <w:t>图</w:t>
      </w:r>
      <w:r>
        <w:rPr>
          <w:rFonts w:hint="eastAsia" w:ascii="宋体" w:hAnsi="宋体" w:eastAsia="宋体"/>
          <w:szCs w:val="21"/>
        </w:rPr>
        <w:t>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w:t>
      </w:r>
      <w:r>
        <w:rPr>
          <w:rFonts w:hint="eastAsia" w:ascii="宋体" w:hAnsi="宋体" w:eastAsia="宋体"/>
          <w:szCs w:val="21"/>
          <w:lang w:val="en-US" w:eastAsia="zh-CN"/>
        </w:rPr>
        <w:t>供应</w:t>
      </w:r>
      <w:r>
        <w:rPr>
          <w:rFonts w:hint="eastAsia" w:ascii="宋体" w:hAnsi="宋体" w:eastAsia="宋体"/>
          <w:szCs w:val="21"/>
        </w:rPr>
        <w:t>、运输、安装调试。免费培训、售后服务。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w:t>
      </w:r>
      <w:r>
        <w:rPr>
          <w:rFonts w:hint="eastAsia" w:ascii="宋体" w:hAnsi="宋体" w:eastAsia="宋体"/>
          <w:szCs w:val="21"/>
          <w:lang w:val="en-US" w:eastAsia="zh-CN"/>
        </w:rPr>
        <w:t>快递</w:t>
      </w:r>
      <w:r>
        <w:rPr>
          <w:rFonts w:hint="eastAsia" w:ascii="宋体" w:hAnsi="宋体" w:eastAsia="宋体"/>
          <w:szCs w:val="21"/>
        </w:rPr>
        <w:t>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w:t>
      </w:r>
      <w:r>
        <w:rPr>
          <w:rFonts w:hint="eastAsia" w:ascii="宋体" w:hAnsi="宋体" w:eastAsia="宋体"/>
          <w:szCs w:val="21"/>
          <w:lang w:val="en-US" w:eastAsia="zh-CN"/>
        </w:rPr>
        <w:t>纰漏</w:t>
      </w:r>
      <w:r>
        <w:rPr>
          <w:rFonts w:hint="eastAsia" w:ascii="宋体" w:hAnsi="宋体" w:eastAsia="宋体"/>
          <w:szCs w:val="21"/>
        </w:rPr>
        <w:t>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w:t>
      </w:r>
      <w:r>
        <w:rPr>
          <w:rFonts w:hint="eastAsia" w:ascii="宋体" w:hAnsi="宋体" w:eastAsia="宋体"/>
          <w:szCs w:val="21"/>
          <w:lang w:val="en-US" w:eastAsia="zh-CN"/>
        </w:rPr>
        <w:t>违约</w:t>
      </w:r>
      <w:r>
        <w:rPr>
          <w:rFonts w:hint="eastAsia" w:ascii="宋体" w:hAnsi="宋体" w:eastAsia="宋体"/>
          <w:szCs w:val="21"/>
        </w:rPr>
        <w:t>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w:t>
      </w:r>
      <w:r>
        <w:rPr>
          <w:rFonts w:hint="eastAsia" w:ascii="宋体" w:hAnsi="宋体" w:eastAsia="宋体"/>
          <w:szCs w:val="21"/>
          <w:lang w:val="en-US" w:eastAsia="zh-CN"/>
        </w:rPr>
        <w:t>赔偿</w:t>
      </w:r>
      <w:r>
        <w:rPr>
          <w:rFonts w:hint="eastAsia" w:ascii="宋体" w:hAnsi="宋体" w:eastAsia="宋体"/>
          <w:szCs w:val="21"/>
        </w:rPr>
        <w:t>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w:t>
      </w:r>
      <w:r>
        <w:rPr>
          <w:rFonts w:hint="eastAsia" w:ascii="宋体" w:hAnsi="宋体" w:eastAsia="宋体"/>
          <w:szCs w:val="21"/>
          <w:lang w:val="en-US" w:eastAsia="zh-CN"/>
        </w:rPr>
        <w:t>保密</w:t>
      </w:r>
      <w:r>
        <w:rPr>
          <w:rFonts w:hint="eastAsia" w:ascii="宋体" w:hAnsi="宋体" w:eastAsia="宋体"/>
          <w:szCs w:val="21"/>
        </w:rPr>
        <w:t>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w:t>
      </w:r>
      <w:r>
        <w:rPr>
          <w:rFonts w:hint="eastAsia" w:ascii="宋体" w:hAnsi="宋体" w:eastAsia="宋体"/>
          <w:szCs w:val="21"/>
          <w:lang w:val="en-US" w:eastAsia="zh-CN"/>
        </w:rPr>
        <w:t>诉讼</w:t>
      </w:r>
      <w:r>
        <w:rPr>
          <w:rFonts w:hint="eastAsia" w:ascii="宋体" w:hAnsi="宋体" w:eastAsia="宋体"/>
          <w:szCs w:val="21"/>
        </w:rPr>
        <w:t>。</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w:t>
      </w:r>
      <w:r>
        <w:rPr>
          <w:rFonts w:hint="eastAsia" w:ascii="宋体" w:hAnsi="宋体" w:eastAsia="宋体"/>
          <w:szCs w:val="21"/>
          <w:lang w:val="en-US" w:eastAsia="zh-CN"/>
        </w:rPr>
        <w:t>合同</w:t>
      </w:r>
      <w:r>
        <w:rPr>
          <w:rFonts w:hint="eastAsia" w:ascii="宋体" w:hAnsi="宋体" w:eastAsia="宋体"/>
          <w:szCs w:val="21"/>
        </w:rPr>
        <w:t>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w:t>
      </w:r>
      <w:r>
        <w:rPr>
          <w:rFonts w:hint="eastAsia" w:ascii="宋体" w:hAnsi="宋体" w:eastAsia="宋体"/>
          <w:szCs w:val="21"/>
          <w:lang w:val="en-US" w:eastAsia="zh-CN"/>
        </w:rPr>
        <w:t>商洽</w:t>
      </w:r>
      <w:r>
        <w:rPr>
          <w:rFonts w:hint="eastAsia" w:ascii="宋体" w:hAnsi="宋体" w:eastAsia="宋体"/>
          <w:szCs w:val="21"/>
        </w:rPr>
        <w:t>，双方达成融资意向后，中标（成交）供应商与采购人签订政府采购合同，合同中供应商的银行账户要与合同融资的</w:t>
      </w:r>
      <w:r>
        <w:rPr>
          <w:rFonts w:hint="eastAsia" w:ascii="宋体" w:hAnsi="宋体" w:eastAsia="宋体"/>
          <w:szCs w:val="21"/>
          <w:lang w:val="en-US" w:eastAsia="zh-CN"/>
        </w:rPr>
        <w:t>汇缴</w:t>
      </w:r>
      <w:r>
        <w:rPr>
          <w:rFonts w:hint="eastAsia" w:ascii="宋体" w:hAnsi="宋体" w:eastAsia="宋体"/>
          <w:szCs w:val="21"/>
        </w:rPr>
        <w:t>账户一致。中标（成交）供应商和贷款金融机构应及时将政府采购合同作为融资质押的信息告知采购人。采购人要从严加强合同付款账户管理，未经贷款银行同意，不随意更改合同</w:t>
      </w:r>
      <w:r>
        <w:rPr>
          <w:rFonts w:hint="eastAsia" w:ascii="宋体" w:hAnsi="宋体" w:eastAsia="宋体"/>
          <w:szCs w:val="21"/>
          <w:lang w:val="en-US" w:eastAsia="zh-CN"/>
        </w:rPr>
        <w:t>付款</w:t>
      </w:r>
      <w:r>
        <w:rPr>
          <w:rFonts w:hint="eastAsia" w:ascii="宋体" w:hAnsi="宋体" w:eastAsia="宋体"/>
          <w:szCs w:val="21"/>
        </w:rPr>
        <w:t>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w:t>
      </w:r>
      <w:r>
        <w:rPr>
          <w:rFonts w:hint="eastAsia" w:ascii="宋体" w:hAnsi="宋体" w:eastAsia="宋体"/>
          <w:szCs w:val="21"/>
          <w:lang w:val="en-US" w:eastAsia="zh-CN"/>
        </w:rPr>
        <w:t>合同</w:t>
      </w:r>
      <w:r>
        <w:rPr>
          <w:rFonts w:hint="eastAsia" w:ascii="宋体" w:hAnsi="宋体" w:eastAsia="宋体"/>
          <w:szCs w:val="21"/>
        </w:rPr>
        <w:t>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w:t>
      </w:r>
      <w:r>
        <w:rPr>
          <w:rFonts w:hint="eastAsia" w:ascii="宋体" w:hAnsi="宋体" w:eastAsia="宋体"/>
          <w:szCs w:val="21"/>
          <w:lang w:val="en-US" w:eastAsia="zh-CN"/>
        </w:rPr>
        <w:t>合同</w:t>
      </w:r>
      <w:r>
        <w:rPr>
          <w:rFonts w:hint="eastAsia" w:ascii="宋体" w:hAnsi="宋体" w:eastAsia="宋体"/>
          <w:szCs w:val="21"/>
        </w:rPr>
        <w:t>资金准确支付到贷款银行确认的回款账户。采购人不得</w:t>
      </w:r>
      <w:r>
        <w:rPr>
          <w:rFonts w:hint="eastAsia" w:ascii="宋体" w:hAnsi="宋体" w:eastAsia="宋体"/>
          <w:szCs w:val="21"/>
          <w:lang w:val="en-US" w:eastAsia="zh-CN"/>
        </w:rPr>
        <w:t>未经</w:t>
      </w:r>
      <w:r>
        <w:rPr>
          <w:rFonts w:hint="eastAsia" w:ascii="宋体" w:hAnsi="宋体" w:eastAsia="宋体"/>
          <w:szCs w:val="21"/>
        </w:rPr>
        <w:t>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6"/>
        <w:spacing w:line="360" w:lineRule="auto"/>
        <w:contextualSpacing/>
        <w:jc w:val="center"/>
        <w:rPr>
          <w:rFonts w:cs="宋体" w:asciiTheme="majorEastAsia" w:hAnsiTheme="majorEastAsia" w:eastAsiaTheme="majorEastAsia"/>
          <w:b/>
          <w:kern w:val="0"/>
          <w:sz w:val="36"/>
          <w:szCs w:val="36"/>
        </w:rPr>
      </w:pPr>
    </w:p>
    <w:p w14:paraId="41147F8D">
      <w:pPr>
        <w:pStyle w:val="16"/>
        <w:spacing w:line="360" w:lineRule="auto"/>
        <w:contextualSpacing/>
        <w:jc w:val="center"/>
        <w:rPr>
          <w:rFonts w:cs="宋体" w:asciiTheme="majorEastAsia" w:hAnsiTheme="majorEastAsia" w:eastAsiaTheme="majorEastAsia"/>
          <w:b/>
          <w:kern w:val="0"/>
          <w:sz w:val="36"/>
          <w:szCs w:val="36"/>
        </w:rPr>
      </w:pPr>
    </w:p>
    <w:p w14:paraId="42EDA41E">
      <w:pPr>
        <w:pStyle w:val="16"/>
        <w:spacing w:line="360" w:lineRule="auto"/>
        <w:contextualSpacing/>
        <w:jc w:val="center"/>
        <w:rPr>
          <w:rFonts w:cs="宋体" w:asciiTheme="majorEastAsia" w:hAnsiTheme="majorEastAsia" w:eastAsiaTheme="majorEastAsia"/>
          <w:b/>
          <w:kern w:val="0"/>
          <w:sz w:val="36"/>
          <w:szCs w:val="36"/>
        </w:rPr>
      </w:pPr>
    </w:p>
    <w:p w14:paraId="34602ECD">
      <w:pPr>
        <w:pStyle w:val="16"/>
        <w:spacing w:line="360" w:lineRule="auto"/>
        <w:contextualSpacing/>
        <w:jc w:val="center"/>
        <w:rPr>
          <w:rFonts w:cs="宋体" w:asciiTheme="majorEastAsia" w:hAnsiTheme="majorEastAsia" w:eastAsiaTheme="majorEastAsia"/>
          <w:b/>
          <w:kern w:val="0"/>
          <w:sz w:val="36"/>
          <w:szCs w:val="36"/>
        </w:rPr>
      </w:pPr>
    </w:p>
    <w:p w14:paraId="21DFEA62">
      <w:pPr>
        <w:pStyle w:val="16"/>
        <w:spacing w:line="360" w:lineRule="auto"/>
        <w:contextualSpacing/>
        <w:jc w:val="center"/>
        <w:rPr>
          <w:rFonts w:cs="宋体" w:asciiTheme="majorEastAsia" w:hAnsiTheme="majorEastAsia" w:eastAsiaTheme="majorEastAsia"/>
          <w:b/>
          <w:kern w:val="0"/>
          <w:sz w:val="36"/>
          <w:szCs w:val="36"/>
        </w:rPr>
      </w:pPr>
    </w:p>
    <w:p w14:paraId="192A30AF">
      <w:pPr>
        <w:pStyle w:val="16"/>
        <w:spacing w:line="360" w:lineRule="auto"/>
        <w:contextualSpacing/>
        <w:jc w:val="center"/>
        <w:rPr>
          <w:rFonts w:cs="宋体" w:asciiTheme="majorEastAsia" w:hAnsiTheme="majorEastAsia" w:eastAsiaTheme="majorEastAsia"/>
          <w:b/>
          <w:kern w:val="0"/>
          <w:sz w:val="36"/>
          <w:szCs w:val="36"/>
        </w:rPr>
      </w:pPr>
    </w:p>
    <w:p w14:paraId="19A41FDA">
      <w:pPr>
        <w:pStyle w:val="16"/>
        <w:spacing w:line="360" w:lineRule="auto"/>
        <w:contextualSpacing/>
        <w:jc w:val="center"/>
        <w:rPr>
          <w:rFonts w:cs="宋体" w:asciiTheme="majorEastAsia" w:hAnsiTheme="majorEastAsia" w:eastAsiaTheme="majorEastAsia"/>
          <w:b/>
          <w:kern w:val="0"/>
          <w:sz w:val="36"/>
          <w:szCs w:val="36"/>
        </w:rPr>
      </w:pPr>
    </w:p>
    <w:p w14:paraId="07C6DA82">
      <w:pPr>
        <w:pStyle w:val="16"/>
        <w:spacing w:line="360" w:lineRule="auto"/>
        <w:contextualSpacing/>
        <w:jc w:val="center"/>
        <w:rPr>
          <w:rFonts w:cs="宋体" w:asciiTheme="majorEastAsia" w:hAnsiTheme="majorEastAsia" w:eastAsiaTheme="majorEastAsia"/>
          <w:b/>
          <w:kern w:val="0"/>
          <w:sz w:val="36"/>
          <w:szCs w:val="36"/>
        </w:rPr>
      </w:pPr>
    </w:p>
    <w:p w14:paraId="49844736">
      <w:pPr>
        <w:pStyle w:val="16"/>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6"/>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6"/>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6"/>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2"/>
        <w:rPr>
          <w:lang w:val="zh-CN"/>
        </w:rPr>
      </w:pPr>
    </w:p>
    <w:p w14:paraId="6418E7B1">
      <w:pPr>
        <w:pStyle w:val="32"/>
        <w:rPr>
          <w:lang w:val="zh-CN"/>
        </w:rPr>
      </w:pPr>
    </w:p>
    <w:p w14:paraId="6834617F">
      <w:pPr>
        <w:pStyle w:val="32"/>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6"/>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6"/>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6"/>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w:t>
      </w:r>
      <w:r>
        <w:rPr>
          <w:rFonts w:hint="eastAsia" w:cs="Arial" w:asciiTheme="minorEastAsia" w:hAnsiTheme="minorEastAsia" w:eastAsiaTheme="minorEastAsia"/>
          <w:sz w:val="21"/>
          <w:szCs w:val="21"/>
          <w:lang w:val="en-US" w:eastAsia="zh-CN"/>
        </w:rPr>
        <w:t>中华人民共和国</w:t>
      </w:r>
      <w:r>
        <w:rPr>
          <w:rFonts w:hint="eastAsia" w:cs="Arial" w:asciiTheme="minorEastAsia" w:hAnsiTheme="minorEastAsia" w:eastAsiaTheme="minorEastAsia"/>
          <w:sz w:val="21"/>
          <w:szCs w:val="21"/>
        </w:rPr>
        <w:t>政府采购法》第二十二条规定的条件；承诺如下：</w:t>
      </w:r>
    </w:p>
    <w:p w14:paraId="31FEBED6">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6"/>
        <w:adjustRightInd w:val="0"/>
        <w:snapToGrid w:val="0"/>
        <w:spacing w:line="360" w:lineRule="auto"/>
        <w:rPr>
          <w:rFonts w:asciiTheme="minorEastAsia" w:hAnsiTheme="minorEastAsia" w:eastAsiaTheme="minorEastAsia"/>
          <w:sz w:val="21"/>
          <w:szCs w:val="21"/>
        </w:rPr>
      </w:pPr>
    </w:p>
    <w:p w14:paraId="7F85629C">
      <w:pPr>
        <w:pStyle w:val="16"/>
        <w:adjustRightInd w:val="0"/>
        <w:snapToGrid w:val="0"/>
        <w:spacing w:line="360" w:lineRule="auto"/>
        <w:rPr>
          <w:rFonts w:asciiTheme="minorEastAsia" w:hAnsiTheme="minorEastAsia" w:eastAsiaTheme="minorEastAsia"/>
          <w:sz w:val="21"/>
          <w:szCs w:val="21"/>
        </w:rPr>
      </w:pPr>
    </w:p>
    <w:p w14:paraId="203D096D">
      <w:pPr>
        <w:pStyle w:val="1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w:t>
      </w:r>
      <w:r>
        <w:rPr>
          <w:rFonts w:hint="eastAsia" w:cs="Arial" w:asciiTheme="minorEastAsia" w:hAnsiTheme="minorEastAsia"/>
          <w:szCs w:val="21"/>
          <w:lang w:val="en-US" w:eastAsia="zh-CN"/>
        </w:rPr>
        <w:t>明</w:t>
      </w:r>
      <w:r>
        <w:rPr>
          <w:rFonts w:hint="eastAsia" w:cs="Arial" w:asciiTheme="minorEastAsia" w:hAnsiTheme="minorEastAsia"/>
          <w:szCs w:val="21"/>
        </w:rPr>
        <w:t>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w:t>
      </w:r>
      <w:r>
        <w:rPr>
          <w:rFonts w:hint="eastAsia" w:asciiTheme="minorEastAsia" w:hAnsiTheme="minorEastAsia"/>
          <w:szCs w:val="21"/>
          <w:lang w:val="en-US" w:eastAsia="zh-CN"/>
        </w:rPr>
        <w:t>明</w:t>
      </w:r>
      <w:r>
        <w:rPr>
          <w:rFonts w:hint="eastAsia" w:asciiTheme="minorEastAsia" w:hAnsiTheme="minorEastAsia"/>
          <w:szCs w:val="21"/>
        </w:rPr>
        <w:t>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szCs w:val="21"/>
          <w:lang w:val="en-US" w:eastAsia="zh-CN"/>
        </w:rPr>
        <w:t>中华人民共和国</w:t>
      </w:r>
      <w:r>
        <w:rPr>
          <w:rFonts w:cs="宋体" w:asciiTheme="minorEastAsia" w:hAnsiTheme="minorEastAsia"/>
          <w:szCs w:val="21"/>
          <w:lang w:val="zh-CN"/>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10"/>
        <w:rPr>
          <w:rFonts w:ascii="宋体" w:cs="宋体"/>
          <w:sz w:val="24"/>
          <w:lang w:val="zh-CN"/>
        </w:rPr>
      </w:pPr>
    </w:p>
    <w:p w14:paraId="00CBE165">
      <w:pPr>
        <w:pStyle w:val="10"/>
        <w:rPr>
          <w:rFonts w:ascii="宋体" w:cs="宋体"/>
          <w:sz w:val="24"/>
          <w:lang w:val="zh-CN"/>
        </w:rPr>
      </w:pPr>
    </w:p>
    <w:p w14:paraId="21A4412C">
      <w:pPr>
        <w:pStyle w:val="10"/>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w:t>
      </w:r>
      <w:r>
        <w:rPr>
          <w:rFonts w:hint="eastAsia" w:ascii="宋体" w:hAnsi="宋体"/>
          <w:b/>
          <w:bCs/>
          <w:sz w:val="24"/>
          <w:szCs w:val="24"/>
          <w:lang w:eastAsia="zh-CN"/>
        </w:rPr>
        <w:t>供应商</w:t>
      </w:r>
      <w:r>
        <w:rPr>
          <w:rFonts w:hint="eastAsia" w:ascii="宋体" w:hAnsi="宋体"/>
          <w:b/>
          <w:bCs/>
          <w:sz w:val="24"/>
          <w:szCs w:val="24"/>
        </w:rPr>
        <w:t>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w:t>
      </w:r>
      <w:r>
        <w:rPr>
          <w:rFonts w:hint="eastAsia" w:ascii="宋体" w:hAnsi="宋体"/>
          <w:b/>
          <w:bCs/>
          <w:sz w:val="24"/>
          <w:szCs w:val="24"/>
          <w:lang w:eastAsia="zh-CN"/>
        </w:rPr>
        <w:t>供应商</w:t>
      </w:r>
      <w:r>
        <w:rPr>
          <w:rFonts w:hint="eastAsia" w:ascii="宋体" w:hAnsi="宋体"/>
          <w:b/>
          <w:bCs/>
          <w:sz w:val="24"/>
          <w:szCs w:val="24"/>
        </w:rPr>
        <w:t>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7"/>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7"/>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7"/>
              <w:spacing w:line="360" w:lineRule="auto"/>
              <w:rPr>
                <w:rFonts w:ascii="宋体" w:hAnsi="宋体" w:eastAsia="宋体" w:cs="Times New Roman"/>
                <w:sz w:val="21"/>
                <w:szCs w:val="21"/>
              </w:rPr>
            </w:pPr>
          </w:p>
        </w:tc>
        <w:tc>
          <w:tcPr>
            <w:tcW w:w="3579" w:type="dxa"/>
            <w:vAlign w:val="center"/>
          </w:tcPr>
          <w:p w14:paraId="6BE38495">
            <w:pPr>
              <w:pStyle w:val="7"/>
              <w:spacing w:line="360" w:lineRule="auto"/>
              <w:rPr>
                <w:rFonts w:ascii="宋体" w:hAnsi="宋体" w:eastAsia="宋体" w:cs="Times New Roman"/>
                <w:sz w:val="21"/>
                <w:szCs w:val="21"/>
              </w:rPr>
            </w:pPr>
          </w:p>
        </w:tc>
        <w:tc>
          <w:tcPr>
            <w:tcW w:w="1440" w:type="dxa"/>
            <w:vAlign w:val="center"/>
          </w:tcPr>
          <w:p w14:paraId="587EAB21">
            <w:pPr>
              <w:pStyle w:val="7"/>
              <w:spacing w:line="360" w:lineRule="auto"/>
              <w:rPr>
                <w:rFonts w:ascii="宋体" w:hAnsi="宋体" w:eastAsia="宋体" w:cs="Times New Roman"/>
                <w:sz w:val="21"/>
                <w:szCs w:val="21"/>
              </w:rPr>
            </w:pPr>
          </w:p>
        </w:tc>
        <w:tc>
          <w:tcPr>
            <w:tcW w:w="1706" w:type="dxa"/>
            <w:vAlign w:val="center"/>
          </w:tcPr>
          <w:p w14:paraId="22315D90">
            <w:pPr>
              <w:pStyle w:val="7"/>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7"/>
              <w:spacing w:line="360" w:lineRule="auto"/>
              <w:rPr>
                <w:rFonts w:ascii="宋体" w:hAnsi="宋体" w:eastAsia="宋体" w:cs="Times New Roman"/>
                <w:sz w:val="21"/>
                <w:szCs w:val="21"/>
              </w:rPr>
            </w:pPr>
          </w:p>
        </w:tc>
        <w:tc>
          <w:tcPr>
            <w:tcW w:w="3579" w:type="dxa"/>
            <w:vAlign w:val="center"/>
          </w:tcPr>
          <w:p w14:paraId="19532459">
            <w:pPr>
              <w:pStyle w:val="7"/>
              <w:spacing w:line="360" w:lineRule="auto"/>
              <w:rPr>
                <w:rFonts w:ascii="宋体" w:hAnsi="宋体" w:eastAsia="宋体" w:cs="Times New Roman"/>
                <w:sz w:val="21"/>
                <w:szCs w:val="21"/>
              </w:rPr>
            </w:pPr>
          </w:p>
        </w:tc>
        <w:tc>
          <w:tcPr>
            <w:tcW w:w="1440" w:type="dxa"/>
            <w:vAlign w:val="center"/>
          </w:tcPr>
          <w:p w14:paraId="74A3CD0B">
            <w:pPr>
              <w:pStyle w:val="7"/>
              <w:spacing w:line="360" w:lineRule="auto"/>
              <w:rPr>
                <w:rFonts w:ascii="宋体" w:hAnsi="宋体" w:eastAsia="宋体" w:cs="Times New Roman"/>
                <w:sz w:val="21"/>
                <w:szCs w:val="21"/>
              </w:rPr>
            </w:pPr>
          </w:p>
        </w:tc>
        <w:tc>
          <w:tcPr>
            <w:tcW w:w="1706" w:type="dxa"/>
            <w:vAlign w:val="center"/>
          </w:tcPr>
          <w:p w14:paraId="07BBCB1A">
            <w:pPr>
              <w:pStyle w:val="7"/>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7"/>
              <w:spacing w:line="360" w:lineRule="auto"/>
              <w:rPr>
                <w:rFonts w:ascii="宋体" w:hAnsi="宋体" w:eastAsia="宋体" w:cs="Times New Roman"/>
                <w:sz w:val="21"/>
                <w:szCs w:val="21"/>
              </w:rPr>
            </w:pPr>
          </w:p>
        </w:tc>
        <w:tc>
          <w:tcPr>
            <w:tcW w:w="3579" w:type="dxa"/>
            <w:vAlign w:val="center"/>
          </w:tcPr>
          <w:p w14:paraId="609A503B">
            <w:pPr>
              <w:pStyle w:val="7"/>
              <w:spacing w:line="360" w:lineRule="auto"/>
              <w:rPr>
                <w:rFonts w:ascii="宋体" w:hAnsi="宋体" w:eastAsia="宋体" w:cs="Times New Roman"/>
                <w:sz w:val="21"/>
                <w:szCs w:val="21"/>
              </w:rPr>
            </w:pPr>
          </w:p>
        </w:tc>
        <w:tc>
          <w:tcPr>
            <w:tcW w:w="1440" w:type="dxa"/>
            <w:vAlign w:val="center"/>
          </w:tcPr>
          <w:p w14:paraId="1A21A8E6">
            <w:pPr>
              <w:pStyle w:val="7"/>
              <w:spacing w:line="360" w:lineRule="auto"/>
              <w:rPr>
                <w:rFonts w:ascii="宋体" w:hAnsi="宋体" w:eastAsia="宋体" w:cs="Times New Roman"/>
                <w:sz w:val="21"/>
                <w:szCs w:val="21"/>
              </w:rPr>
            </w:pPr>
          </w:p>
        </w:tc>
        <w:tc>
          <w:tcPr>
            <w:tcW w:w="1706" w:type="dxa"/>
            <w:vAlign w:val="center"/>
          </w:tcPr>
          <w:p w14:paraId="1AF7E261">
            <w:pPr>
              <w:pStyle w:val="7"/>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7"/>
              <w:spacing w:line="360" w:lineRule="auto"/>
              <w:rPr>
                <w:rFonts w:ascii="宋体" w:hAnsi="宋体" w:eastAsia="宋体" w:cs="Times New Roman"/>
                <w:sz w:val="21"/>
                <w:szCs w:val="21"/>
              </w:rPr>
            </w:pPr>
          </w:p>
        </w:tc>
        <w:tc>
          <w:tcPr>
            <w:tcW w:w="814" w:type="pct"/>
            <w:vAlign w:val="center"/>
          </w:tcPr>
          <w:p w14:paraId="51DC7484">
            <w:pPr>
              <w:pStyle w:val="7"/>
              <w:spacing w:line="360" w:lineRule="auto"/>
              <w:rPr>
                <w:rFonts w:ascii="宋体" w:hAnsi="宋体" w:eastAsia="宋体" w:cs="Times New Roman"/>
                <w:sz w:val="21"/>
                <w:szCs w:val="21"/>
              </w:rPr>
            </w:pPr>
          </w:p>
        </w:tc>
        <w:tc>
          <w:tcPr>
            <w:tcW w:w="665" w:type="pct"/>
          </w:tcPr>
          <w:p w14:paraId="62A1160F">
            <w:pPr>
              <w:pStyle w:val="7"/>
              <w:spacing w:line="360" w:lineRule="auto"/>
              <w:rPr>
                <w:rFonts w:ascii="宋体" w:hAnsi="宋体" w:eastAsia="宋体" w:cs="Times New Roman"/>
                <w:sz w:val="21"/>
                <w:szCs w:val="21"/>
              </w:rPr>
            </w:pPr>
          </w:p>
        </w:tc>
        <w:tc>
          <w:tcPr>
            <w:tcW w:w="884" w:type="pct"/>
          </w:tcPr>
          <w:p w14:paraId="621A2FA7">
            <w:pPr>
              <w:pStyle w:val="7"/>
              <w:spacing w:line="360" w:lineRule="auto"/>
              <w:rPr>
                <w:rFonts w:ascii="宋体" w:hAnsi="宋体" w:eastAsia="宋体" w:cs="Times New Roman"/>
                <w:sz w:val="21"/>
                <w:szCs w:val="21"/>
              </w:rPr>
            </w:pPr>
          </w:p>
        </w:tc>
        <w:tc>
          <w:tcPr>
            <w:tcW w:w="858" w:type="pct"/>
          </w:tcPr>
          <w:p w14:paraId="30F1839F">
            <w:pPr>
              <w:pStyle w:val="7"/>
              <w:spacing w:line="360" w:lineRule="auto"/>
              <w:rPr>
                <w:rFonts w:ascii="宋体" w:hAnsi="宋体" w:eastAsia="宋体" w:cs="Times New Roman"/>
                <w:sz w:val="21"/>
                <w:szCs w:val="21"/>
              </w:rPr>
            </w:pPr>
          </w:p>
        </w:tc>
        <w:tc>
          <w:tcPr>
            <w:tcW w:w="760" w:type="pct"/>
          </w:tcPr>
          <w:p w14:paraId="1F59D518">
            <w:pPr>
              <w:pStyle w:val="7"/>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7"/>
              <w:spacing w:line="360" w:lineRule="auto"/>
              <w:rPr>
                <w:rFonts w:ascii="宋体" w:hAnsi="宋体" w:eastAsia="宋体" w:cs="Times New Roman"/>
                <w:sz w:val="21"/>
                <w:szCs w:val="21"/>
              </w:rPr>
            </w:pPr>
          </w:p>
        </w:tc>
        <w:tc>
          <w:tcPr>
            <w:tcW w:w="814" w:type="pct"/>
            <w:vAlign w:val="center"/>
          </w:tcPr>
          <w:p w14:paraId="6DCDD4C5">
            <w:pPr>
              <w:pStyle w:val="7"/>
              <w:spacing w:line="360" w:lineRule="auto"/>
              <w:rPr>
                <w:rFonts w:ascii="宋体" w:hAnsi="宋体" w:eastAsia="宋体" w:cs="Times New Roman"/>
                <w:sz w:val="21"/>
                <w:szCs w:val="21"/>
              </w:rPr>
            </w:pPr>
          </w:p>
        </w:tc>
        <w:tc>
          <w:tcPr>
            <w:tcW w:w="665" w:type="pct"/>
          </w:tcPr>
          <w:p w14:paraId="7DB7A326">
            <w:pPr>
              <w:pStyle w:val="7"/>
              <w:spacing w:line="360" w:lineRule="auto"/>
              <w:rPr>
                <w:rFonts w:ascii="宋体" w:hAnsi="宋体" w:eastAsia="宋体" w:cs="Times New Roman"/>
                <w:sz w:val="21"/>
                <w:szCs w:val="21"/>
              </w:rPr>
            </w:pPr>
          </w:p>
        </w:tc>
        <w:tc>
          <w:tcPr>
            <w:tcW w:w="884" w:type="pct"/>
          </w:tcPr>
          <w:p w14:paraId="2F998864">
            <w:pPr>
              <w:pStyle w:val="7"/>
              <w:spacing w:line="360" w:lineRule="auto"/>
              <w:rPr>
                <w:rFonts w:ascii="宋体" w:hAnsi="宋体" w:eastAsia="宋体" w:cs="Times New Roman"/>
                <w:sz w:val="21"/>
                <w:szCs w:val="21"/>
              </w:rPr>
            </w:pPr>
          </w:p>
        </w:tc>
        <w:tc>
          <w:tcPr>
            <w:tcW w:w="858" w:type="pct"/>
          </w:tcPr>
          <w:p w14:paraId="0E071A88">
            <w:pPr>
              <w:pStyle w:val="7"/>
              <w:spacing w:line="360" w:lineRule="auto"/>
              <w:rPr>
                <w:rFonts w:ascii="宋体" w:hAnsi="宋体" w:eastAsia="宋体" w:cs="Times New Roman"/>
                <w:sz w:val="21"/>
                <w:szCs w:val="21"/>
              </w:rPr>
            </w:pPr>
          </w:p>
        </w:tc>
        <w:tc>
          <w:tcPr>
            <w:tcW w:w="760" w:type="pct"/>
          </w:tcPr>
          <w:p w14:paraId="779FC184">
            <w:pPr>
              <w:pStyle w:val="7"/>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7"/>
              <w:spacing w:line="360" w:lineRule="auto"/>
              <w:rPr>
                <w:rFonts w:ascii="宋体" w:hAnsi="宋体" w:eastAsia="宋体" w:cs="Times New Roman"/>
                <w:sz w:val="21"/>
                <w:szCs w:val="21"/>
              </w:rPr>
            </w:pPr>
          </w:p>
        </w:tc>
        <w:tc>
          <w:tcPr>
            <w:tcW w:w="814" w:type="pct"/>
            <w:vAlign w:val="center"/>
          </w:tcPr>
          <w:p w14:paraId="3D5E031F">
            <w:pPr>
              <w:pStyle w:val="7"/>
              <w:spacing w:line="360" w:lineRule="auto"/>
              <w:rPr>
                <w:rFonts w:ascii="宋体" w:hAnsi="宋体" w:eastAsia="宋体" w:cs="Times New Roman"/>
                <w:sz w:val="21"/>
                <w:szCs w:val="21"/>
              </w:rPr>
            </w:pPr>
          </w:p>
        </w:tc>
        <w:tc>
          <w:tcPr>
            <w:tcW w:w="665" w:type="pct"/>
          </w:tcPr>
          <w:p w14:paraId="1571D391">
            <w:pPr>
              <w:pStyle w:val="7"/>
              <w:spacing w:line="360" w:lineRule="auto"/>
              <w:rPr>
                <w:rFonts w:ascii="宋体" w:hAnsi="宋体" w:eastAsia="宋体" w:cs="Times New Roman"/>
                <w:sz w:val="21"/>
                <w:szCs w:val="21"/>
              </w:rPr>
            </w:pPr>
          </w:p>
        </w:tc>
        <w:tc>
          <w:tcPr>
            <w:tcW w:w="884" w:type="pct"/>
          </w:tcPr>
          <w:p w14:paraId="13C3F957">
            <w:pPr>
              <w:pStyle w:val="7"/>
              <w:spacing w:line="360" w:lineRule="auto"/>
              <w:rPr>
                <w:rFonts w:ascii="宋体" w:hAnsi="宋体" w:eastAsia="宋体" w:cs="Times New Roman"/>
                <w:sz w:val="21"/>
                <w:szCs w:val="21"/>
              </w:rPr>
            </w:pPr>
          </w:p>
        </w:tc>
        <w:tc>
          <w:tcPr>
            <w:tcW w:w="858" w:type="pct"/>
          </w:tcPr>
          <w:p w14:paraId="6D5EC009">
            <w:pPr>
              <w:pStyle w:val="7"/>
              <w:spacing w:line="360" w:lineRule="auto"/>
              <w:rPr>
                <w:rFonts w:ascii="宋体" w:hAnsi="宋体" w:eastAsia="宋体" w:cs="Times New Roman"/>
                <w:sz w:val="21"/>
                <w:szCs w:val="21"/>
              </w:rPr>
            </w:pPr>
          </w:p>
        </w:tc>
        <w:tc>
          <w:tcPr>
            <w:tcW w:w="760" w:type="pct"/>
          </w:tcPr>
          <w:p w14:paraId="27F805C0">
            <w:pPr>
              <w:pStyle w:val="7"/>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7"/>
              <w:spacing w:line="360" w:lineRule="auto"/>
              <w:rPr>
                <w:rFonts w:ascii="宋体" w:hAnsi="宋体" w:eastAsia="宋体" w:cs="Times New Roman"/>
                <w:sz w:val="21"/>
                <w:szCs w:val="21"/>
              </w:rPr>
            </w:pPr>
          </w:p>
        </w:tc>
        <w:tc>
          <w:tcPr>
            <w:tcW w:w="814" w:type="pct"/>
            <w:vAlign w:val="center"/>
          </w:tcPr>
          <w:p w14:paraId="02C32D16">
            <w:pPr>
              <w:pStyle w:val="7"/>
              <w:spacing w:line="360" w:lineRule="auto"/>
              <w:rPr>
                <w:rFonts w:ascii="宋体" w:hAnsi="宋体" w:eastAsia="宋体" w:cs="Times New Roman"/>
                <w:sz w:val="21"/>
                <w:szCs w:val="21"/>
              </w:rPr>
            </w:pPr>
          </w:p>
        </w:tc>
        <w:tc>
          <w:tcPr>
            <w:tcW w:w="665" w:type="pct"/>
          </w:tcPr>
          <w:p w14:paraId="6EEEC2EE">
            <w:pPr>
              <w:pStyle w:val="7"/>
              <w:spacing w:line="360" w:lineRule="auto"/>
              <w:rPr>
                <w:rFonts w:ascii="宋体" w:hAnsi="宋体" w:eastAsia="宋体" w:cs="Times New Roman"/>
                <w:sz w:val="21"/>
                <w:szCs w:val="21"/>
              </w:rPr>
            </w:pPr>
          </w:p>
        </w:tc>
        <w:tc>
          <w:tcPr>
            <w:tcW w:w="884" w:type="pct"/>
          </w:tcPr>
          <w:p w14:paraId="458AEE36">
            <w:pPr>
              <w:pStyle w:val="7"/>
              <w:spacing w:line="360" w:lineRule="auto"/>
              <w:rPr>
                <w:rFonts w:ascii="宋体" w:hAnsi="宋体" w:eastAsia="宋体" w:cs="Times New Roman"/>
                <w:sz w:val="21"/>
                <w:szCs w:val="21"/>
              </w:rPr>
            </w:pPr>
          </w:p>
        </w:tc>
        <w:tc>
          <w:tcPr>
            <w:tcW w:w="858" w:type="pct"/>
          </w:tcPr>
          <w:p w14:paraId="5F919222">
            <w:pPr>
              <w:pStyle w:val="7"/>
              <w:spacing w:line="360" w:lineRule="auto"/>
              <w:rPr>
                <w:rFonts w:ascii="宋体" w:hAnsi="宋体" w:eastAsia="宋体" w:cs="Times New Roman"/>
                <w:sz w:val="21"/>
                <w:szCs w:val="21"/>
              </w:rPr>
            </w:pPr>
          </w:p>
        </w:tc>
        <w:tc>
          <w:tcPr>
            <w:tcW w:w="760" w:type="pct"/>
          </w:tcPr>
          <w:p w14:paraId="0691C10A">
            <w:pPr>
              <w:pStyle w:val="7"/>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7"/>
              <w:spacing w:line="360" w:lineRule="auto"/>
              <w:rPr>
                <w:rFonts w:ascii="宋体" w:hAnsi="宋体" w:eastAsia="宋体" w:cs="Times New Roman"/>
                <w:sz w:val="21"/>
                <w:szCs w:val="21"/>
              </w:rPr>
            </w:pPr>
          </w:p>
        </w:tc>
        <w:tc>
          <w:tcPr>
            <w:tcW w:w="814" w:type="pct"/>
            <w:vAlign w:val="center"/>
          </w:tcPr>
          <w:p w14:paraId="723FDDF8">
            <w:pPr>
              <w:pStyle w:val="7"/>
              <w:spacing w:line="360" w:lineRule="auto"/>
              <w:rPr>
                <w:rFonts w:ascii="宋体" w:hAnsi="宋体" w:eastAsia="宋体" w:cs="Times New Roman"/>
                <w:sz w:val="21"/>
                <w:szCs w:val="21"/>
              </w:rPr>
            </w:pPr>
          </w:p>
        </w:tc>
        <w:tc>
          <w:tcPr>
            <w:tcW w:w="665" w:type="pct"/>
          </w:tcPr>
          <w:p w14:paraId="422145C6">
            <w:pPr>
              <w:pStyle w:val="7"/>
              <w:spacing w:line="360" w:lineRule="auto"/>
              <w:rPr>
                <w:rFonts w:ascii="宋体" w:hAnsi="宋体" w:eastAsia="宋体" w:cs="Times New Roman"/>
                <w:sz w:val="21"/>
                <w:szCs w:val="21"/>
              </w:rPr>
            </w:pPr>
          </w:p>
        </w:tc>
        <w:tc>
          <w:tcPr>
            <w:tcW w:w="884" w:type="pct"/>
          </w:tcPr>
          <w:p w14:paraId="256302B1">
            <w:pPr>
              <w:pStyle w:val="7"/>
              <w:spacing w:line="360" w:lineRule="auto"/>
              <w:rPr>
                <w:rFonts w:ascii="宋体" w:hAnsi="宋体" w:eastAsia="宋体" w:cs="Times New Roman"/>
                <w:sz w:val="21"/>
                <w:szCs w:val="21"/>
              </w:rPr>
            </w:pPr>
          </w:p>
        </w:tc>
        <w:tc>
          <w:tcPr>
            <w:tcW w:w="858" w:type="pct"/>
          </w:tcPr>
          <w:p w14:paraId="477793E6">
            <w:pPr>
              <w:pStyle w:val="7"/>
              <w:spacing w:line="360" w:lineRule="auto"/>
              <w:rPr>
                <w:rFonts w:ascii="宋体" w:hAnsi="宋体" w:eastAsia="宋体" w:cs="Times New Roman"/>
                <w:sz w:val="21"/>
                <w:szCs w:val="21"/>
              </w:rPr>
            </w:pPr>
          </w:p>
        </w:tc>
        <w:tc>
          <w:tcPr>
            <w:tcW w:w="760" w:type="pct"/>
          </w:tcPr>
          <w:p w14:paraId="0B8493E5">
            <w:pPr>
              <w:pStyle w:val="7"/>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7"/>
              <w:spacing w:line="360" w:lineRule="auto"/>
              <w:rPr>
                <w:rFonts w:ascii="宋体" w:hAnsi="宋体" w:eastAsia="宋体" w:cs="Times New Roman"/>
                <w:sz w:val="21"/>
                <w:szCs w:val="21"/>
              </w:rPr>
            </w:pPr>
          </w:p>
        </w:tc>
        <w:tc>
          <w:tcPr>
            <w:tcW w:w="814" w:type="pct"/>
            <w:vAlign w:val="center"/>
          </w:tcPr>
          <w:p w14:paraId="74C13E84">
            <w:pPr>
              <w:pStyle w:val="7"/>
              <w:spacing w:line="360" w:lineRule="auto"/>
              <w:rPr>
                <w:rFonts w:ascii="宋体" w:hAnsi="宋体" w:eastAsia="宋体" w:cs="Times New Roman"/>
                <w:sz w:val="21"/>
                <w:szCs w:val="21"/>
              </w:rPr>
            </w:pPr>
          </w:p>
        </w:tc>
        <w:tc>
          <w:tcPr>
            <w:tcW w:w="665" w:type="pct"/>
          </w:tcPr>
          <w:p w14:paraId="0EE31D6C">
            <w:pPr>
              <w:pStyle w:val="7"/>
              <w:spacing w:line="360" w:lineRule="auto"/>
              <w:rPr>
                <w:rFonts w:ascii="宋体" w:hAnsi="宋体" w:eastAsia="宋体" w:cs="Times New Roman"/>
                <w:sz w:val="21"/>
                <w:szCs w:val="21"/>
              </w:rPr>
            </w:pPr>
          </w:p>
        </w:tc>
        <w:tc>
          <w:tcPr>
            <w:tcW w:w="884" w:type="pct"/>
          </w:tcPr>
          <w:p w14:paraId="119F68FA">
            <w:pPr>
              <w:pStyle w:val="7"/>
              <w:spacing w:line="360" w:lineRule="auto"/>
              <w:rPr>
                <w:rFonts w:ascii="宋体" w:hAnsi="宋体" w:eastAsia="宋体" w:cs="Times New Roman"/>
                <w:sz w:val="21"/>
                <w:szCs w:val="21"/>
              </w:rPr>
            </w:pPr>
          </w:p>
        </w:tc>
        <w:tc>
          <w:tcPr>
            <w:tcW w:w="858" w:type="pct"/>
          </w:tcPr>
          <w:p w14:paraId="679D98E0">
            <w:pPr>
              <w:pStyle w:val="7"/>
              <w:spacing w:line="360" w:lineRule="auto"/>
              <w:rPr>
                <w:rFonts w:ascii="宋体" w:hAnsi="宋体" w:eastAsia="宋体" w:cs="Times New Roman"/>
                <w:sz w:val="21"/>
                <w:szCs w:val="21"/>
              </w:rPr>
            </w:pPr>
          </w:p>
        </w:tc>
        <w:tc>
          <w:tcPr>
            <w:tcW w:w="760" w:type="pct"/>
          </w:tcPr>
          <w:p w14:paraId="3B16CC48">
            <w:pPr>
              <w:pStyle w:val="7"/>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7"/>
              <w:spacing w:line="360" w:lineRule="auto"/>
              <w:rPr>
                <w:rFonts w:ascii="宋体" w:hAnsi="宋体" w:eastAsia="宋体" w:cs="Times New Roman"/>
                <w:sz w:val="21"/>
                <w:szCs w:val="21"/>
              </w:rPr>
            </w:pPr>
          </w:p>
        </w:tc>
        <w:tc>
          <w:tcPr>
            <w:tcW w:w="814" w:type="pct"/>
            <w:vAlign w:val="center"/>
          </w:tcPr>
          <w:p w14:paraId="3F1D3D64">
            <w:pPr>
              <w:pStyle w:val="7"/>
              <w:spacing w:line="360" w:lineRule="auto"/>
              <w:rPr>
                <w:rFonts w:ascii="宋体" w:hAnsi="宋体" w:eastAsia="宋体" w:cs="Times New Roman"/>
                <w:sz w:val="21"/>
                <w:szCs w:val="21"/>
              </w:rPr>
            </w:pPr>
          </w:p>
        </w:tc>
        <w:tc>
          <w:tcPr>
            <w:tcW w:w="665" w:type="pct"/>
          </w:tcPr>
          <w:p w14:paraId="4A3550F0">
            <w:pPr>
              <w:pStyle w:val="7"/>
              <w:spacing w:line="360" w:lineRule="auto"/>
              <w:rPr>
                <w:rFonts w:ascii="宋体" w:hAnsi="宋体" w:eastAsia="宋体" w:cs="Times New Roman"/>
                <w:sz w:val="21"/>
                <w:szCs w:val="21"/>
              </w:rPr>
            </w:pPr>
          </w:p>
        </w:tc>
        <w:tc>
          <w:tcPr>
            <w:tcW w:w="884" w:type="pct"/>
          </w:tcPr>
          <w:p w14:paraId="1E6A429C">
            <w:pPr>
              <w:pStyle w:val="7"/>
              <w:spacing w:line="360" w:lineRule="auto"/>
              <w:rPr>
                <w:rFonts w:ascii="宋体" w:hAnsi="宋体" w:eastAsia="宋体" w:cs="Times New Roman"/>
                <w:sz w:val="21"/>
                <w:szCs w:val="21"/>
              </w:rPr>
            </w:pPr>
          </w:p>
        </w:tc>
        <w:tc>
          <w:tcPr>
            <w:tcW w:w="858" w:type="pct"/>
          </w:tcPr>
          <w:p w14:paraId="605B6D65">
            <w:pPr>
              <w:pStyle w:val="7"/>
              <w:spacing w:line="360" w:lineRule="auto"/>
              <w:rPr>
                <w:rFonts w:ascii="宋体" w:hAnsi="宋体" w:eastAsia="宋体" w:cs="Times New Roman"/>
                <w:sz w:val="21"/>
                <w:szCs w:val="21"/>
              </w:rPr>
            </w:pPr>
          </w:p>
        </w:tc>
        <w:tc>
          <w:tcPr>
            <w:tcW w:w="760" w:type="pct"/>
          </w:tcPr>
          <w:p w14:paraId="6F1F61DC">
            <w:pPr>
              <w:pStyle w:val="7"/>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7"/>
              <w:spacing w:line="360" w:lineRule="auto"/>
              <w:rPr>
                <w:rFonts w:ascii="宋体" w:hAnsi="宋体" w:eastAsia="宋体" w:cs="Times New Roman"/>
                <w:sz w:val="21"/>
                <w:szCs w:val="21"/>
              </w:rPr>
            </w:pPr>
          </w:p>
        </w:tc>
        <w:tc>
          <w:tcPr>
            <w:tcW w:w="814" w:type="pct"/>
            <w:vAlign w:val="center"/>
          </w:tcPr>
          <w:p w14:paraId="016A9A5B">
            <w:pPr>
              <w:pStyle w:val="7"/>
              <w:spacing w:line="360" w:lineRule="auto"/>
              <w:rPr>
                <w:rFonts w:ascii="宋体" w:hAnsi="宋体" w:eastAsia="宋体" w:cs="Times New Roman"/>
                <w:sz w:val="21"/>
                <w:szCs w:val="21"/>
              </w:rPr>
            </w:pPr>
          </w:p>
        </w:tc>
        <w:tc>
          <w:tcPr>
            <w:tcW w:w="665" w:type="pct"/>
          </w:tcPr>
          <w:p w14:paraId="05004B4F">
            <w:pPr>
              <w:pStyle w:val="7"/>
              <w:spacing w:line="360" w:lineRule="auto"/>
              <w:rPr>
                <w:rFonts w:ascii="宋体" w:hAnsi="宋体" w:eastAsia="宋体" w:cs="Times New Roman"/>
                <w:sz w:val="21"/>
                <w:szCs w:val="21"/>
              </w:rPr>
            </w:pPr>
          </w:p>
        </w:tc>
        <w:tc>
          <w:tcPr>
            <w:tcW w:w="884" w:type="pct"/>
          </w:tcPr>
          <w:p w14:paraId="1B64F57E">
            <w:pPr>
              <w:pStyle w:val="7"/>
              <w:spacing w:line="360" w:lineRule="auto"/>
              <w:rPr>
                <w:rFonts w:ascii="宋体" w:hAnsi="宋体" w:eastAsia="宋体" w:cs="Times New Roman"/>
                <w:sz w:val="21"/>
                <w:szCs w:val="21"/>
              </w:rPr>
            </w:pPr>
          </w:p>
        </w:tc>
        <w:tc>
          <w:tcPr>
            <w:tcW w:w="858" w:type="pct"/>
          </w:tcPr>
          <w:p w14:paraId="1DAF397A">
            <w:pPr>
              <w:pStyle w:val="7"/>
              <w:spacing w:line="360" w:lineRule="auto"/>
              <w:rPr>
                <w:rFonts w:ascii="宋体" w:hAnsi="宋体" w:eastAsia="宋体" w:cs="Times New Roman"/>
                <w:sz w:val="21"/>
                <w:szCs w:val="21"/>
              </w:rPr>
            </w:pPr>
          </w:p>
        </w:tc>
        <w:tc>
          <w:tcPr>
            <w:tcW w:w="760" w:type="pct"/>
          </w:tcPr>
          <w:p w14:paraId="05168403">
            <w:pPr>
              <w:pStyle w:val="7"/>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7"/>
              <w:spacing w:line="360" w:lineRule="auto"/>
              <w:rPr>
                <w:rFonts w:ascii="宋体" w:hAnsi="宋体" w:eastAsia="宋体" w:cs="Times New Roman"/>
                <w:sz w:val="21"/>
                <w:szCs w:val="21"/>
              </w:rPr>
            </w:pPr>
          </w:p>
        </w:tc>
        <w:tc>
          <w:tcPr>
            <w:tcW w:w="814" w:type="pct"/>
            <w:vAlign w:val="center"/>
          </w:tcPr>
          <w:p w14:paraId="0E4A8A62">
            <w:pPr>
              <w:pStyle w:val="7"/>
              <w:spacing w:line="360" w:lineRule="auto"/>
              <w:rPr>
                <w:rFonts w:ascii="宋体" w:hAnsi="宋体" w:eastAsia="宋体" w:cs="Times New Roman"/>
                <w:sz w:val="21"/>
                <w:szCs w:val="21"/>
              </w:rPr>
            </w:pPr>
          </w:p>
        </w:tc>
        <w:tc>
          <w:tcPr>
            <w:tcW w:w="665" w:type="pct"/>
          </w:tcPr>
          <w:p w14:paraId="2221091E">
            <w:pPr>
              <w:pStyle w:val="7"/>
              <w:spacing w:line="360" w:lineRule="auto"/>
              <w:rPr>
                <w:rFonts w:ascii="宋体" w:hAnsi="宋体" w:eastAsia="宋体" w:cs="Times New Roman"/>
                <w:sz w:val="21"/>
                <w:szCs w:val="21"/>
              </w:rPr>
            </w:pPr>
          </w:p>
        </w:tc>
        <w:tc>
          <w:tcPr>
            <w:tcW w:w="884" w:type="pct"/>
          </w:tcPr>
          <w:p w14:paraId="3FDA271B">
            <w:pPr>
              <w:pStyle w:val="7"/>
              <w:spacing w:line="360" w:lineRule="auto"/>
              <w:rPr>
                <w:rFonts w:ascii="宋体" w:hAnsi="宋体" w:eastAsia="宋体" w:cs="Times New Roman"/>
                <w:sz w:val="21"/>
                <w:szCs w:val="21"/>
              </w:rPr>
            </w:pPr>
          </w:p>
        </w:tc>
        <w:tc>
          <w:tcPr>
            <w:tcW w:w="858" w:type="pct"/>
          </w:tcPr>
          <w:p w14:paraId="5EE86661">
            <w:pPr>
              <w:pStyle w:val="7"/>
              <w:spacing w:line="360" w:lineRule="auto"/>
              <w:rPr>
                <w:rFonts w:ascii="宋体" w:hAnsi="宋体" w:eastAsia="宋体" w:cs="Times New Roman"/>
                <w:sz w:val="21"/>
                <w:szCs w:val="21"/>
              </w:rPr>
            </w:pPr>
          </w:p>
        </w:tc>
        <w:tc>
          <w:tcPr>
            <w:tcW w:w="760" w:type="pct"/>
          </w:tcPr>
          <w:p w14:paraId="2A6A54E6">
            <w:pPr>
              <w:pStyle w:val="7"/>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9"/>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2">
    <w:nsid w:val="00000006"/>
    <w:multiLevelType w:val="multilevel"/>
    <w:tmpl w:val="00000006"/>
    <w:lvl w:ilvl="0" w:tentative="0">
      <w:start w:val="1"/>
      <w:numFmt w:val="chineseCountingThousand"/>
      <w:pStyle w:val="4"/>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B353A3"/>
    <w:multiLevelType w:val="singleLevel"/>
    <w:tmpl w:val="00B353A3"/>
    <w:lvl w:ilvl="0" w:tentative="0">
      <w:start w:val="1"/>
      <w:numFmt w:val="decimal"/>
      <w:suff w:val="nothing"/>
      <w:lvlText w:val="%1、"/>
      <w:lvlJc w:val="left"/>
    </w:lvl>
  </w:abstractNum>
  <w:abstractNum w:abstractNumId="5">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1">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2">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34D46EC"/>
    <w:multiLevelType w:val="singleLevel"/>
    <w:tmpl w:val="234D46EC"/>
    <w:lvl w:ilvl="0" w:tentative="0">
      <w:start w:val="1"/>
      <w:numFmt w:val="chineseCounting"/>
      <w:suff w:val="space"/>
      <w:lvlText w:val="第%1章"/>
      <w:lvlJc w:val="left"/>
      <w:rPr>
        <w:rFonts w:hint="eastAsia"/>
      </w:r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3">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4">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8">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9">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0">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4">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6">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F817E8"/>
    <w:multiLevelType w:val="singleLevel"/>
    <w:tmpl w:val="59F817E8"/>
    <w:lvl w:ilvl="0" w:tentative="0">
      <w:start w:val="1"/>
      <w:numFmt w:val="chineseCounting"/>
      <w:pStyle w:val="65"/>
      <w:suff w:val="nothing"/>
      <w:lvlText w:val="%1、"/>
      <w:lvlJc w:val="left"/>
    </w:lvl>
  </w:abstractNum>
  <w:abstractNum w:abstractNumId="48">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1">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3">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6">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8">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1">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4">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6">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3"/>
  </w:num>
  <w:num w:numId="3">
    <w:abstractNumId w:val="47"/>
  </w:num>
  <w:num w:numId="4">
    <w:abstractNumId w:val="21"/>
  </w:num>
  <w:num w:numId="5">
    <w:abstractNumId w:val="0"/>
  </w:num>
  <w:num w:numId="6">
    <w:abstractNumId w:val="1"/>
  </w:num>
  <w:num w:numId="7">
    <w:abstractNumId w:val="4"/>
  </w:num>
  <w:num w:numId="8">
    <w:abstractNumId w:val="18"/>
  </w:num>
  <w:num w:numId="9">
    <w:abstractNumId w:val="19"/>
  </w:num>
  <w:num w:numId="10">
    <w:abstractNumId w:val="53"/>
  </w:num>
  <w:num w:numId="11">
    <w:abstractNumId w:val="65"/>
  </w:num>
  <w:num w:numId="12">
    <w:abstractNumId w:val="62"/>
  </w:num>
  <w:num w:numId="13">
    <w:abstractNumId w:val="52"/>
  </w:num>
  <w:num w:numId="14">
    <w:abstractNumId w:val="27"/>
  </w:num>
  <w:num w:numId="15">
    <w:abstractNumId w:val="20"/>
  </w:num>
  <w:num w:numId="16">
    <w:abstractNumId w:val="55"/>
  </w:num>
  <w:num w:numId="17">
    <w:abstractNumId w:val="49"/>
  </w:num>
  <w:num w:numId="18">
    <w:abstractNumId w:val="61"/>
  </w:num>
  <w:num w:numId="19">
    <w:abstractNumId w:val="39"/>
  </w:num>
  <w:num w:numId="20">
    <w:abstractNumId w:val="15"/>
  </w:num>
  <w:num w:numId="21">
    <w:abstractNumId w:val="44"/>
  </w:num>
  <w:num w:numId="22">
    <w:abstractNumId w:val="8"/>
  </w:num>
  <w:num w:numId="23">
    <w:abstractNumId w:val="25"/>
  </w:num>
  <w:num w:numId="24">
    <w:abstractNumId w:val="41"/>
  </w:num>
  <w:num w:numId="25">
    <w:abstractNumId w:val="7"/>
  </w:num>
  <w:num w:numId="26">
    <w:abstractNumId w:val="58"/>
  </w:num>
  <w:num w:numId="27">
    <w:abstractNumId w:val="14"/>
  </w:num>
  <w:num w:numId="28">
    <w:abstractNumId w:val="30"/>
  </w:num>
  <w:num w:numId="29">
    <w:abstractNumId w:val="34"/>
  </w:num>
  <w:num w:numId="30">
    <w:abstractNumId w:val="22"/>
  </w:num>
  <w:num w:numId="31">
    <w:abstractNumId w:val="48"/>
  </w:num>
  <w:num w:numId="32">
    <w:abstractNumId w:val="28"/>
  </w:num>
  <w:num w:numId="33">
    <w:abstractNumId w:val="57"/>
  </w:num>
  <w:num w:numId="34">
    <w:abstractNumId w:val="35"/>
  </w:num>
  <w:num w:numId="35">
    <w:abstractNumId w:val="60"/>
  </w:num>
  <w:num w:numId="36">
    <w:abstractNumId w:val="16"/>
  </w:num>
  <w:num w:numId="37">
    <w:abstractNumId w:val="6"/>
  </w:num>
  <w:num w:numId="38">
    <w:abstractNumId w:val="12"/>
  </w:num>
  <w:num w:numId="39">
    <w:abstractNumId w:val="9"/>
  </w:num>
  <w:num w:numId="40">
    <w:abstractNumId w:val="32"/>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42"/>
  </w:num>
  <w:num w:numId="55">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59"/>
  </w:num>
  <w:num w:numId="60">
    <w:abstractNumId w:val="43"/>
  </w:num>
  <w:num w:numId="61">
    <w:abstractNumId w:val="23"/>
  </w:num>
  <w:num w:numId="62">
    <w:abstractNumId w:val="29"/>
  </w:num>
  <w:num w:numId="63">
    <w:abstractNumId w:val="37"/>
  </w:num>
  <w:num w:numId="64">
    <w:abstractNumId w:val="51"/>
  </w:num>
  <w:num w:numId="65">
    <w:abstractNumId w:val="67"/>
  </w:num>
  <w:num w:numId="66">
    <w:abstractNumId w:val="13"/>
  </w:num>
  <w:num w:numId="67">
    <w:abstractNumId w:val="38"/>
  </w:num>
  <w:num w:numId="68">
    <w:abstractNumId w:val="63"/>
  </w:num>
  <w:num w:numId="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1CE57B8"/>
    <w:rsid w:val="01EE71A0"/>
    <w:rsid w:val="020044B1"/>
    <w:rsid w:val="03B207B6"/>
    <w:rsid w:val="03B44E81"/>
    <w:rsid w:val="03E7460F"/>
    <w:rsid w:val="049251C3"/>
    <w:rsid w:val="04D37589"/>
    <w:rsid w:val="05921AC4"/>
    <w:rsid w:val="05A76A4C"/>
    <w:rsid w:val="05CD222A"/>
    <w:rsid w:val="060269B6"/>
    <w:rsid w:val="067F52D3"/>
    <w:rsid w:val="06A72A7B"/>
    <w:rsid w:val="07140111"/>
    <w:rsid w:val="0765096C"/>
    <w:rsid w:val="07B83B6F"/>
    <w:rsid w:val="081E3533"/>
    <w:rsid w:val="089B1EC4"/>
    <w:rsid w:val="08E34143"/>
    <w:rsid w:val="091742F7"/>
    <w:rsid w:val="096133B5"/>
    <w:rsid w:val="097D7536"/>
    <w:rsid w:val="09FC30DE"/>
    <w:rsid w:val="0A960E3D"/>
    <w:rsid w:val="0B002E5D"/>
    <w:rsid w:val="0B8666A8"/>
    <w:rsid w:val="0BC6115D"/>
    <w:rsid w:val="0BF56037"/>
    <w:rsid w:val="0C436DA2"/>
    <w:rsid w:val="0C4F2BA9"/>
    <w:rsid w:val="0C6A5094"/>
    <w:rsid w:val="0CA737D5"/>
    <w:rsid w:val="0CA75583"/>
    <w:rsid w:val="0CC57239"/>
    <w:rsid w:val="0CD923C2"/>
    <w:rsid w:val="0D097FEC"/>
    <w:rsid w:val="0D30650C"/>
    <w:rsid w:val="0D38442D"/>
    <w:rsid w:val="0D4258E7"/>
    <w:rsid w:val="0D58687D"/>
    <w:rsid w:val="0D676AC1"/>
    <w:rsid w:val="0DC31AF9"/>
    <w:rsid w:val="0DDC125D"/>
    <w:rsid w:val="0E8652B6"/>
    <w:rsid w:val="0EF16F8A"/>
    <w:rsid w:val="0F0547E3"/>
    <w:rsid w:val="0F2904D1"/>
    <w:rsid w:val="0F47598F"/>
    <w:rsid w:val="0F4B00B9"/>
    <w:rsid w:val="0FBD6E6C"/>
    <w:rsid w:val="0FCD6BA8"/>
    <w:rsid w:val="100E1475"/>
    <w:rsid w:val="102B0279"/>
    <w:rsid w:val="108A31F2"/>
    <w:rsid w:val="110A68BF"/>
    <w:rsid w:val="11A52883"/>
    <w:rsid w:val="11DF5B42"/>
    <w:rsid w:val="12042B30"/>
    <w:rsid w:val="12103BD7"/>
    <w:rsid w:val="121E4214"/>
    <w:rsid w:val="132E651F"/>
    <w:rsid w:val="137419B4"/>
    <w:rsid w:val="13B62550"/>
    <w:rsid w:val="14292D22"/>
    <w:rsid w:val="14885D40"/>
    <w:rsid w:val="14A80DDB"/>
    <w:rsid w:val="1520048F"/>
    <w:rsid w:val="1534197E"/>
    <w:rsid w:val="15AE2BE6"/>
    <w:rsid w:val="161517B0"/>
    <w:rsid w:val="162E62FE"/>
    <w:rsid w:val="1661121E"/>
    <w:rsid w:val="166C5148"/>
    <w:rsid w:val="175C31C5"/>
    <w:rsid w:val="18401E8C"/>
    <w:rsid w:val="18F558C8"/>
    <w:rsid w:val="19306900"/>
    <w:rsid w:val="19483C4A"/>
    <w:rsid w:val="19C71013"/>
    <w:rsid w:val="1A02204B"/>
    <w:rsid w:val="1A367F46"/>
    <w:rsid w:val="1A6F007A"/>
    <w:rsid w:val="1B85380A"/>
    <w:rsid w:val="1BD17ACD"/>
    <w:rsid w:val="1BEC2FB3"/>
    <w:rsid w:val="1C566820"/>
    <w:rsid w:val="1CA73630"/>
    <w:rsid w:val="1CAD0994"/>
    <w:rsid w:val="1CBB2985"/>
    <w:rsid w:val="1D22566A"/>
    <w:rsid w:val="1D332DC8"/>
    <w:rsid w:val="1D46139B"/>
    <w:rsid w:val="1D48392C"/>
    <w:rsid w:val="1D7403AC"/>
    <w:rsid w:val="1D7A073C"/>
    <w:rsid w:val="1DC835AB"/>
    <w:rsid w:val="1DC846D2"/>
    <w:rsid w:val="1E116D00"/>
    <w:rsid w:val="1E256308"/>
    <w:rsid w:val="1E3B1FCF"/>
    <w:rsid w:val="1E934ADA"/>
    <w:rsid w:val="1E9E5F3D"/>
    <w:rsid w:val="1ED6635C"/>
    <w:rsid w:val="1F016D75"/>
    <w:rsid w:val="1F81420A"/>
    <w:rsid w:val="20762B03"/>
    <w:rsid w:val="20916509"/>
    <w:rsid w:val="210A3EE5"/>
    <w:rsid w:val="218C669E"/>
    <w:rsid w:val="21A954A2"/>
    <w:rsid w:val="21AD0AEE"/>
    <w:rsid w:val="2298591C"/>
    <w:rsid w:val="233A36B9"/>
    <w:rsid w:val="2347632E"/>
    <w:rsid w:val="239F4DAE"/>
    <w:rsid w:val="23E10F23"/>
    <w:rsid w:val="246456B0"/>
    <w:rsid w:val="251470D6"/>
    <w:rsid w:val="251A6AD4"/>
    <w:rsid w:val="25891872"/>
    <w:rsid w:val="27101F3C"/>
    <w:rsid w:val="27C546B8"/>
    <w:rsid w:val="27CB1FDF"/>
    <w:rsid w:val="28A47E0D"/>
    <w:rsid w:val="2974579E"/>
    <w:rsid w:val="29842A7C"/>
    <w:rsid w:val="29B02CBC"/>
    <w:rsid w:val="2A7F3244"/>
    <w:rsid w:val="2A87268B"/>
    <w:rsid w:val="2B1C2A88"/>
    <w:rsid w:val="2B3C1135"/>
    <w:rsid w:val="2BAC62BA"/>
    <w:rsid w:val="2CF25D23"/>
    <w:rsid w:val="2CF33A75"/>
    <w:rsid w:val="2EE8585B"/>
    <w:rsid w:val="2F0A3A24"/>
    <w:rsid w:val="2F0F2DE8"/>
    <w:rsid w:val="2FCC2A87"/>
    <w:rsid w:val="304D13E0"/>
    <w:rsid w:val="307A7AF5"/>
    <w:rsid w:val="30BA3228"/>
    <w:rsid w:val="31AC0DC2"/>
    <w:rsid w:val="31BE3656"/>
    <w:rsid w:val="322D0C63"/>
    <w:rsid w:val="330662B0"/>
    <w:rsid w:val="335E6B36"/>
    <w:rsid w:val="336851BD"/>
    <w:rsid w:val="33F56325"/>
    <w:rsid w:val="34256C0A"/>
    <w:rsid w:val="3487669F"/>
    <w:rsid w:val="353926C2"/>
    <w:rsid w:val="358A766C"/>
    <w:rsid w:val="35B446E9"/>
    <w:rsid w:val="35D61E88"/>
    <w:rsid w:val="361E1B63"/>
    <w:rsid w:val="36CD3FAC"/>
    <w:rsid w:val="36D13079"/>
    <w:rsid w:val="37285044"/>
    <w:rsid w:val="37F47148"/>
    <w:rsid w:val="38097051"/>
    <w:rsid w:val="38404966"/>
    <w:rsid w:val="38AB7314"/>
    <w:rsid w:val="38E54BBA"/>
    <w:rsid w:val="39231D25"/>
    <w:rsid w:val="392D778D"/>
    <w:rsid w:val="39761CB6"/>
    <w:rsid w:val="39E82BB3"/>
    <w:rsid w:val="3A30455A"/>
    <w:rsid w:val="3A306505"/>
    <w:rsid w:val="3A410516"/>
    <w:rsid w:val="3A79072A"/>
    <w:rsid w:val="3ADE3FB6"/>
    <w:rsid w:val="3AE66A84"/>
    <w:rsid w:val="3B79736C"/>
    <w:rsid w:val="3BD056AD"/>
    <w:rsid w:val="3C862210"/>
    <w:rsid w:val="3CDC3488"/>
    <w:rsid w:val="3D18555E"/>
    <w:rsid w:val="3D391317"/>
    <w:rsid w:val="3D4A148F"/>
    <w:rsid w:val="3DB72FC9"/>
    <w:rsid w:val="3E706AA3"/>
    <w:rsid w:val="3E7C3E75"/>
    <w:rsid w:val="3ECC70E8"/>
    <w:rsid w:val="3F4441CA"/>
    <w:rsid w:val="3FEF631E"/>
    <w:rsid w:val="402C1320"/>
    <w:rsid w:val="404228F2"/>
    <w:rsid w:val="40A94EAD"/>
    <w:rsid w:val="416036D4"/>
    <w:rsid w:val="41A24945"/>
    <w:rsid w:val="41D279A9"/>
    <w:rsid w:val="41EC6AFB"/>
    <w:rsid w:val="42127FFC"/>
    <w:rsid w:val="422340D2"/>
    <w:rsid w:val="423053ED"/>
    <w:rsid w:val="42994282"/>
    <w:rsid w:val="42A258CA"/>
    <w:rsid w:val="42DF08CC"/>
    <w:rsid w:val="432163BA"/>
    <w:rsid w:val="437234EE"/>
    <w:rsid w:val="437B23A2"/>
    <w:rsid w:val="43833B65"/>
    <w:rsid w:val="43C114AA"/>
    <w:rsid w:val="445D5F4C"/>
    <w:rsid w:val="44C91833"/>
    <w:rsid w:val="44D04970"/>
    <w:rsid w:val="44D159A7"/>
    <w:rsid w:val="44FA7C3F"/>
    <w:rsid w:val="454B049A"/>
    <w:rsid w:val="457A54F1"/>
    <w:rsid w:val="457F41B2"/>
    <w:rsid w:val="458E2F8D"/>
    <w:rsid w:val="45B222C8"/>
    <w:rsid w:val="45B46B5A"/>
    <w:rsid w:val="45DB0C41"/>
    <w:rsid w:val="46794B93"/>
    <w:rsid w:val="46B61944"/>
    <w:rsid w:val="46FD367C"/>
    <w:rsid w:val="477525EB"/>
    <w:rsid w:val="477D6972"/>
    <w:rsid w:val="478C4B44"/>
    <w:rsid w:val="47BB0A1B"/>
    <w:rsid w:val="47DF4EBE"/>
    <w:rsid w:val="48094372"/>
    <w:rsid w:val="483E7E42"/>
    <w:rsid w:val="48DA43E6"/>
    <w:rsid w:val="48E629B4"/>
    <w:rsid w:val="49A56FB8"/>
    <w:rsid w:val="49D26A89"/>
    <w:rsid w:val="4A480813"/>
    <w:rsid w:val="4A8415A5"/>
    <w:rsid w:val="4AE72B77"/>
    <w:rsid w:val="4B616322"/>
    <w:rsid w:val="4B9F6E4A"/>
    <w:rsid w:val="4BAC7C7B"/>
    <w:rsid w:val="4C23418A"/>
    <w:rsid w:val="4C3E2B07"/>
    <w:rsid w:val="4C3E6663"/>
    <w:rsid w:val="4C930FAA"/>
    <w:rsid w:val="4C9D1723"/>
    <w:rsid w:val="4CDB65A8"/>
    <w:rsid w:val="4CE54D31"/>
    <w:rsid w:val="4D4408D9"/>
    <w:rsid w:val="4D7E765F"/>
    <w:rsid w:val="4D7F33D7"/>
    <w:rsid w:val="4D812CAB"/>
    <w:rsid w:val="4D9036ED"/>
    <w:rsid w:val="4DA44BEC"/>
    <w:rsid w:val="4F172EB2"/>
    <w:rsid w:val="4F381A8F"/>
    <w:rsid w:val="4F552641"/>
    <w:rsid w:val="4F624D5E"/>
    <w:rsid w:val="4F7973DD"/>
    <w:rsid w:val="4F923A7B"/>
    <w:rsid w:val="4FA40ED3"/>
    <w:rsid w:val="50067238"/>
    <w:rsid w:val="50B1220C"/>
    <w:rsid w:val="50E13A61"/>
    <w:rsid w:val="51452242"/>
    <w:rsid w:val="51453FF0"/>
    <w:rsid w:val="52322221"/>
    <w:rsid w:val="526F487A"/>
    <w:rsid w:val="529E7E5B"/>
    <w:rsid w:val="52A35472"/>
    <w:rsid w:val="53670B95"/>
    <w:rsid w:val="53714D2C"/>
    <w:rsid w:val="537B63EF"/>
    <w:rsid w:val="53980D4F"/>
    <w:rsid w:val="53D578AD"/>
    <w:rsid w:val="53E2021C"/>
    <w:rsid w:val="542919A7"/>
    <w:rsid w:val="549B1E04"/>
    <w:rsid w:val="55733821"/>
    <w:rsid w:val="56231A34"/>
    <w:rsid w:val="565C6063"/>
    <w:rsid w:val="565D1DDC"/>
    <w:rsid w:val="56A7383F"/>
    <w:rsid w:val="576C677A"/>
    <w:rsid w:val="577367A5"/>
    <w:rsid w:val="57AC4DC9"/>
    <w:rsid w:val="57C6703C"/>
    <w:rsid w:val="57FA3D86"/>
    <w:rsid w:val="58354DBE"/>
    <w:rsid w:val="584774D4"/>
    <w:rsid w:val="58B220EB"/>
    <w:rsid w:val="58E862D4"/>
    <w:rsid w:val="592856EA"/>
    <w:rsid w:val="59374B66"/>
    <w:rsid w:val="596F2F5E"/>
    <w:rsid w:val="59883613"/>
    <w:rsid w:val="59D5489E"/>
    <w:rsid w:val="59E265EA"/>
    <w:rsid w:val="59FB3DE5"/>
    <w:rsid w:val="5A025174"/>
    <w:rsid w:val="5A0709DC"/>
    <w:rsid w:val="5A3C1E2C"/>
    <w:rsid w:val="5A620455"/>
    <w:rsid w:val="5A684883"/>
    <w:rsid w:val="5ABA40EA"/>
    <w:rsid w:val="5ACC7530"/>
    <w:rsid w:val="5B2F24B5"/>
    <w:rsid w:val="5BC433D0"/>
    <w:rsid w:val="5C4557EC"/>
    <w:rsid w:val="5CDE4FBC"/>
    <w:rsid w:val="5CF96B93"/>
    <w:rsid w:val="5DAD189A"/>
    <w:rsid w:val="5DC76A50"/>
    <w:rsid w:val="5E27164D"/>
    <w:rsid w:val="5E4A70E9"/>
    <w:rsid w:val="5E9071F2"/>
    <w:rsid w:val="5F0C25F1"/>
    <w:rsid w:val="5F1D65AC"/>
    <w:rsid w:val="5F5B083F"/>
    <w:rsid w:val="601A422B"/>
    <w:rsid w:val="60912DAE"/>
    <w:rsid w:val="612E5306"/>
    <w:rsid w:val="613F280A"/>
    <w:rsid w:val="619F774C"/>
    <w:rsid w:val="61B72CE8"/>
    <w:rsid w:val="61BC5600"/>
    <w:rsid w:val="61D70C94"/>
    <w:rsid w:val="61EF2482"/>
    <w:rsid w:val="625B7B17"/>
    <w:rsid w:val="63040D4E"/>
    <w:rsid w:val="636B1FDC"/>
    <w:rsid w:val="63800A16"/>
    <w:rsid w:val="6446136F"/>
    <w:rsid w:val="64630F05"/>
    <w:rsid w:val="64701E66"/>
    <w:rsid w:val="64C51278"/>
    <w:rsid w:val="650575AA"/>
    <w:rsid w:val="65624252"/>
    <w:rsid w:val="65965B7A"/>
    <w:rsid w:val="65B25CA0"/>
    <w:rsid w:val="667016B7"/>
    <w:rsid w:val="66A001EE"/>
    <w:rsid w:val="67130CEB"/>
    <w:rsid w:val="672957C5"/>
    <w:rsid w:val="676F7BC1"/>
    <w:rsid w:val="679E5E52"/>
    <w:rsid w:val="68580655"/>
    <w:rsid w:val="68613E1C"/>
    <w:rsid w:val="68701E42"/>
    <w:rsid w:val="68A86442"/>
    <w:rsid w:val="68C77CB4"/>
    <w:rsid w:val="68F6059A"/>
    <w:rsid w:val="690C519B"/>
    <w:rsid w:val="694A2730"/>
    <w:rsid w:val="69C81336"/>
    <w:rsid w:val="6A0C16F7"/>
    <w:rsid w:val="6A16113C"/>
    <w:rsid w:val="6A244C92"/>
    <w:rsid w:val="6AAE0F26"/>
    <w:rsid w:val="6B477EE6"/>
    <w:rsid w:val="6B851761"/>
    <w:rsid w:val="6B890AF4"/>
    <w:rsid w:val="6BDD2BA4"/>
    <w:rsid w:val="6C6972D4"/>
    <w:rsid w:val="6C9C4317"/>
    <w:rsid w:val="6CC7316E"/>
    <w:rsid w:val="6CF3231D"/>
    <w:rsid w:val="6D1045AC"/>
    <w:rsid w:val="6E13574A"/>
    <w:rsid w:val="6E3336F6"/>
    <w:rsid w:val="6E6B10E2"/>
    <w:rsid w:val="6F586836"/>
    <w:rsid w:val="70BA1EAD"/>
    <w:rsid w:val="70F94A85"/>
    <w:rsid w:val="71072C18"/>
    <w:rsid w:val="71285068"/>
    <w:rsid w:val="71593931"/>
    <w:rsid w:val="7202032D"/>
    <w:rsid w:val="72355BB2"/>
    <w:rsid w:val="729D1A86"/>
    <w:rsid w:val="72B72A29"/>
    <w:rsid w:val="72E04F19"/>
    <w:rsid w:val="72E63E7E"/>
    <w:rsid w:val="736B376C"/>
    <w:rsid w:val="742650CC"/>
    <w:rsid w:val="74375DA0"/>
    <w:rsid w:val="74D8656F"/>
    <w:rsid w:val="74DA0D6F"/>
    <w:rsid w:val="7528245B"/>
    <w:rsid w:val="755747BE"/>
    <w:rsid w:val="75C50DBF"/>
    <w:rsid w:val="75D05B45"/>
    <w:rsid w:val="761F3B91"/>
    <w:rsid w:val="763769EB"/>
    <w:rsid w:val="764804B7"/>
    <w:rsid w:val="765A0A00"/>
    <w:rsid w:val="76AE24B4"/>
    <w:rsid w:val="77470212"/>
    <w:rsid w:val="778925D9"/>
    <w:rsid w:val="77B574A4"/>
    <w:rsid w:val="77E6121F"/>
    <w:rsid w:val="780103C1"/>
    <w:rsid w:val="78112CFA"/>
    <w:rsid w:val="782C63A8"/>
    <w:rsid w:val="78746DE5"/>
    <w:rsid w:val="788D434B"/>
    <w:rsid w:val="78AF42C1"/>
    <w:rsid w:val="78DD498A"/>
    <w:rsid w:val="790C1713"/>
    <w:rsid w:val="793B3DA7"/>
    <w:rsid w:val="79425135"/>
    <w:rsid w:val="79D3446D"/>
    <w:rsid w:val="79E7681A"/>
    <w:rsid w:val="79EF6B22"/>
    <w:rsid w:val="79EF706B"/>
    <w:rsid w:val="79F74636"/>
    <w:rsid w:val="7B67425B"/>
    <w:rsid w:val="7BB97537"/>
    <w:rsid w:val="7BE92A89"/>
    <w:rsid w:val="7BE97AEA"/>
    <w:rsid w:val="7C6B04FF"/>
    <w:rsid w:val="7D0C3A90"/>
    <w:rsid w:val="7D3C1A3B"/>
    <w:rsid w:val="7D407EEB"/>
    <w:rsid w:val="7DF74D1C"/>
    <w:rsid w:val="7DFC1D56"/>
    <w:rsid w:val="7E2D0162"/>
    <w:rsid w:val="7E394D59"/>
    <w:rsid w:val="7E3A63DB"/>
    <w:rsid w:val="7E3E411D"/>
    <w:rsid w:val="7E4533AF"/>
    <w:rsid w:val="7EF464FF"/>
    <w:rsid w:val="7F605DAE"/>
    <w:rsid w:val="7F9935D5"/>
    <w:rsid w:val="7FB364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2">
    <w:name w:val="heading 2"/>
    <w:basedOn w:val="1"/>
    <w:next w:val="3"/>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40"/>
    <w:qFormat/>
    <w:uiPriority w:val="0"/>
    <w:rPr>
      <w:rFonts w:ascii="Times New Roman" w:hAnsi="Times New Roman" w:eastAsia="宋体" w:cs="Times New Roman"/>
      <w:color w:val="FF0000"/>
      <w:sz w:val="24"/>
      <w:szCs w:val="24"/>
    </w:rPr>
  </w:style>
  <w:style w:type="paragraph" w:styleId="10">
    <w:name w:val="Body Text"/>
    <w:basedOn w:val="1"/>
    <w:next w:val="11"/>
    <w:link w:val="41"/>
    <w:unhideWhenUsed/>
    <w:qFormat/>
    <w:uiPriority w:val="99"/>
    <w:pPr>
      <w:spacing w:after="120"/>
    </w:pPr>
  </w:style>
  <w:style w:type="paragraph" w:styleId="11">
    <w:name w:val="Body Text 2"/>
    <w:basedOn w:val="1"/>
    <w:link w:val="66"/>
    <w:semiHidden/>
    <w:unhideWhenUsed/>
    <w:qFormat/>
    <w:uiPriority w:val="99"/>
    <w:pPr>
      <w:spacing w:after="120" w:line="480" w:lineRule="auto"/>
    </w:pPr>
  </w:style>
  <w:style w:type="paragraph" w:styleId="12">
    <w:name w:val="Body Text Indent"/>
    <w:basedOn w:val="1"/>
    <w:next w:val="13"/>
    <w:link w:val="43"/>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next w:val="8"/>
    <w:link w:val="44"/>
    <w:qFormat/>
    <w:uiPriority w:val="0"/>
    <w:rPr>
      <w:rFonts w:eastAsia="宋体"/>
      <w:sz w:val="24"/>
    </w:rPr>
  </w:style>
  <w:style w:type="paragraph" w:styleId="17">
    <w:name w:val="Date"/>
    <w:basedOn w:val="1"/>
    <w:next w:val="1"/>
    <w:link w:val="45"/>
    <w:unhideWhenUsed/>
    <w:qFormat/>
    <w:uiPriority w:val="99"/>
    <w:pPr>
      <w:ind w:left="100" w:leftChars="2500"/>
    </w:pPr>
  </w:style>
  <w:style w:type="paragraph" w:styleId="18">
    <w:name w:val="Balloon Text"/>
    <w:basedOn w:val="1"/>
    <w:link w:val="47"/>
    <w:semiHidden/>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0"/>
    <w:next w:val="25"/>
    <w:link w:val="52"/>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2"/>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列出段落1"/>
    <w:basedOn w:val="1"/>
    <w:qFormat/>
    <w:uiPriority w:val="99"/>
    <w:pPr>
      <w:ind w:firstLine="420" w:firstLineChars="200"/>
    </w:pPr>
  </w:style>
  <w:style w:type="paragraph" w:customStyle="1" w:styleId="33">
    <w:name w:val="style4"/>
    <w:basedOn w:val="1"/>
    <w:next w:val="34"/>
    <w:qFormat/>
    <w:uiPriority w:val="99"/>
    <w:pPr>
      <w:widowControl/>
      <w:spacing w:before="280" w:after="280"/>
    </w:pPr>
    <w:rPr>
      <w:rFonts w:ascii="宋体" w:hAnsi="Times New Roman" w:eastAsia="宋体" w:cs="Times New Roman"/>
      <w:sz w:val="18"/>
    </w:rPr>
  </w:style>
  <w:style w:type="paragraph" w:customStyle="1" w:styleId="3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5">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character" w:customStyle="1" w:styleId="36">
    <w:name w:val="标题 1 Char"/>
    <w:basedOn w:val="28"/>
    <w:link w:val="4"/>
    <w:qFormat/>
    <w:uiPriority w:val="0"/>
    <w:rPr>
      <w:rFonts w:ascii="Calibri" w:hAnsi="Calibri" w:eastAsia="宋体" w:cs="Times New Roman"/>
      <w:b/>
      <w:bCs/>
      <w:kern w:val="44"/>
      <w:sz w:val="44"/>
      <w:szCs w:val="44"/>
    </w:rPr>
  </w:style>
  <w:style w:type="character" w:customStyle="1" w:styleId="37">
    <w:name w:val="标题 2 Char"/>
    <w:basedOn w:val="28"/>
    <w:link w:val="2"/>
    <w:qFormat/>
    <w:uiPriority w:val="0"/>
    <w:rPr>
      <w:rFonts w:ascii="Arial" w:hAnsi="Arial" w:eastAsia="黑体" w:cs="Times New Roman"/>
      <w:b/>
      <w:bCs/>
      <w:sz w:val="32"/>
      <w:szCs w:val="32"/>
    </w:rPr>
  </w:style>
  <w:style w:type="character" w:customStyle="1" w:styleId="38">
    <w:name w:val="标题 3 Char"/>
    <w:basedOn w:val="28"/>
    <w:link w:val="5"/>
    <w:qFormat/>
    <w:uiPriority w:val="0"/>
    <w:rPr>
      <w:rFonts w:ascii="宋体" w:hAnsi="宋体" w:eastAsia="宋体" w:cs="Times New Roman"/>
      <w:b/>
      <w:color w:val="000000"/>
      <w:kern w:val="0"/>
      <w:sz w:val="24"/>
      <w:szCs w:val="20"/>
      <w:lang w:val="en-GB"/>
    </w:rPr>
  </w:style>
  <w:style w:type="character" w:customStyle="1" w:styleId="39">
    <w:name w:val="标题 4 Char"/>
    <w:basedOn w:val="28"/>
    <w:link w:val="6"/>
    <w:qFormat/>
    <w:uiPriority w:val="0"/>
    <w:rPr>
      <w:rFonts w:ascii="Arial" w:hAnsi="Arial" w:eastAsia="黑体" w:cs="Times New Roman"/>
      <w:b/>
      <w:bCs/>
      <w:sz w:val="28"/>
      <w:szCs w:val="28"/>
    </w:rPr>
  </w:style>
  <w:style w:type="character" w:customStyle="1" w:styleId="40">
    <w:name w:val="正文文本 3 Char"/>
    <w:basedOn w:val="28"/>
    <w:link w:val="9"/>
    <w:qFormat/>
    <w:uiPriority w:val="0"/>
    <w:rPr>
      <w:rFonts w:ascii="Times New Roman" w:hAnsi="Times New Roman" w:eastAsia="宋体" w:cs="Times New Roman"/>
      <w:color w:val="FF0000"/>
      <w:sz w:val="24"/>
      <w:szCs w:val="24"/>
    </w:rPr>
  </w:style>
  <w:style w:type="character" w:customStyle="1" w:styleId="41">
    <w:name w:val="正文文本 Char"/>
    <w:basedOn w:val="28"/>
    <w:link w:val="10"/>
    <w:qFormat/>
    <w:uiPriority w:val="99"/>
  </w:style>
  <w:style w:type="character" w:customStyle="1" w:styleId="42">
    <w:name w:val="正文文本缩进 Char"/>
    <w:basedOn w:val="28"/>
    <w:qFormat/>
    <w:uiPriority w:val="0"/>
  </w:style>
  <w:style w:type="character" w:customStyle="1" w:styleId="43">
    <w:name w:val="正文文本缩进 Char1"/>
    <w:basedOn w:val="28"/>
    <w:link w:val="12"/>
    <w:qFormat/>
    <w:uiPriority w:val="0"/>
    <w:rPr>
      <w:kern w:val="0"/>
      <w:sz w:val="24"/>
      <w:szCs w:val="20"/>
    </w:rPr>
  </w:style>
  <w:style w:type="character" w:customStyle="1" w:styleId="44">
    <w:name w:val="纯文本 Char"/>
    <w:basedOn w:val="28"/>
    <w:link w:val="16"/>
    <w:qFormat/>
    <w:uiPriority w:val="0"/>
    <w:rPr>
      <w:rFonts w:eastAsia="宋体"/>
      <w:sz w:val="24"/>
    </w:rPr>
  </w:style>
  <w:style w:type="character" w:customStyle="1" w:styleId="45">
    <w:name w:val="日期 Char"/>
    <w:basedOn w:val="28"/>
    <w:link w:val="17"/>
    <w:qFormat/>
    <w:uiPriority w:val="99"/>
  </w:style>
  <w:style w:type="character" w:customStyle="1" w:styleId="46">
    <w:name w:val="批注框文本 Char"/>
    <w:basedOn w:val="28"/>
    <w:semiHidden/>
    <w:qFormat/>
    <w:uiPriority w:val="99"/>
    <w:rPr>
      <w:sz w:val="18"/>
      <w:szCs w:val="18"/>
    </w:rPr>
  </w:style>
  <w:style w:type="character" w:customStyle="1" w:styleId="47">
    <w:name w:val="批注框文本 Char1"/>
    <w:basedOn w:val="28"/>
    <w:link w:val="18"/>
    <w:semiHidden/>
    <w:qFormat/>
    <w:uiPriority w:val="99"/>
    <w:rPr>
      <w:sz w:val="18"/>
      <w:szCs w:val="18"/>
    </w:rPr>
  </w:style>
  <w:style w:type="character" w:customStyle="1" w:styleId="48">
    <w:name w:val="页脚 Char"/>
    <w:basedOn w:val="28"/>
    <w:link w:val="19"/>
    <w:qFormat/>
    <w:uiPriority w:val="99"/>
    <w:rPr>
      <w:sz w:val="18"/>
      <w:szCs w:val="18"/>
    </w:rPr>
  </w:style>
  <w:style w:type="character" w:customStyle="1" w:styleId="49">
    <w:name w:val="页眉 Char"/>
    <w:basedOn w:val="28"/>
    <w:link w:val="20"/>
    <w:qFormat/>
    <w:uiPriority w:val="99"/>
    <w:rPr>
      <w:sz w:val="18"/>
      <w:szCs w:val="18"/>
    </w:rPr>
  </w:style>
  <w:style w:type="character" w:customStyle="1" w:styleId="50">
    <w:name w:val="HTML 预设格式 Char"/>
    <w:basedOn w:val="28"/>
    <w:semiHidden/>
    <w:qFormat/>
    <w:uiPriority w:val="99"/>
    <w:rPr>
      <w:rFonts w:ascii="宋体" w:hAnsi="宋体" w:eastAsia="宋体" w:cs="宋体"/>
      <w:kern w:val="0"/>
      <w:sz w:val="24"/>
      <w:szCs w:val="24"/>
    </w:rPr>
  </w:style>
  <w:style w:type="character" w:customStyle="1" w:styleId="51">
    <w:name w:val="HTML 预设格式 Char1"/>
    <w:basedOn w:val="28"/>
    <w:link w:val="22"/>
    <w:semiHidden/>
    <w:qFormat/>
    <w:uiPriority w:val="99"/>
    <w:rPr>
      <w:rFonts w:ascii="Courier New" w:hAnsi="Courier New" w:cs="Courier New"/>
      <w:sz w:val="20"/>
      <w:szCs w:val="20"/>
    </w:rPr>
  </w:style>
  <w:style w:type="character" w:customStyle="1" w:styleId="52">
    <w:name w:val="正文首行缩进 Char"/>
    <w:basedOn w:val="41"/>
    <w:link w:val="24"/>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4"/>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28"/>
    <w:link w:val="11"/>
    <w:semiHidden/>
    <w:qFormat/>
    <w:uiPriority w:val="99"/>
    <w:rPr>
      <w:kern w:val="2"/>
      <w:sz w:val="21"/>
      <w:szCs w:val="22"/>
    </w:rPr>
  </w:style>
  <w:style w:type="character" w:customStyle="1" w:styleId="67">
    <w:name w:val="font4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3838</Words>
  <Characters>4114</Characters>
  <Lines>319</Lines>
  <Paragraphs>89</Paragraphs>
  <TotalTime>2</TotalTime>
  <ScaleCrop>false</ScaleCrop>
  <LinksUpToDate>false</LinksUpToDate>
  <CharactersWithSpaces>4183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朱俊铭</cp:lastModifiedBy>
  <cp:lastPrinted>2025-09-01T08:04:00Z</cp:lastPrinted>
  <dcterms:modified xsi:type="dcterms:W3CDTF">2025-09-02T02:38:13Z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FBF453DA7B104E3185D27B8DDE5540B6_13</vt:lpwstr>
  </property>
  <property fmtid="{D5CDD505-2E9C-101B-9397-08002B2CF9AE}" pid="4" name="KSOTemplateDocerSaveRecord">
    <vt:lpwstr>eyJoZGlkIjoiZjFmZWIzNDg2MmIzZjExOTIzMmViNTBmYTMwYTk0ZWYiLCJ1c2VySWQiOiIyNDk3NDU2MzUifQ==</vt:lpwstr>
  </property>
</Properties>
</file>